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40" w:rsidRPr="00532C40" w:rsidRDefault="00532C40" w:rsidP="00532C40">
      <w:pPr>
        <w:pStyle w:val="Heading1"/>
      </w:pPr>
      <w:r w:rsidRPr="00532C40">
        <w:t>Word Biblical Commentary</w:t>
      </w:r>
      <w:r>
        <w:t xml:space="preserve">: </w:t>
      </w:r>
      <w:r w:rsidRPr="00532C40">
        <w:t>Volume 30</w:t>
      </w:r>
      <w:r>
        <w:t xml:space="preserve">: </w:t>
      </w:r>
      <w:r w:rsidRPr="00532C40">
        <w:t>Daniel</w:t>
      </w:r>
      <w:r>
        <w:t xml:space="preserve">: </w:t>
      </w:r>
      <w:r w:rsidRPr="00532C40">
        <w:t>John Goldingay</w:t>
      </w:r>
    </w:p>
    <w:p w:rsidR="00B64AB4" w:rsidRDefault="00B64AB4" w:rsidP="00B64AB4">
      <w:pPr>
        <w:ind w:firstLine="0"/>
        <w:rPr>
          <w:bCs/>
        </w:rPr>
      </w:pPr>
      <w:r>
        <w:t>Quotations from S. Pace,</w:t>
      </w:r>
      <w:r w:rsidRPr="00B64AB4">
        <w:rPr>
          <w:b/>
          <w:bCs/>
        </w:rPr>
        <w:t xml:space="preserve"> </w:t>
      </w:r>
      <w:r w:rsidRPr="00B64AB4">
        <w:rPr>
          <w:bCs/>
          <w:i/>
        </w:rPr>
        <w:t>Daniel</w:t>
      </w:r>
      <w:r w:rsidRPr="00B64AB4">
        <w:rPr>
          <w:bCs/>
        </w:rPr>
        <w:t>, appear by permission of the</w:t>
      </w:r>
      <w:r>
        <w:rPr>
          <w:bCs/>
        </w:rPr>
        <w:t xml:space="preserve"> publishers, </w:t>
      </w:r>
      <w:r w:rsidRPr="00B64AB4">
        <w:rPr>
          <w:bCs/>
        </w:rPr>
        <w:t>Smith and Helwys</w:t>
      </w:r>
      <w:r>
        <w:rPr>
          <w:bCs/>
        </w:rPr>
        <w:t>, Macon, GA.</w:t>
      </w:r>
    </w:p>
    <w:p w:rsidR="00750ADA" w:rsidRPr="00B740B4" w:rsidRDefault="00750ADA" w:rsidP="00096F8C">
      <w:pPr>
        <w:pStyle w:val="Heading1"/>
      </w:pPr>
      <w:r w:rsidRPr="00B740B4">
        <w:t>Table of Contents</w:t>
      </w:r>
    </w:p>
    <w:p w:rsidR="00750ADA" w:rsidRPr="0007502A" w:rsidRDefault="00750ADA" w:rsidP="003E3153">
      <w:pPr>
        <w:pStyle w:val="PlainText"/>
        <w:rPr>
          <w:i/>
        </w:rPr>
      </w:pPr>
      <w:r w:rsidRPr="0007502A">
        <w:t>Editorial Preface</w:t>
      </w:r>
      <w:r w:rsidR="00E26113" w:rsidRPr="0007502A">
        <w:tab/>
      </w:r>
    </w:p>
    <w:p w:rsidR="00750ADA" w:rsidRPr="0007502A" w:rsidRDefault="00750ADA" w:rsidP="003E3153">
      <w:pPr>
        <w:pStyle w:val="PlainText"/>
        <w:rPr>
          <w:i/>
        </w:rPr>
      </w:pPr>
      <w:r w:rsidRPr="0007502A">
        <w:t>Author’s Preface</w:t>
      </w:r>
    </w:p>
    <w:p w:rsidR="00750ADA" w:rsidRPr="0007502A" w:rsidRDefault="00750ADA" w:rsidP="003E3153">
      <w:pPr>
        <w:pStyle w:val="PlainText"/>
        <w:rPr>
          <w:i/>
        </w:rPr>
      </w:pPr>
      <w:r w:rsidRPr="0007502A">
        <w:t>Abbreviations</w:t>
      </w:r>
    </w:p>
    <w:p w:rsidR="00750ADA" w:rsidRPr="0007502A" w:rsidRDefault="00750ADA" w:rsidP="003E3153">
      <w:pPr>
        <w:pStyle w:val="PlainText"/>
        <w:rPr>
          <w:i/>
        </w:rPr>
      </w:pPr>
      <w:r w:rsidRPr="0007502A">
        <w:t>Introduction</w:t>
      </w:r>
    </w:p>
    <w:p w:rsidR="00750ADA" w:rsidRPr="0007502A" w:rsidRDefault="00E91B69" w:rsidP="003E3153">
      <w:pPr>
        <w:pStyle w:val="PlainText"/>
        <w:rPr>
          <w:i/>
        </w:rPr>
      </w:pPr>
      <w:r>
        <w:t>Four Young Exiles Gain Insight</w:t>
      </w:r>
      <w:r w:rsidR="00750ADA" w:rsidRPr="0007502A">
        <w:t xml:space="preserve"> and Prestige without Losing Holiness (1:1–21)</w:t>
      </w:r>
    </w:p>
    <w:p w:rsidR="00750ADA" w:rsidRPr="0007502A" w:rsidRDefault="00750ADA" w:rsidP="00750ADA">
      <w:pPr>
        <w:pStyle w:val="ListParagraph"/>
        <w:rPr>
          <w:szCs w:val="22"/>
        </w:rPr>
      </w:pPr>
      <w:r w:rsidRPr="0007502A">
        <w:rPr>
          <w:szCs w:val="22"/>
        </w:rPr>
        <w:t>The God of the Heavens Reveals the King’s Dream to Daniel and the Empire’s Destiny to Nebuchadnezzar (2:1–49)</w:t>
      </w:r>
    </w:p>
    <w:p w:rsidR="00750ADA" w:rsidRPr="0007502A" w:rsidRDefault="00750ADA" w:rsidP="003E3153">
      <w:pPr>
        <w:pStyle w:val="PlainText"/>
        <w:rPr>
          <w:i/>
        </w:rPr>
      </w:pPr>
      <w:r w:rsidRPr="0007502A">
        <w:t>God Vindicates His Power When</w:t>
      </w:r>
      <w:r w:rsidR="006C16DE" w:rsidRPr="0007502A">
        <w:t xml:space="preserve"> Three Judahite</w:t>
      </w:r>
      <w:r w:rsidRPr="0007502A">
        <w:t xml:space="preserve">s Choose Burning Rather Than </w:t>
      </w:r>
      <w:r w:rsidR="00FD7E5B" w:rsidRPr="0007502A">
        <w:t>Compromise</w:t>
      </w:r>
      <w:r w:rsidRPr="0007502A">
        <w:t xml:space="preserve"> (3:1–30)</w:t>
      </w:r>
    </w:p>
    <w:p w:rsidR="00750ADA" w:rsidRPr="0007502A" w:rsidRDefault="00750ADA" w:rsidP="003E3153">
      <w:pPr>
        <w:pStyle w:val="PlainText"/>
        <w:rPr>
          <w:i/>
        </w:rPr>
      </w:pPr>
      <w:r w:rsidRPr="0007502A">
        <w:t>Nebuchadnezzar Testifies to Kingship and Sanity Threatened, Lost, and Restored (</w:t>
      </w:r>
      <w:r w:rsidR="003F14FD" w:rsidRPr="0007502A">
        <w:t>4:1-37 [3:31–4:34</w:t>
      </w:r>
      <w:r w:rsidRPr="0007502A">
        <w:t>])</w:t>
      </w:r>
    </w:p>
    <w:p w:rsidR="00750ADA" w:rsidRPr="0007502A" w:rsidRDefault="00750ADA" w:rsidP="003E3153">
      <w:pPr>
        <w:pStyle w:val="PlainText"/>
        <w:rPr>
          <w:i/>
        </w:rPr>
      </w:pPr>
      <w:r w:rsidRPr="0007502A">
        <w:t>Belshazzar Fails to Learn from His Father’s Exper</w:t>
      </w:r>
      <w:r w:rsidR="003F14FD" w:rsidRPr="0007502A">
        <w:t>ience and Is Put Down (</w:t>
      </w:r>
      <w:r w:rsidRPr="0007502A">
        <w:t>5:1–31</w:t>
      </w:r>
      <w:r w:rsidR="003F14FD" w:rsidRPr="0007502A">
        <w:t xml:space="preserve"> [5:1—6:1</w:t>
      </w:r>
      <w:r w:rsidRPr="0007502A">
        <w:t>])</w:t>
      </w:r>
    </w:p>
    <w:p w:rsidR="00750ADA" w:rsidRPr="0007502A" w:rsidRDefault="00750ADA" w:rsidP="003E3153">
      <w:pPr>
        <w:pStyle w:val="PlainText"/>
        <w:rPr>
          <w:i/>
        </w:rPr>
      </w:pPr>
      <w:r w:rsidRPr="0007502A">
        <w:t>God Vindicates His Power When Daniel Chooses the Li</w:t>
      </w:r>
      <w:r w:rsidR="003F14FD" w:rsidRPr="0007502A">
        <w:t xml:space="preserve">on Pit rather than </w:t>
      </w:r>
      <w:r w:rsidR="00FD7E5B" w:rsidRPr="0007502A">
        <w:t>Compromise</w:t>
      </w:r>
      <w:r w:rsidR="003F14FD" w:rsidRPr="0007502A">
        <w:t xml:space="preserve"> (6:1–28 [2–29</w:t>
      </w:r>
      <w:r w:rsidRPr="0007502A">
        <w:t>])</w:t>
      </w:r>
    </w:p>
    <w:p w:rsidR="00750ADA" w:rsidRPr="0007502A" w:rsidRDefault="00D02D10" w:rsidP="003E3153">
      <w:pPr>
        <w:pStyle w:val="PlainText"/>
        <w:rPr>
          <w:i/>
        </w:rPr>
      </w:pPr>
      <w:r w:rsidRPr="0007502A">
        <w:t>God On</w:t>
      </w:r>
      <w:r w:rsidR="00750ADA" w:rsidRPr="0007502A">
        <w:t xml:space="preserve"> High Reveals the World’s Destiny to Daniel (7:1–28)</w:t>
      </w:r>
    </w:p>
    <w:p w:rsidR="00750ADA" w:rsidRPr="0007502A" w:rsidRDefault="00750ADA" w:rsidP="003E3153">
      <w:pPr>
        <w:pStyle w:val="PlainText"/>
        <w:rPr>
          <w:i/>
        </w:rPr>
      </w:pPr>
      <w:r w:rsidRPr="0007502A">
        <w:t>Gabriel Explains Daniel’s Vision of the Breaking of the Greek Empire (8:1–27)</w:t>
      </w:r>
    </w:p>
    <w:p w:rsidR="00750ADA" w:rsidRPr="0007502A" w:rsidRDefault="00750ADA" w:rsidP="003E3153">
      <w:pPr>
        <w:pStyle w:val="PlainText"/>
        <w:rPr>
          <w:i/>
        </w:rPr>
      </w:pPr>
      <w:r w:rsidRPr="0007502A">
        <w:t>Daniel Prays f</w:t>
      </w:r>
      <w:r w:rsidR="00E15922">
        <w:t>or the End of His People’s Desolation</w:t>
      </w:r>
      <w:r w:rsidRPr="0007502A">
        <w:t xml:space="preserve"> and His Prayer Is Heard (9:1–27)</w:t>
      </w:r>
    </w:p>
    <w:p w:rsidR="00750ADA" w:rsidRPr="0007502A" w:rsidRDefault="00750ADA" w:rsidP="003E3153">
      <w:pPr>
        <w:pStyle w:val="PlainText"/>
        <w:rPr>
          <w:i/>
        </w:rPr>
      </w:pPr>
      <w:r w:rsidRPr="0007502A">
        <w:t>A Celestial Figure Reveals to Daniel What Will Happen to His People at the End of the Era (10:1–12:13)</w:t>
      </w:r>
    </w:p>
    <w:p w:rsidR="00750ADA" w:rsidRPr="0007502A" w:rsidRDefault="0098643F" w:rsidP="003E3153">
      <w:pPr>
        <w:pStyle w:val="PlainText"/>
        <w:rPr>
          <w:i/>
        </w:rPr>
      </w:pPr>
      <w:r>
        <w:t xml:space="preserve">General </w:t>
      </w:r>
      <w:r w:rsidR="00750ADA" w:rsidRPr="0007502A">
        <w:t>Bibliography</w:t>
      </w:r>
    </w:p>
    <w:p w:rsidR="00750ADA" w:rsidRPr="00B740B4" w:rsidRDefault="00750ADA" w:rsidP="00532C40">
      <w:pPr>
        <w:pStyle w:val="Heading1"/>
      </w:pPr>
      <w:r w:rsidRPr="00B740B4">
        <w:t>Author’s Preface</w:t>
      </w:r>
    </w:p>
    <w:p w:rsidR="00750ADA" w:rsidRPr="00B740B4" w:rsidRDefault="00750ADA" w:rsidP="00750ADA">
      <w:r w:rsidRPr="00B740B4">
        <w:t xml:space="preserve">One bright and cold January day in about 1981, a year or two after </w:t>
      </w:r>
      <w:r w:rsidR="00C32D2F">
        <w:t>inviting me</w:t>
      </w:r>
      <w:r w:rsidR="00965466" w:rsidRPr="00B740B4">
        <w:t xml:space="preserve"> </w:t>
      </w:r>
      <w:r w:rsidRPr="00B740B4">
        <w:t xml:space="preserve">to write the Word Commentary on Daniel, David Allan Hubbard asked me for lunch at the Waldorf Hotel in London to discuss the possibility of my joining the faculty at Fuller Theological Seminary in Pasadena, California. I </w:t>
      </w:r>
      <w:r w:rsidR="00532C40">
        <w:t xml:space="preserve">had eventually </w:t>
      </w:r>
      <w:r w:rsidRPr="00B740B4">
        <w:t xml:space="preserve">accepted the first invitation but </w:t>
      </w:r>
      <w:r w:rsidR="00532C40">
        <w:t xml:space="preserve">I </w:t>
      </w:r>
      <w:r w:rsidRPr="00B740B4">
        <w:t xml:space="preserve">didn’t </w:t>
      </w:r>
      <w:r w:rsidR="00A42549">
        <w:t>think seriously about the possibility of moving to Fuller</w:t>
      </w:r>
      <w:r w:rsidRPr="00B740B4">
        <w:t xml:space="preserve"> until nearly twenty years later, when I was honored to be invited to occupy a chair endowed in David</w:t>
      </w:r>
      <w:r w:rsidR="00C32D2F">
        <w:t xml:space="preserve"> Hubbard</w:t>
      </w:r>
      <w:r w:rsidRPr="00B740B4">
        <w:t>’s name.</w:t>
      </w:r>
      <w:r w:rsidR="00532C40">
        <w:t xml:space="preserve"> As I prepare to give up this chair another twenty years later,</w:t>
      </w:r>
      <w:r w:rsidRPr="00B740B4">
        <w:t xml:space="preserve"> I dedicate this second edition of the commentary to his memory.</w:t>
      </w:r>
    </w:p>
    <w:p w:rsidR="00750ADA" w:rsidRPr="00B740B4" w:rsidRDefault="00750ADA" w:rsidP="00750ADA">
      <w:r w:rsidRPr="00B740B4">
        <w:t>But not to him alone. I dedicated the first edition to my teenage sons, Stev</w:t>
      </w:r>
      <w:r w:rsidR="00965466" w:rsidRPr="00B740B4">
        <w:t>en and Mark, expressing the hope</w:t>
      </w:r>
      <w:r w:rsidRPr="00B740B4">
        <w:t xml:space="preserve"> that they might stand with Daniel, Hananiah, Mishael, and Azariah. I now have two teenage grandchildren, and I am delighted to reflect on the fact that one is called Daniel, while the other is called Emma, which on one understanding is an abbreviation of a name whose significance all four heroes of this book would affirm, </w:t>
      </w:r>
      <w:r w:rsidR="00934A11" w:rsidRPr="00B740B4">
        <w:t>“</w:t>
      </w:r>
      <w:r w:rsidRPr="00B740B4">
        <w:t>God is with us.</w:t>
      </w:r>
      <w:r w:rsidR="00934A11" w:rsidRPr="00B740B4">
        <w:t>”</w:t>
      </w:r>
      <w:r w:rsidRPr="00B740B4">
        <w:t xml:space="preserve"> </w:t>
      </w:r>
    </w:p>
    <w:p w:rsidR="00C32D2F" w:rsidRDefault="00C32D2F" w:rsidP="00532C40">
      <w:r w:rsidRPr="00B740B4">
        <w:t>It was in writing on Daniel that I learned the craft of commentary-writing, which I then sought to hone in writing on Isaiah, Psalms, and Hosea to Micah. I looked forward to coming back to Daniel, partly to see what I would now do d</w:t>
      </w:r>
      <w:r>
        <w:t xml:space="preserve">ifferently. </w:t>
      </w:r>
      <w:r w:rsidRPr="00B740B4">
        <w:t>I first worked through the original edition of this commentary as if it were a draft that I was reworking and tidying up. Then I read as much as I could of the voluminous scholarship on Daniel published over the past thirty years, which you will find reflected in the text. It didn’t m</w:t>
      </w:r>
      <w:r>
        <w:t>ake me change my mind about big</w:t>
      </w:r>
      <w:r w:rsidRPr="00B740B4">
        <w:t xml:space="preserve"> things, but it did give me new things to say.</w:t>
      </w:r>
      <w:r>
        <w:br w:type="page"/>
      </w:r>
    </w:p>
    <w:p w:rsidR="00532C40" w:rsidRDefault="00532C40" w:rsidP="00532C40">
      <w:pPr>
        <w:pStyle w:val="Heading1"/>
      </w:pPr>
      <w:r>
        <w:lastRenderedPageBreak/>
        <w:t>Epigraphs (without heading)</w:t>
      </w:r>
    </w:p>
    <w:p w:rsidR="00750ADA" w:rsidRPr="00B740B4" w:rsidRDefault="00750ADA" w:rsidP="00750ADA">
      <w:r w:rsidRPr="00B740B4">
        <w:t>If sometime you write something</w:t>
      </w:r>
    </w:p>
    <w:p w:rsidR="00750ADA" w:rsidRPr="00B740B4" w:rsidRDefault="00750ADA" w:rsidP="00750ADA">
      <w:r w:rsidRPr="00B740B4">
        <w:t>It should go down into the ears of Maec</w:t>
      </w:r>
      <w:r w:rsidR="00C75E95" w:rsidRPr="00B740B4">
        <w:t>i</w:t>
      </w:r>
      <w:r w:rsidRPr="00B740B4">
        <w:t>us</w:t>
      </w:r>
    </w:p>
    <w:p w:rsidR="00750ADA" w:rsidRPr="00B740B4" w:rsidRDefault="00750ADA" w:rsidP="00750ADA">
      <w:r w:rsidRPr="00B740B4">
        <w:t>And those of your father, and ours, and it should be suppressed until the ninth year.</w:t>
      </w:r>
    </w:p>
    <w:p w:rsidR="00750ADA" w:rsidRPr="00B740B4" w:rsidRDefault="00750ADA" w:rsidP="00750ADA">
      <w:r w:rsidRPr="00B740B4">
        <w:t>It will be able to be destroyed,</w:t>
      </w:r>
    </w:p>
    <w:p w:rsidR="00750ADA" w:rsidRPr="00B740B4" w:rsidRDefault="00750ADA" w:rsidP="00750ADA">
      <w:r w:rsidRPr="00B740B4">
        <w:t>What you have not published</w:t>
      </w:r>
      <w:r w:rsidR="00965466" w:rsidRPr="00B740B4">
        <w:t>; a voice sent out does not know</w:t>
      </w:r>
      <w:r w:rsidRPr="00B740B4">
        <w:t xml:space="preserve"> how to return.</w:t>
      </w:r>
    </w:p>
    <w:p w:rsidR="00750ADA" w:rsidRPr="00B740B4" w:rsidRDefault="00750ADA" w:rsidP="00750ADA"/>
    <w:p w:rsidR="00750ADA" w:rsidRDefault="006931C8" w:rsidP="00965466">
      <w:pPr>
        <w:ind w:left="720" w:firstLine="0"/>
      </w:pPr>
      <w:r>
        <w:tab/>
      </w:r>
      <w:r>
        <w:tab/>
      </w:r>
      <w:r>
        <w:tab/>
      </w:r>
      <w:r w:rsidR="00A563C0" w:rsidRPr="00B740B4">
        <w:t>S</w:t>
      </w:r>
      <w:r w:rsidR="00750ADA" w:rsidRPr="00B740B4">
        <w:t>i quid tamen olim</w:t>
      </w:r>
      <w:r w:rsidR="00750ADA" w:rsidRPr="00B740B4">
        <w:br/>
        <w:t>scripseris, in Maeci descendat iudicis aures,</w:t>
      </w:r>
      <w:r w:rsidR="00750ADA" w:rsidRPr="00B740B4">
        <w:br/>
        <w:t>et patris, et nostras; nonumque prematur in annum.</w:t>
      </w:r>
      <w:r w:rsidR="00750ADA" w:rsidRPr="00B740B4">
        <w:br/>
        <w:t>Membranis intu</w:t>
      </w:r>
      <w:r w:rsidR="00A563C0" w:rsidRPr="00B740B4">
        <w:t>s positis, delere licebit</w:t>
      </w:r>
      <w:r w:rsidR="00A563C0" w:rsidRPr="00B740B4">
        <w:br/>
      </w:r>
      <w:r w:rsidR="00750ADA" w:rsidRPr="00B740B4">
        <w:t>quod non edideris: nescit vox missa reverti.</w:t>
      </w:r>
      <w:r w:rsidR="00750ADA" w:rsidRPr="00B740B4">
        <w:rPr>
          <w:rStyle w:val="FootnoteReference"/>
        </w:rPr>
        <w:footnoteReference w:id="1"/>
      </w:r>
    </w:p>
    <w:p w:rsidR="006931C8" w:rsidRDefault="006931C8" w:rsidP="00965466">
      <w:pPr>
        <w:ind w:left="720" w:firstLine="0"/>
      </w:pPr>
    </w:p>
    <w:p w:rsidR="006931C8" w:rsidRPr="00B740B4" w:rsidRDefault="006931C8" w:rsidP="00965466">
      <w:pPr>
        <w:ind w:left="720" w:firstLine="0"/>
      </w:pPr>
      <w:r>
        <w:t>I am aware of the plausible nature of allegories, but… I am not captivated by these enticements myself, and wish all my hearers to be persuaded of this,—nothing can be better than a sober treatment of Scripture.</w:t>
      </w:r>
      <w:r>
        <w:rPr>
          <w:rStyle w:val="FootnoteReference"/>
        </w:rPr>
        <w:footnoteReference w:id="2"/>
      </w:r>
    </w:p>
    <w:p w:rsidR="00C32D2F" w:rsidRDefault="00C32D2F" w:rsidP="00C32D2F">
      <w:pPr>
        <w:ind w:left="720" w:firstLine="0"/>
        <w:rPr>
          <w:rFonts w:ascii="Calibri" w:hAnsi="Calibri"/>
          <w:iCs/>
          <w:color w:val="000000" w:themeColor="text1"/>
          <w:lang w:bidi="he-IL"/>
        </w:rPr>
      </w:pPr>
    </w:p>
    <w:p w:rsidR="00C32D2F" w:rsidRPr="00C32D2F" w:rsidRDefault="00C32D2F" w:rsidP="00C32D2F">
      <w:pPr>
        <w:ind w:left="720" w:firstLine="0"/>
        <w:rPr>
          <w:rFonts w:ascii="Calibri" w:hAnsi="Calibri"/>
          <w:iCs/>
          <w:color w:val="000000" w:themeColor="text1"/>
          <w:lang w:bidi="he-IL"/>
        </w:rPr>
      </w:pPr>
      <w:r w:rsidRPr="00C32D2F">
        <w:rPr>
          <w:rFonts w:ascii="Calibri" w:hAnsi="Calibri"/>
          <w:iCs/>
          <w:color w:val="000000" w:themeColor="text1"/>
          <w:lang w:bidi="he-IL"/>
        </w:rPr>
        <w:t xml:space="preserve">We have now given the views that seem to us clear or probable. Let us now ask God to pardon any slips or errors; for what we have given is not any positive opinion, but merely a probablity. The Almighty himself has said that </w:t>
      </w:r>
      <w:r w:rsidRPr="00C32D2F">
        <w:rPr>
          <w:rFonts w:ascii="Calibri" w:hAnsi="Calibri"/>
          <w:i/>
          <w:iCs/>
          <w:color w:val="000000" w:themeColor="text1"/>
          <w:lang w:bidi="he-IL"/>
        </w:rPr>
        <w:t>the words are shut upand sealed till the time of the end.</w:t>
      </w:r>
      <w:r w:rsidRPr="00C32D2F">
        <w:rPr>
          <w:rFonts w:ascii="Calibri" w:hAnsi="Calibri"/>
          <w:iCs/>
          <w:color w:val="000000" w:themeColor="text1"/>
          <w:lang w:bidi="he-IL"/>
        </w:rPr>
        <w:t xml:space="preserve"> At that time it shall be revealed at the hand of the wise; </w:t>
      </w:r>
      <w:r w:rsidRPr="00C32D2F">
        <w:rPr>
          <w:rFonts w:ascii="Calibri" w:hAnsi="Calibri"/>
          <w:i/>
          <w:iCs/>
          <w:color w:val="000000" w:themeColor="text1"/>
          <w:lang w:bidi="he-IL"/>
        </w:rPr>
        <w:t>the wise shall understand.</w:t>
      </w:r>
      <w:r w:rsidRPr="00C32D2F">
        <w:rPr>
          <w:rFonts w:ascii="Calibri" w:hAnsi="Calibri"/>
          <w:iCs/>
          <w:color w:val="000000" w:themeColor="text1"/>
          <w:lang w:bidi="he-IL"/>
        </w:rPr>
        <w:t xml:space="preserve"> God Almighty, in His mercy and loving-kindness, bring near their realisation. Amen.</w:t>
      </w:r>
      <w:r w:rsidRPr="00C32D2F">
        <w:rPr>
          <w:rFonts w:ascii="Calibri" w:hAnsi="Calibri"/>
          <w:iCs/>
          <w:color w:val="000000" w:themeColor="text1"/>
          <w:vertAlign w:val="superscript"/>
          <w:lang w:bidi="he-IL"/>
        </w:rPr>
        <w:footnoteReference w:id="3"/>
      </w:r>
    </w:p>
    <w:p w:rsidR="00C32D2F" w:rsidRDefault="00C32D2F">
      <w:pPr>
        <w:spacing w:after="200" w:line="276" w:lineRule="auto"/>
        <w:ind w:firstLine="0"/>
        <w:rPr>
          <w:rFonts w:eastAsiaTheme="majorEastAsia" w:cstheme="majorBidi"/>
          <w:b/>
          <w:bCs/>
          <w:sz w:val="26"/>
        </w:rPr>
      </w:pPr>
      <w:r>
        <w:br w:type="page"/>
      </w:r>
    </w:p>
    <w:p w:rsidR="00750ADA" w:rsidRPr="00B740B4" w:rsidRDefault="00750ADA" w:rsidP="00532C40">
      <w:pPr>
        <w:pStyle w:val="Heading1"/>
      </w:pPr>
      <w:r w:rsidRPr="00B740B4">
        <w:lastRenderedPageBreak/>
        <w:t>Abbreviations</w:t>
      </w:r>
    </w:p>
    <w:p w:rsidR="00002962" w:rsidRPr="00002962" w:rsidRDefault="00002962" w:rsidP="00002962">
      <w:pPr>
        <w:pStyle w:val="PlainText"/>
      </w:pPr>
      <w:r w:rsidRPr="00002962">
        <w:t>Abbreviations for Biblical Books</w:t>
      </w:r>
      <w:r>
        <w:t>:</w:t>
      </w:r>
    </w:p>
    <w:p w:rsidR="00002962" w:rsidRDefault="00002962" w:rsidP="00002962">
      <w:pPr>
        <w:pStyle w:val="PlainText"/>
      </w:pPr>
    </w:p>
    <w:p w:rsidR="00002962" w:rsidRPr="00002962" w:rsidRDefault="00002962" w:rsidP="00002962">
      <w:pPr>
        <w:pStyle w:val="PlainText"/>
      </w:pPr>
      <w:r w:rsidRPr="00002962">
        <w:t xml:space="preserve">Gen, Exod, Lev, Num, Deut, Josh, Judg, Ruth, Sam, Kings, Chron, Ezra, </w:t>
      </w:r>
      <w:r w:rsidR="00E46DCA">
        <w:t>Neh, Esth, Job, Ps(s), Prov, Ecc</w:t>
      </w:r>
      <w:r w:rsidRPr="00002962">
        <w:t>, Song, Isa, Jer, Lam, Ezek, Dan, Hos, Joel, Amos, Obad, Jonah, Mic, Nah, Hab, Zeph, Hag, Zech, Mal.</w:t>
      </w:r>
    </w:p>
    <w:p w:rsidR="00002962" w:rsidRDefault="00002962" w:rsidP="00002962">
      <w:pPr>
        <w:pStyle w:val="PlainText"/>
      </w:pPr>
      <w:r>
        <w:t>Matt, Mark, Luke, John, Act</w:t>
      </w:r>
      <w:r w:rsidRPr="00002962">
        <w:t>s, Rom, Cor, Gal, Eph, Phil, Col, Thess, Tim, Titus, Phlm, Heb, James, Pet, John, Jude, Rev</w:t>
      </w:r>
    </w:p>
    <w:p w:rsidR="00002962" w:rsidRDefault="00002962" w:rsidP="00002962">
      <w:pPr>
        <w:pStyle w:val="PlainText"/>
      </w:pPr>
    </w:p>
    <w:p w:rsidR="00002962" w:rsidRPr="00002962" w:rsidRDefault="00002962" w:rsidP="00002962">
      <w:pPr>
        <w:pStyle w:val="PlainText"/>
      </w:pPr>
      <w:r>
        <w:t xml:space="preserve">Other abbreviations (including Deuterocanonical </w:t>
      </w:r>
      <w:r w:rsidR="00E46DCA">
        <w:t xml:space="preserve">and other ancient </w:t>
      </w:r>
      <w:r>
        <w:t>works</w:t>
      </w:r>
      <w:r w:rsidR="00E46DCA">
        <w:t>)</w:t>
      </w:r>
      <w:r>
        <w:t xml:space="preserve">: </w:t>
      </w:r>
    </w:p>
    <w:p w:rsidR="00002962" w:rsidRPr="00002962" w:rsidRDefault="00002962" w:rsidP="00002962">
      <w:pPr>
        <w:pStyle w:val="PlainText"/>
      </w:pPr>
    </w:p>
    <w:p w:rsidR="00BF14D4" w:rsidRDefault="00910D20" w:rsidP="003E3153">
      <w:pPr>
        <w:pStyle w:val="PlainText"/>
      </w:pPr>
      <w:r>
        <w:t>1Q, 2Q, etc.</w:t>
      </w:r>
      <w:r>
        <w:tab/>
        <w:t>Scrolls from Qumran</w:t>
      </w:r>
      <w:r w:rsidR="00BF14D4">
        <w:t xml:space="preserve"> Cave 1, Cave 2, etc.</w:t>
      </w:r>
      <w:r>
        <w:t xml:space="preserve"> (followed byname of work or biblical book)</w:t>
      </w:r>
    </w:p>
    <w:p w:rsidR="00910D20" w:rsidRDefault="00910D20" w:rsidP="00910D20">
      <w:pPr>
        <w:pStyle w:val="PlainText"/>
      </w:pPr>
      <w:r>
        <w:t>1Qa</w:t>
      </w:r>
      <w:r w:rsidRPr="00BF14D4">
        <w:t>pGen</w:t>
      </w:r>
      <w:r w:rsidRPr="00BF14D4">
        <w:tab/>
        <w:t>The Genesis Apocryphon from Qumran Cave 1</w:t>
      </w:r>
    </w:p>
    <w:p w:rsidR="00043503" w:rsidRDefault="00043503" w:rsidP="00910D20">
      <w:pPr>
        <w:pStyle w:val="PlainText"/>
      </w:pPr>
      <w:r>
        <w:t>1QH</w:t>
      </w:r>
      <w:r>
        <w:tab/>
      </w:r>
      <w:r>
        <w:tab/>
        <w:t>1QHodayot, the Thanksgiving Psalms from Qumran Cave 1.</w:t>
      </w:r>
    </w:p>
    <w:p w:rsidR="00FD547C" w:rsidRDefault="00FD547C" w:rsidP="00910D20">
      <w:pPr>
        <w:pStyle w:val="PlainText"/>
      </w:pPr>
      <w:r>
        <w:t>1QM</w:t>
      </w:r>
      <w:r>
        <w:tab/>
      </w:r>
      <w:r>
        <w:tab/>
        <w:t>1QMilḥamah, the War Scroll from Qumran Cave 1</w:t>
      </w:r>
    </w:p>
    <w:p w:rsidR="00A64FD3" w:rsidRDefault="00A64FD3" w:rsidP="00910D20">
      <w:pPr>
        <w:pStyle w:val="PlainText"/>
      </w:pPr>
      <w:r>
        <w:t>1QpHab</w:t>
      </w:r>
      <w:r>
        <w:tab/>
        <w:t>The Hab</w:t>
      </w:r>
      <w:r w:rsidR="007975A0">
        <w:t>akkuk pesher from Qumran Cave 1</w:t>
      </w:r>
    </w:p>
    <w:p w:rsidR="00276DC1" w:rsidRPr="00276DC1" w:rsidRDefault="00276DC1" w:rsidP="00276DC1">
      <w:pPr>
        <w:pStyle w:val="PlainText"/>
      </w:pPr>
      <w:r>
        <w:t>1QS</w:t>
      </w:r>
      <w:r>
        <w:tab/>
      </w:r>
      <w:r>
        <w:tab/>
        <w:t xml:space="preserve">1QSerek Hayyaḥad, the Community Rule from </w:t>
      </w:r>
      <w:r w:rsidRPr="00276DC1">
        <w:t>Qumran Cave 1</w:t>
      </w:r>
    </w:p>
    <w:p w:rsidR="00276DC1" w:rsidRDefault="00276DC1" w:rsidP="00910D20">
      <w:pPr>
        <w:pStyle w:val="PlainText"/>
      </w:pPr>
      <w:r>
        <w:t>1QSa</w:t>
      </w:r>
      <w:r>
        <w:tab/>
      </w:r>
      <w:r>
        <w:tab/>
      </w:r>
      <w:r w:rsidR="000F7972">
        <w:t>An a</w:t>
      </w:r>
      <w:r>
        <w:t xml:space="preserve">ppendix to </w:t>
      </w:r>
      <w:r w:rsidRPr="00276DC1">
        <w:t>1QSerek Hayyaḥad,</w:t>
      </w:r>
      <w:r>
        <w:t xml:space="preserve"> the Rule of the Congregation</w:t>
      </w:r>
    </w:p>
    <w:p w:rsidR="007975A0" w:rsidRPr="00BF14D4" w:rsidRDefault="007975A0" w:rsidP="00910D20">
      <w:pPr>
        <w:pStyle w:val="PlainText"/>
      </w:pPr>
      <w:r>
        <w:t>4QPrNab</w:t>
      </w:r>
      <w:r>
        <w:tab/>
        <w:t>The Prayer of Nabonidus from Qumran Cave 4</w:t>
      </w:r>
    </w:p>
    <w:p w:rsidR="00750ADA" w:rsidRPr="00B7545D" w:rsidRDefault="00750ADA" w:rsidP="003E3153">
      <w:pPr>
        <w:pStyle w:val="PlainText"/>
        <w:rPr>
          <w:i/>
        </w:rPr>
      </w:pPr>
      <w:r w:rsidRPr="00B7545D">
        <w:t>A</w:t>
      </w:r>
      <w:r w:rsidRPr="00B7545D">
        <w:tab/>
      </w:r>
      <w:r w:rsidRPr="00B7545D">
        <w:tab/>
        <w:t>The Aleppo codex of MT, made in Tiberias, long kept at Aleppo, now in Jerusalem</w:t>
      </w:r>
    </w:p>
    <w:p w:rsidR="004C6803" w:rsidRPr="00B7545D" w:rsidRDefault="004C6803" w:rsidP="003E3153">
      <w:pPr>
        <w:pStyle w:val="PlainText"/>
        <w:rPr>
          <w:i/>
        </w:rPr>
      </w:pPr>
      <w:r w:rsidRPr="00B7545D">
        <w:rPr>
          <w:i/>
        </w:rPr>
        <w:t>ABR</w:t>
      </w:r>
      <w:r w:rsidRPr="00B7545D">
        <w:rPr>
          <w:i/>
        </w:rPr>
        <w:tab/>
      </w:r>
      <w:r w:rsidRPr="00B7545D">
        <w:rPr>
          <w:i/>
        </w:rPr>
        <w:tab/>
        <w:t>Australian Bible Review</w:t>
      </w:r>
    </w:p>
    <w:p w:rsidR="004C6803" w:rsidRPr="00B7545D" w:rsidRDefault="004C6803" w:rsidP="003E3153">
      <w:pPr>
        <w:pStyle w:val="PlainText"/>
      </w:pPr>
      <w:r w:rsidRPr="00B7545D">
        <w:rPr>
          <w:i/>
        </w:rPr>
        <w:t>AfO</w:t>
      </w:r>
      <w:r w:rsidRPr="00B7545D">
        <w:rPr>
          <w:i/>
        </w:rPr>
        <w:tab/>
      </w:r>
      <w:r w:rsidRPr="00B7545D">
        <w:rPr>
          <w:i/>
        </w:rPr>
        <w:tab/>
        <w:t xml:space="preserve">Archiv für Orientforschung  </w:t>
      </w:r>
    </w:p>
    <w:p w:rsidR="007E16CD" w:rsidRPr="00B7545D" w:rsidRDefault="007E16CD" w:rsidP="003E3153">
      <w:pPr>
        <w:pStyle w:val="PlainText"/>
        <w:rPr>
          <w:i/>
        </w:rPr>
      </w:pPr>
      <w:r w:rsidRPr="00B7545D">
        <w:t>Akk.</w:t>
      </w:r>
      <w:r w:rsidRPr="00B7545D">
        <w:tab/>
      </w:r>
      <w:r w:rsidRPr="00B7545D">
        <w:tab/>
        <w:t>Akkadian</w:t>
      </w:r>
    </w:p>
    <w:p w:rsidR="00750ADA" w:rsidRPr="00B7545D" w:rsidRDefault="00E07E42" w:rsidP="003E3153">
      <w:pPr>
        <w:pStyle w:val="PlainText"/>
      </w:pPr>
      <w:r>
        <w:rPr>
          <w:i/>
        </w:rPr>
        <w:t>AHw</w:t>
      </w:r>
      <w:r w:rsidR="0079064E" w:rsidRPr="00B7545D">
        <w:rPr>
          <w:i/>
        </w:rPr>
        <w:tab/>
      </w:r>
      <w:r w:rsidR="0079064E" w:rsidRPr="00B7545D">
        <w:rPr>
          <w:i/>
        </w:rPr>
        <w:tab/>
      </w:r>
      <w:r w:rsidR="0079064E" w:rsidRPr="00B7545D">
        <w:t xml:space="preserve">Von Soden, W. </w:t>
      </w:r>
      <w:r w:rsidR="0079064E" w:rsidRPr="00B7545D">
        <w:rPr>
          <w:i/>
        </w:rPr>
        <w:t>Akkadisches Handwörterbuch</w:t>
      </w:r>
      <w:r w:rsidR="0079064E" w:rsidRPr="00B7545D">
        <w:t>. 3 vols. Wiesbaden: Harrassowitz, 1981.</w:t>
      </w:r>
    </w:p>
    <w:p w:rsidR="00764DE4" w:rsidRPr="00B7545D" w:rsidRDefault="00764DE4" w:rsidP="003E3153">
      <w:pPr>
        <w:pStyle w:val="PlainText"/>
        <w:rPr>
          <w:i/>
        </w:rPr>
      </w:pPr>
      <w:r w:rsidRPr="00B7545D">
        <w:rPr>
          <w:i/>
        </w:rPr>
        <w:t>AJSL</w:t>
      </w:r>
      <w:r w:rsidRPr="00B7545D">
        <w:rPr>
          <w:i/>
        </w:rPr>
        <w:tab/>
      </w:r>
      <w:r w:rsidRPr="00B7545D">
        <w:rPr>
          <w:i/>
        </w:rPr>
        <w:tab/>
      </w:r>
      <w:r w:rsidRPr="00B7545D">
        <w:rPr>
          <w:i/>
          <w:iCs/>
        </w:rPr>
        <w:t>American Journal of Semitic Languages and Literature</w:t>
      </w:r>
    </w:p>
    <w:p w:rsidR="00AE637A" w:rsidRPr="00B7545D" w:rsidRDefault="00AE637A" w:rsidP="003E3153">
      <w:pPr>
        <w:pStyle w:val="PlainText"/>
      </w:pPr>
      <w:r w:rsidRPr="00B7545D">
        <w:rPr>
          <w:i/>
        </w:rPr>
        <w:t>ANEP</w:t>
      </w:r>
      <w:r w:rsidR="00BA0B5B" w:rsidRPr="00B7545D">
        <w:rPr>
          <w:rFonts w:cstheme="minorBidi"/>
          <w:lang w:bidi="ar-SA"/>
        </w:rPr>
        <w:t xml:space="preserve"> </w:t>
      </w:r>
      <w:r w:rsidR="00BA0B5B" w:rsidRPr="00B7545D">
        <w:rPr>
          <w:rFonts w:cstheme="minorBidi"/>
          <w:lang w:bidi="ar-SA"/>
        </w:rPr>
        <w:tab/>
      </w:r>
      <w:r w:rsidR="00BA0B5B" w:rsidRPr="00B7545D">
        <w:rPr>
          <w:rFonts w:cstheme="minorBidi"/>
          <w:lang w:bidi="ar-SA"/>
        </w:rPr>
        <w:tab/>
      </w:r>
      <w:r w:rsidR="00BA0B5B" w:rsidRPr="00B7545D">
        <w:t xml:space="preserve">Pritchard, J. B. (ed.), </w:t>
      </w:r>
      <w:r w:rsidR="00BA0B5B" w:rsidRPr="00B7545D">
        <w:rPr>
          <w:i/>
        </w:rPr>
        <w:t>Ancient Near Eastern Picturess</w:t>
      </w:r>
      <w:r w:rsidR="00BA0B5B" w:rsidRPr="00B7545D">
        <w:t xml:space="preserve"> Relating to the Old Testament. </w:t>
      </w:r>
      <w:r w:rsidR="00BA0B5B" w:rsidRPr="00B7545D">
        <w:tab/>
      </w:r>
      <w:r w:rsidR="00BA0B5B" w:rsidRPr="00B7545D">
        <w:tab/>
      </w:r>
      <w:r w:rsidR="00BA0B5B" w:rsidRPr="00B7545D">
        <w:tab/>
        <w:t>Revised ed., Princeton: Princeton University, 1969</w:t>
      </w:r>
    </w:p>
    <w:p w:rsidR="00750ADA" w:rsidRPr="00B7545D" w:rsidRDefault="00750ADA" w:rsidP="003E3153">
      <w:pPr>
        <w:pStyle w:val="PlainText"/>
      </w:pPr>
      <w:r w:rsidRPr="00B7545D">
        <w:rPr>
          <w:i/>
        </w:rPr>
        <w:t>ANET</w:t>
      </w:r>
      <w:r w:rsidRPr="00B7545D">
        <w:tab/>
      </w:r>
      <w:r w:rsidRPr="00B7545D">
        <w:tab/>
        <w:t xml:space="preserve">Pritchard, J. B. (ed.), </w:t>
      </w:r>
      <w:r w:rsidRPr="00B7545D">
        <w:rPr>
          <w:i/>
        </w:rPr>
        <w:t>Ancient Near Eastern Texts Relating to the Old Testament</w:t>
      </w:r>
      <w:r w:rsidRPr="00B7545D">
        <w:t xml:space="preserve">. Revised </w:t>
      </w:r>
      <w:r w:rsidRPr="00B7545D">
        <w:tab/>
      </w:r>
      <w:r w:rsidRPr="00B7545D">
        <w:tab/>
      </w:r>
      <w:r w:rsidRPr="00B7545D">
        <w:tab/>
        <w:t xml:space="preserve">ed., </w:t>
      </w:r>
      <w:r w:rsidRPr="00B7545D">
        <w:rPr>
          <w:spacing w:val="7"/>
        </w:rPr>
        <w:t xml:space="preserve">Princeton: Princeton </w:t>
      </w:r>
      <w:r w:rsidR="00E758E8" w:rsidRPr="00B7545D">
        <w:rPr>
          <w:spacing w:val="7"/>
        </w:rPr>
        <w:t>University Press</w:t>
      </w:r>
      <w:r w:rsidRPr="00B7545D">
        <w:rPr>
          <w:spacing w:val="7"/>
        </w:rPr>
        <w:t>, 1969</w:t>
      </w:r>
    </w:p>
    <w:p w:rsidR="00764DE4" w:rsidRPr="00B7545D" w:rsidRDefault="00764DE4" w:rsidP="00764DE4">
      <w:pPr>
        <w:pStyle w:val="PlainText"/>
        <w:rPr>
          <w:color w:val="000000"/>
          <w:spacing w:val="4"/>
        </w:rPr>
      </w:pPr>
      <w:r w:rsidRPr="00B7545D">
        <w:rPr>
          <w:i/>
        </w:rPr>
        <w:t>ANRW</w:t>
      </w:r>
      <w:r w:rsidRPr="00B7545D">
        <w:rPr>
          <w:i/>
        </w:rPr>
        <w:tab/>
      </w:r>
      <w:r w:rsidRPr="00B7545D">
        <w:rPr>
          <w:i/>
        </w:rPr>
        <w:tab/>
      </w:r>
      <w:r w:rsidRPr="00B7545D">
        <w:rPr>
          <w:color w:val="000000"/>
          <w:spacing w:val="5"/>
        </w:rPr>
        <w:t xml:space="preserve">H. Temporini and W. Haase (eds.), </w:t>
      </w:r>
      <w:r w:rsidRPr="00B7545D">
        <w:rPr>
          <w:i/>
          <w:iCs/>
          <w:color w:val="000000"/>
          <w:spacing w:val="5"/>
        </w:rPr>
        <w:t xml:space="preserve">Aufstieg und </w:t>
      </w:r>
      <w:r w:rsidRPr="00B7545D">
        <w:rPr>
          <w:i/>
          <w:iCs/>
          <w:color w:val="000000"/>
          <w:spacing w:val="1"/>
        </w:rPr>
        <w:t xml:space="preserve">Niedergang der romischen Welt. </w:t>
      </w:r>
      <w:r w:rsidRPr="00B7545D">
        <w:rPr>
          <w:i/>
          <w:iCs/>
          <w:color w:val="000000"/>
          <w:spacing w:val="1"/>
        </w:rPr>
        <w:tab/>
      </w:r>
      <w:r w:rsidRPr="00B7545D">
        <w:rPr>
          <w:i/>
          <w:iCs/>
          <w:color w:val="000000"/>
          <w:spacing w:val="1"/>
        </w:rPr>
        <w:tab/>
      </w:r>
      <w:r w:rsidRPr="00B7545D">
        <w:rPr>
          <w:i/>
          <w:iCs/>
          <w:color w:val="000000"/>
          <w:spacing w:val="1"/>
        </w:rPr>
        <w:tab/>
      </w:r>
      <w:r w:rsidRPr="00B7545D">
        <w:rPr>
          <w:color w:val="000000"/>
          <w:spacing w:val="1"/>
        </w:rPr>
        <w:t xml:space="preserve">Berlin: de </w:t>
      </w:r>
      <w:r w:rsidRPr="00B7545D">
        <w:rPr>
          <w:color w:val="000000"/>
          <w:spacing w:val="4"/>
        </w:rPr>
        <w:t>Gruyter.</w:t>
      </w:r>
    </w:p>
    <w:p w:rsidR="0003654E" w:rsidRPr="00B7545D" w:rsidRDefault="0003654E" w:rsidP="003E3153">
      <w:pPr>
        <w:pStyle w:val="PlainText"/>
      </w:pPr>
      <w:r w:rsidRPr="00B7545D">
        <w:rPr>
          <w:i/>
        </w:rPr>
        <w:t>Ant</w:t>
      </w:r>
      <w:r w:rsidRPr="00B7545D">
        <w:t>.</w:t>
      </w:r>
      <w:r w:rsidR="00AD0DE4" w:rsidRPr="00B7545D">
        <w:tab/>
      </w:r>
      <w:r w:rsidR="00AD0DE4" w:rsidRPr="00B7545D">
        <w:tab/>
      </w:r>
      <w:r w:rsidR="00AD0DE4" w:rsidRPr="00B7545D">
        <w:rPr>
          <w:i/>
        </w:rPr>
        <w:t>Antiquities</w:t>
      </w:r>
    </w:p>
    <w:p w:rsidR="00BF14D4" w:rsidRPr="00B7545D" w:rsidRDefault="00BF14D4" w:rsidP="00BF14D4">
      <w:pPr>
        <w:pStyle w:val="PlainText"/>
        <w:rPr>
          <w:i/>
        </w:rPr>
      </w:pPr>
      <w:r w:rsidRPr="00B7545D">
        <w:rPr>
          <w:i/>
        </w:rPr>
        <w:t>APB</w:t>
      </w:r>
      <w:r w:rsidRPr="00B7545D">
        <w:rPr>
          <w:i/>
        </w:rPr>
        <w:tab/>
      </w:r>
      <w:r w:rsidRPr="00B7545D">
        <w:rPr>
          <w:i/>
        </w:rPr>
        <w:tab/>
        <w:t>Acta patristica et byzantina</w:t>
      </w:r>
    </w:p>
    <w:p w:rsidR="003C5915" w:rsidRPr="003C5915" w:rsidRDefault="003C5915" w:rsidP="003E3153">
      <w:pPr>
        <w:pStyle w:val="PlainText"/>
        <w:rPr>
          <w:i/>
        </w:rPr>
      </w:pPr>
      <w:r>
        <w:rPr>
          <w:i/>
        </w:rPr>
        <w:t>Apoc.</w:t>
      </w:r>
      <w:r>
        <w:rPr>
          <w:i/>
        </w:rPr>
        <w:tab/>
      </w:r>
      <w:r>
        <w:rPr>
          <w:i/>
        </w:rPr>
        <w:tab/>
        <w:t>Apocalypse of</w:t>
      </w:r>
    </w:p>
    <w:p w:rsidR="00EC4429" w:rsidRPr="00B7545D" w:rsidRDefault="00750ADA" w:rsidP="003E3153">
      <w:pPr>
        <w:pStyle w:val="PlainText"/>
        <w:rPr>
          <w:i/>
        </w:rPr>
      </w:pPr>
      <w:r w:rsidRPr="00B7545D">
        <w:t>Aq</w:t>
      </w:r>
      <w:r w:rsidRPr="00B7545D">
        <w:tab/>
      </w:r>
      <w:r w:rsidRPr="00B7545D">
        <w:tab/>
        <w:t>Aqui</w:t>
      </w:r>
      <w:r w:rsidR="00C85188" w:rsidRPr="00B7545D">
        <w:t>l</w:t>
      </w:r>
      <w:r w:rsidRPr="00B7545D">
        <w:t>a’s Greek t</w:t>
      </w:r>
      <w:r w:rsidR="00EC4429" w:rsidRPr="00B7545D">
        <w:t>ranslation of the Old Testament</w:t>
      </w:r>
    </w:p>
    <w:p w:rsidR="00EC4429" w:rsidRPr="00B7545D" w:rsidRDefault="00EC4429" w:rsidP="003E3153">
      <w:pPr>
        <w:pStyle w:val="PlainText"/>
        <w:rPr>
          <w:i/>
        </w:rPr>
      </w:pPr>
      <w:r w:rsidRPr="00B7545D">
        <w:t>Aram.</w:t>
      </w:r>
      <w:r w:rsidRPr="00B7545D">
        <w:tab/>
      </w:r>
      <w:r w:rsidRPr="00B7545D">
        <w:tab/>
        <w:t>Aramaic</w:t>
      </w:r>
    </w:p>
    <w:p w:rsidR="00750ADA" w:rsidRPr="00B7545D" w:rsidRDefault="00750ADA" w:rsidP="003E3153">
      <w:pPr>
        <w:pStyle w:val="PlainText"/>
        <w:rPr>
          <w:i/>
        </w:rPr>
      </w:pPr>
      <w:r w:rsidRPr="00B7545D">
        <w:rPr>
          <w:i/>
        </w:rPr>
        <w:t>AUSS</w:t>
      </w:r>
      <w:r w:rsidRPr="00B7545D">
        <w:rPr>
          <w:i/>
        </w:rPr>
        <w:tab/>
      </w:r>
      <w:r w:rsidRPr="00B7545D">
        <w:rPr>
          <w:i/>
        </w:rPr>
        <w:tab/>
        <w:t xml:space="preserve">Andrews University Seminary Studies </w:t>
      </w:r>
    </w:p>
    <w:p w:rsidR="00FD5C0F" w:rsidRPr="00BF14D4" w:rsidRDefault="00FD5C0F" w:rsidP="003E3153">
      <w:pPr>
        <w:pStyle w:val="PlainText"/>
      </w:pPr>
      <w:r w:rsidRPr="00B7545D">
        <w:rPr>
          <w:i/>
        </w:rPr>
        <w:t>b.</w:t>
      </w:r>
      <w:r w:rsidRPr="00B7545D">
        <w:rPr>
          <w:i/>
        </w:rPr>
        <w:tab/>
      </w:r>
      <w:r w:rsidRPr="00B7545D">
        <w:rPr>
          <w:i/>
        </w:rPr>
        <w:tab/>
        <w:t>Babylonian Talmud</w:t>
      </w:r>
      <w:r w:rsidR="00BF14D4">
        <w:t xml:space="preserve"> (followed by tractate title)</w:t>
      </w:r>
    </w:p>
    <w:p w:rsidR="00B20390" w:rsidRPr="00B7545D" w:rsidRDefault="00B20390" w:rsidP="003E3153">
      <w:pPr>
        <w:pStyle w:val="PlainText"/>
      </w:pPr>
      <w:r w:rsidRPr="00B7545D">
        <w:t>BA</w:t>
      </w:r>
      <w:r w:rsidRPr="00B7545D">
        <w:tab/>
      </w:r>
      <w:r w:rsidRPr="00B7545D">
        <w:tab/>
        <w:t>Biblical Aramaic</w:t>
      </w:r>
    </w:p>
    <w:p w:rsidR="00764DE4" w:rsidRPr="00B7545D" w:rsidRDefault="00764DE4" w:rsidP="003E3153">
      <w:pPr>
        <w:pStyle w:val="PlainText"/>
        <w:rPr>
          <w:i/>
        </w:rPr>
      </w:pPr>
      <w:r w:rsidRPr="00B7545D">
        <w:rPr>
          <w:i/>
        </w:rPr>
        <w:t>BASOR</w:t>
      </w:r>
      <w:r w:rsidRPr="00B7545D">
        <w:rPr>
          <w:i/>
        </w:rPr>
        <w:tab/>
      </w:r>
      <w:r w:rsidRPr="00B7545D">
        <w:rPr>
          <w:i/>
        </w:rPr>
        <w:tab/>
      </w:r>
      <w:r w:rsidRPr="00B7545D">
        <w:rPr>
          <w:i/>
          <w:iCs/>
        </w:rPr>
        <w:t>Bulletin of the American Schools of Oriental Research</w:t>
      </w:r>
    </w:p>
    <w:p w:rsidR="00452E83" w:rsidRPr="00B7545D" w:rsidRDefault="00452E83" w:rsidP="003E3153">
      <w:pPr>
        <w:pStyle w:val="PlainText"/>
      </w:pPr>
      <w:r w:rsidRPr="00B7545D">
        <w:rPr>
          <w:i/>
        </w:rPr>
        <w:t>BBR</w:t>
      </w:r>
      <w:r w:rsidRPr="00B7545D">
        <w:tab/>
      </w:r>
      <w:r w:rsidRPr="00B7545D">
        <w:tab/>
      </w:r>
      <w:r w:rsidRPr="00B7545D">
        <w:rPr>
          <w:i/>
        </w:rPr>
        <w:t>Bulletin for Biblical Research</w:t>
      </w:r>
    </w:p>
    <w:p w:rsidR="00750ADA" w:rsidRPr="00B7545D" w:rsidRDefault="00750ADA" w:rsidP="003E3153">
      <w:pPr>
        <w:pStyle w:val="PlainText"/>
      </w:pPr>
      <w:r w:rsidRPr="00B7545D">
        <w:t>BDB</w:t>
      </w:r>
      <w:r w:rsidRPr="00B7545D">
        <w:tab/>
      </w:r>
      <w:r w:rsidRPr="00B7545D">
        <w:tab/>
      </w:r>
      <w:r w:rsidRPr="00B7545D">
        <w:rPr>
          <w:spacing w:val="4"/>
        </w:rPr>
        <w:t xml:space="preserve">Brown, F., Driver, S. R., and Briggs, C. A. (eds.) </w:t>
      </w:r>
      <w:r w:rsidRPr="00B7545D">
        <w:rPr>
          <w:iCs/>
          <w:spacing w:val="4"/>
        </w:rPr>
        <w:t xml:space="preserve">Hebrew </w:t>
      </w:r>
      <w:r w:rsidRPr="00B7545D">
        <w:rPr>
          <w:iCs/>
        </w:rPr>
        <w:t xml:space="preserve">and English Lexicon of the Old </w:t>
      </w:r>
      <w:r w:rsidRPr="00B7545D">
        <w:rPr>
          <w:iCs/>
        </w:rPr>
        <w:tab/>
      </w:r>
      <w:r w:rsidRPr="00B7545D">
        <w:rPr>
          <w:iCs/>
        </w:rPr>
        <w:tab/>
      </w:r>
      <w:r w:rsidRPr="00B7545D">
        <w:rPr>
          <w:iCs/>
        </w:rPr>
        <w:tab/>
        <w:t xml:space="preserve">Testament. Corrected ed., </w:t>
      </w:r>
      <w:r w:rsidRPr="00B7545D">
        <w:t xml:space="preserve">Oxford: </w:t>
      </w:r>
      <w:r w:rsidRPr="00B7545D">
        <w:rPr>
          <w:spacing w:val="8"/>
        </w:rPr>
        <w:t>Clarendon, 1962.</w:t>
      </w:r>
    </w:p>
    <w:p w:rsidR="00E22324" w:rsidRPr="00B7545D" w:rsidRDefault="00E22324" w:rsidP="003E3153">
      <w:pPr>
        <w:pStyle w:val="PlainText"/>
        <w:rPr>
          <w:i/>
        </w:rPr>
      </w:pPr>
      <w:r w:rsidRPr="00B7545D">
        <w:rPr>
          <w:i/>
        </w:rPr>
        <w:t>BetM</w:t>
      </w:r>
      <w:r w:rsidRPr="00B7545D">
        <w:rPr>
          <w:i/>
        </w:rPr>
        <w:tab/>
      </w:r>
      <w:r w:rsidRPr="00B7545D">
        <w:rPr>
          <w:i/>
        </w:rPr>
        <w:tab/>
        <w:t>Bet Miqra</w:t>
      </w:r>
    </w:p>
    <w:p w:rsidR="00E22324" w:rsidRPr="00B7545D" w:rsidRDefault="00E22324" w:rsidP="00E22324">
      <w:pPr>
        <w:pStyle w:val="PlainText"/>
      </w:pPr>
      <w:r w:rsidRPr="00B7545D">
        <w:t>BH</w:t>
      </w:r>
      <w:r w:rsidRPr="00B7545D">
        <w:tab/>
      </w:r>
      <w:r w:rsidRPr="00B7545D">
        <w:tab/>
        <w:t>Biblical Hebrew</w:t>
      </w:r>
    </w:p>
    <w:p w:rsidR="000B58CE" w:rsidRPr="00B7545D" w:rsidRDefault="00E22324" w:rsidP="000B58CE">
      <w:pPr>
        <w:pStyle w:val="PlainText"/>
        <w:rPr>
          <w:i/>
        </w:rPr>
      </w:pPr>
      <w:r w:rsidRPr="00B7545D">
        <w:rPr>
          <w:rFonts w:eastAsia="Times New Roman"/>
          <w:color w:val="000000"/>
        </w:rPr>
        <w:t>BHK</w:t>
      </w:r>
      <w:r w:rsidRPr="00B7545D">
        <w:rPr>
          <w:rFonts w:eastAsia="Times New Roman"/>
          <w:color w:val="000000"/>
        </w:rPr>
        <w:tab/>
      </w:r>
      <w:r w:rsidRPr="00B7545D">
        <w:rPr>
          <w:rFonts w:eastAsia="Times New Roman"/>
          <w:color w:val="000000"/>
        </w:rPr>
        <w:tab/>
        <w:t xml:space="preserve">R. Kittel (ed.), </w:t>
      </w:r>
      <w:r w:rsidRPr="00B7545D">
        <w:rPr>
          <w:rFonts w:eastAsia="Times New Roman"/>
          <w:i/>
          <w:iCs/>
          <w:color w:val="000000"/>
        </w:rPr>
        <w:t xml:space="preserve">Biblia hebraica, </w:t>
      </w:r>
      <w:r w:rsidRPr="00B7545D">
        <w:rPr>
          <w:rFonts w:eastAsia="Times New Roman"/>
          <w:color w:val="000000"/>
        </w:rPr>
        <w:t xml:space="preserve">3rd ed. Stuttgart: </w:t>
      </w:r>
      <w:r w:rsidRPr="00B7545D">
        <w:rPr>
          <w:rFonts w:eastAsia="Times New Roman"/>
          <w:color w:val="000000"/>
          <w:spacing w:val="1"/>
        </w:rPr>
        <w:t>Wurttembergische, 1937.</w:t>
      </w:r>
      <w:r w:rsidRPr="00B7545D">
        <w:rPr>
          <w:rFonts w:eastAsia="Times New Roman"/>
          <w:color w:val="000000"/>
          <w:spacing w:val="1"/>
        </w:rPr>
        <w:br/>
      </w:r>
      <w:r w:rsidRPr="00B7545D">
        <w:rPr>
          <w:rFonts w:eastAsia="Times New Roman"/>
          <w:color w:val="000000"/>
          <w:spacing w:val="-5"/>
        </w:rPr>
        <w:t>BHS</w:t>
      </w:r>
      <w:r w:rsidRPr="00B7545D">
        <w:rPr>
          <w:rFonts w:eastAsia="Times New Roman"/>
          <w:color w:val="000000"/>
        </w:rPr>
        <w:tab/>
      </w:r>
      <w:r w:rsidRPr="00B7545D">
        <w:rPr>
          <w:rFonts w:eastAsia="Times New Roman"/>
          <w:color w:val="000000"/>
        </w:rPr>
        <w:tab/>
      </w:r>
      <w:r w:rsidRPr="00B7545D">
        <w:rPr>
          <w:rFonts w:eastAsia="Times New Roman"/>
          <w:color w:val="000000"/>
          <w:spacing w:val="-5"/>
        </w:rPr>
        <w:t xml:space="preserve">K. Elliger et al. (eds.), </w:t>
      </w:r>
      <w:r w:rsidRPr="00B7545D">
        <w:rPr>
          <w:rFonts w:eastAsia="Times New Roman"/>
          <w:i/>
          <w:iCs/>
          <w:color w:val="000000"/>
          <w:spacing w:val="-5"/>
        </w:rPr>
        <w:t>Biblia hebraica stuttgartensia</w:t>
      </w:r>
      <w:r w:rsidRPr="00B7545D">
        <w:rPr>
          <w:rFonts w:eastAsia="Times New Roman"/>
          <w:iCs/>
          <w:color w:val="000000"/>
          <w:spacing w:val="-5"/>
        </w:rPr>
        <w:t xml:space="preserve">.  </w:t>
      </w:r>
      <w:r w:rsidRPr="00B7545D">
        <w:rPr>
          <w:rFonts w:eastAsia="Times New Roman"/>
          <w:color w:val="000000"/>
          <w:spacing w:val="1"/>
          <w:lang w:bidi="ar-SA"/>
        </w:rPr>
        <w:t xml:space="preserve">(Stuttgart: Deutsche Bibelstiftung, </w:t>
      </w:r>
      <w:r w:rsidRPr="00B7545D">
        <w:rPr>
          <w:rFonts w:eastAsia="Times New Roman"/>
          <w:color w:val="000000"/>
          <w:spacing w:val="1"/>
          <w:lang w:bidi="ar-SA"/>
        </w:rPr>
        <w:tab/>
      </w:r>
      <w:r w:rsidRPr="00B7545D">
        <w:rPr>
          <w:rFonts w:eastAsia="Times New Roman"/>
          <w:color w:val="000000"/>
          <w:spacing w:val="1"/>
          <w:lang w:bidi="ar-SA"/>
        </w:rPr>
        <w:lastRenderedPageBreak/>
        <w:tab/>
      </w:r>
      <w:r w:rsidRPr="00B7545D">
        <w:rPr>
          <w:rFonts w:eastAsia="Times New Roman"/>
          <w:color w:val="000000"/>
          <w:spacing w:val="1"/>
          <w:lang w:bidi="ar-SA"/>
        </w:rPr>
        <w:tab/>
        <w:t>1977.</w:t>
      </w:r>
      <w:r w:rsidRPr="00B7545D">
        <w:rPr>
          <w:rFonts w:eastAsia="Times New Roman"/>
          <w:color w:val="000000"/>
          <w:spacing w:val="1"/>
          <w:lang w:bidi="ar-SA"/>
        </w:rPr>
        <w:br/>
      </w:r>
      <w:r w:rsidR="00F06CCB" w:rsidRPr="00B7545D">
        <w:rPr>
          <w:i/>
        </w:rPr>
        <w:t>Bib</w:t>
      </w:r>
      <w:r w:rsidR="00BE1C3B" w:rsidRPr="00B7545D">
        <w:rPr>
          <w:i/>
        </w:rPr>
        <w:tab/>
      </w:r>
      <w:r w:rsidR="00BE1C3B" w:rsidRPr="00B7545D">
        <w:rPr>
          <w:i/>
        </w:rPr>
        <w:tab/>
        <w:t>Biblica</w:t>
      </w:r>
    </w:p>
    <w:p w:rsidR="000B58CE" w:rsidRPr="00B7545D" w:rsidRDefault="000B58CE" w:rsidP="000B58CE">
      <w:pPr>
        <w:pStyle w:val="PlainText"/>
        <w:rPr>
          <w:i/>
        </w:rPr>
      </w:pPr>
      <w:r w:rsidRPr="00B7545D">
        <w:rPr>
          <w:i/>
        </w:rPr>
        <w:t>BibSac</w:t>
      </w:r>
      <w:r w:rsidRPr="00B7545D">
        <w:rPr>
          <w:i/>
        </w:rPr>
        <w:tab/>
      </w:r>
      <w:r w:rsidRPr="00B7545D">
        <w:rPr>
          <w:i/>
        </w:rPr>
        <w:tab/>
      </w:r>
      <w:r w:rsidRPr="00B7545D">
        <w:rPr>
          <w:i/>
          <w:iCs/>
          <w:color w:val="000000"/>
          <w:spacing w:val="-7"/>
        </w:rPr>
        <w:t>Bibliotheca sacra</w:t>
      </w:r>
    </w:p>
    <w:p w:rsidR="00750ADA" w:rsidRPr="00B7545D" w:rsidRDefault="00E22324" w:rsidP="003E3153">
      <w:pPr>
        <w:pStyle w:val="PlainText"/>
        <w:rPr>
          <w:i/>
        </w:rPr>
      </w:pPr>
      <w:r w:rsidRPr="00B7545D">
        <w:rPr>
          <w:i/>
        </w:rPr>
        <w:t>BIOSCS</w:t>
      </w:r>
      <w:r w:rsidRPr="00B7545D">
        <w:rPr>
          <w:i/>
        </w:rPr>
        <w:tab/>
      </w:r>
      <w:r w:rsidRPr="00B7545D">
        <w:rPr>
          <w:i/>
        </w:rPr>
        <w:tab/>
      </w:r>
      <w:r w:rsidRPr="00B7545D">
        <w:rPr>
          <w:i/>
          <w:iCs/>
          <w:color w:val="000000"/>
          <w:spacing w:val="-2"/>
        </w:rPr>
        <w:t xml:space="preserve">Bulletin of the International Organization for Septuagint and </w:t>
      </w:r>
      <w:r w:rsidRPr="00B7545D">
        <w:rPr>
          <w:i/>
          <w:iCs/>
          <w:color w:val="000000"/>
          <w:spacing w:val="-5"/>
        </w:rPr>
        <w:t>Cognate Studies</w:t>
      </w:r>
    </w:p>
    <w:p w:rsidR="000B58CE" w:rsidRPr="00B7545D" w:rsidRDefault="00750ADA" w:rsidP="000B58CE">
      <w:pPr>
        <w:pStyle w:val="PlainText"/>
        <w:rPr>
          <w:i/>
        </w:rPr>
      </w:pPr>
      <w:r w:rsidRPr="00B7545D">
        <w:rPr>
          <w:i/>
        </w:rPr>
        <w:t xml:space="preserve">BJRL </w:t>
      </w:r>
      <w:r w:rsidRPr="00B7545D">
        <w:rPr>
          <w:i/>
        </w:rPr>
        <w:tab/>
      </w:r>
      <w:r w:rsidRPr="00B7545D">
        <w:rPr>
          <w:i/>
        </w:rPr>
        <w:tab/>
        <w:t>Bulletin of the John Rylands U</w:t>
      </w:r>
      <w:r w:rsidR="000B58CE" w:rsidRPr="00B7545D">
        <w:rPr>
          <w:i/>
        </w:rPr>
        <w:t>niversity Library of Manchester</w:t>
      </w:r>
    </w:p>
    <w:p w:rsidR="00E72914" w:rsidRPr="00B7545D" w:rsidRDefault="00E72914" w:rsidP="000B58CE">
      <w:pPr>
        <w:pStyle w:val="PlainText"/>
      </w:pPr>
      <w:r w:rsidRPr="00B7545D">
        <w:t>BL</w:t>
      </w:r>
      <w:r w:rsidR="000B58CE" w:rsidRPr="00B7545D">
        <w:tab/>
      </w:r>
      <w:r w:rsidR="000B58CE" w:rsidRPr="00B7545D">
        <w:tab/>
      </w:r>
      <w:r w:rsidR="000B58CE" w:rsidRPr="00B7545D">
        <w:rPr>
          <w:color w:val="000000"/>
          <w:spacing w:val="-2"/>
        </w:rPr>
        <w:t xml:space="preserve">H. Bauer and P. Leander, </w:t>
      </w:r>
      <w:r w:rsidR="000B58CE" w:rsidRPr="00B7545D">
        <w:rPr>
          <w:i/>
          <w:iCs/>
          <w:color w:val="000000"/>
          <w:spacing w:val="-2"/>
        </w:rPr>
        <w:t>Grammatik des Biblisch-</w:t>
      </w:r>
      <w:r w:rsidR="000B58CE" w:rsidRPr="00B7545D">
        <w:rPr>
          <w:i/>
          <w:iCs/>
          <w:color w:val="000000"/>
          <w:spacing w:val="2"/>
        </w:rPr>
        <w:t>Aramdischen.</w:t>
      </w:r>
      <w:r w:rsidR="000B58CE" w:rsidRPr="00B7545D">
        <w:rPr>
          <w:color w:val="000000"/>
          <w:spacing w:val="2"/>
        </w:rPr>
        <w:t>Halle: Niemeyer, 1927.</w:t>
      </w:r>
    </w:p>
    <w:p w:rsidR="000B58CE" w:rsidRPr="00B7545D" w:rsidRDefault="000B58CE" w:rsidP="003E3153">
      <w:pPr>
        <w:pStyle w:val="PlainText"/>
        <w:rPr>
          <w:i/>
        </w:rPr>
      </w:pPr>
      <w:r w:rsidRPr="00B7545D">
        <w:rPr>
          <w:i/>
        </w:rPr>
        <w:t>BO</w:t>
      </w:r>
      <w:r w:rsidRPr="00B7545D">
        <w:rPr>
          <w:i/>
        </w:rPr>
        <w:tab/>
      </w:r>
      <w:r w:rsidRPr="00B7545D">
        <w:rPr>
          <w:i/>
        </w:rPr>
        <w:tab/>
      </w:r>
      <w:r w:rsidRPr="00B7545D">
        <w:rPr>
          <w:rFonts w:eastAsia="Times New Roman"/>
          <w:i/>
          <w:iCs/>
          <w:color w:val="000000"/>
          <w:spacing w:val="-6"/>
          <w:lang w:bidi="ar-SA"/>
        </w:rPr>
        <w:t>Bibliotheca orientalis</w:t>
      </w:r>
    </w:p>
    <w:p w:rsidR="000B58CE" w:rsidRPr="00B7545D" w:rsidRDefault="000B58CE" w:rsidP="000B58CE">
      <w:pPr>
        <w:pStyle w:val="PlainText"/>
        <w:rPr>
          <w:i/>
        </w:rPr>
      </w:pPr>
      <w:r w:rsidRPr="00B7545D">
        <w:rPr>
          <w:i/>
        </w:rPr>
        <w:t>BR</w:t>
      </w:r>
      <w:r w:rsidRPr="00B7545D">
        <w:rPr>
          <w:i/>
        </w:rPr>
        <w:tab/>
      </w:r>
      <w:r w:rsidRPr="00B7545D">
        <w:rPr>
          <w:i/>
        </w:rPr>
        <w:tab/>
        <w:t>Biblical Research</w:t>
      </w:r>
    </w:p>
    <w:p w:rsidR="000B58CE" w:rsidRPr="00B7545D" w:rsidRDefault="000B58CE" w:rsidP="000B58CE">
      <w:pPr>
        <w:pStyle w:val="PlainText"/>
        <w:rPr>
          <w:i/>
        </w:rPr>
      </w:pPr>
      <w:r w:rsidRPr="00B7545D">
        <w:rPr>
          <w:i/>
        </w:rPr>
        <w:t>BZ</w:t>
      </w:r>
      <w:r w:rsidRPr="00B7545D">
        <w:rPr>
          <w:i/>
        </w:rPr>
        <w:tab/>
      </w:r>
      <w:r w:rsidRPr="00B7545D">
        <w:rPr>
          <w:i/>
        </w:rPr>
        <w:tab/>
      </w:r>
      <w:r w:rsidRPr="00B7545D">
        <w:rPr>
          <w:i/>
          <w:iCs/>
          <w:color w:val="000000"/>
          <w:spacing w:val="-9"/>
        </w:rPr>
        <w:t>Biblische Zeitschrift</w:t>
      </w:r>
    </w:p>
    <w:p w:rsidR="003C5915" w:rsidRPr="003C5915" w:rsidRDefault="003C5915" w:rsidP="003E3153">
      <w:pPr>
        <w:pStyle w:val="PlainText"/>
      </w:pPr>
      <w:r>
        <w:t>C</w:t>
      </w:r>
      <w:r>
        <w:tab/>
      </w:r>
      <w:r>
        <w:tab/>
        <w:t>The Cairo Geniza manuscript of Daniel</w:t>
      </w:r>
    </w:p>
    <w:p w:rsidR="003C5915" w:rsidRPr="003C5915" w:rsidRDefault="003C5915" w:rsidP="003E3153">
      <w:pPr>
        <w:pStyle w:val="PlainText"/>
      </w:pPr>
      <w:r>
        <w:t>c.</w:t>
      </w:r>
      <w:r>
        <w:tab/>
      </w:r>
      <w:r>
        <w:tab/>
        <w:t>circa (about)</w:t>
      </w:r>
    </w:p>
    <w:p w:rsidR="00750ADA" w:rsidRPr="00B7545D" w:rsidRDefault="00750ADA" w:rsidP="003E3153">
      <w:pPr>
        <w:pStyle w:val="PlainText"/>
      </w:pPr>
      <w:r w:rsidRPr="00B7545D">
        <w:rPr>
          <w:i/>
        </w:rPr>
        <w:t>CAD</w:t>
      </w:r>
      <w:r w:rsidRPr="00B7545D">
        <w:t xml:space="preserve"> </w:t>
      </w:r>
      <w:r w:rsidRPr="00B7545D">
        <w:tab/>
      </w:r>
      <w:r w:rsidRPr="00B7545D">
        <w:tab/>
        <w:t>Gelb, I. J., et al.</w:t>
      </w:r>
      <w:r w:rsidRPr="00B7545D">
        <w:rPr>
          <w:i/>
        </w:rPr>
        <w:t>The [Chicago] Assyrian Dictionary</w:t>
      </w:r>
      <w:r w:rsidRPr="00B7545D">
        <w:t xml:space="preserve">. </w:t>
      </w:r>
      <w:r w:rsidRPr="00B7545D">
        <w:rPr>
          <w:spacing w:val="-1"/>
        </w:rPr>
        <w:t>21 vols. Chicago</w:t>
      </w:r>
      <w:r w:rsidRPr="00B7545D">
        <w:t xml:space="preserve">: Oriental Institute, </w:t>
      </w:r>
      <w:r w:rsidRPr="00B7545D">
        <w:tab/>
      </w:r>
      <w:r w:rsidRPr="00B7545D">
        <w:tab/>
      </w:r>
      <w:r w:rsidRPr="00B7545D">
        <w:tab/>
        <w:t>1956-.</w:t>
      </w:r>
    </w:p>
    <w:p w:rsidR="000B58CE" w:rsidRPr="00B7545D" w:rsidRDefault="000B58CE" w:rsidP="003E3153">
      <w:pPr>
        <w:pStyle w:val="PlainText"/>
        <w:rPr>
          <w:i/>
        </w:rPr>
      </w:pPr>
      <w:r w:rsidRPr="00B7545D">
        <w:rPr>
          <w:i/>
        </w:rPr>
        <w:t>CBQ</w:t>
      </w:r>
      <w:r w:rsidRPr="00B7545D">
        <w:rPr>
          <w:i/>
        </w:rPr>
        <w:tab/>
      </w:r>
      <w:r w:rsidRPr="00B7545D">
        <w:rPr>
          <w:i/>
        </w:rPr>
        <w:tab/>
        <w:t>Catholic Biblical Quarter</w:t>
      </w:r>
      <w:r w:rsidR="001E0419" w:rsidRPr="00B7545D">
        <w:rPr>
          <w:i/>
        </w:rPr>
        <w:t>l</w:t>
      </w:r>
      <w:r w:rsidRPr="00B7545D">
        <w:rPr>
          <w:i/>
        </w:rPr>
        <w:t>y</w:t>
      </w:r>
    </w:p>
    <w:p w:rsidR="001E0419" w:rsidRPr="00B7545D" w:rsidRDefault="001E0419" w:rsidP="003E3153">
      <w:pPr>
        <w:pStyle w:val="PlainText"/>
        <w:rPr>
          <w:i/>
        </w:rPr>
      </w:pPr>
      <w:r w:rsidRPr="00B7545D">
        <w:rPr>
          <w:i/>
        </w:rPr>
        <w:t>CBR</w:t>
      </w:r>
      <w:r w:rsidRPr="00B7545D">
        <w:rPr>
          <w:i/>
        </w:rPr>
        <w:tab/>
      </w:r>
      <w:r w:rsidRPr="00B7545D">
        <w:rPr>
          <w:i/>
        </w:rPr>
        <w:tab/>
        <w:t>Currents in Biblical Research</w:t>
      </w:r>
    </w:p>
    <w:p w:rsidR="00750ADA" w:rsidRPr="00B7545D" w:rsidRDefault="00E87146" w:rsidP="003E3153">
      <w:pPr>
        <w:pStyle w:val="PlainText"/>
        <w:rPr>
          <w:i/>
        </w:rPr>
      </w:pPr>
      <w:r w:rsidRPr="00B7545D">
        <w:t>CD</w:t>
      </w:r>
      <w:r w:rsidRPr="00B7545D">
        <w:tab/>
      </w:r>
      <w:r w:rsidRPr="00B7545D">
        <w:tab/>
      </w:r>
      <w:r w:rsidR="00560F79" w:rsidRPr="00B7545D">
        <w:t>The Cairo Genizah copy of the Damascus Document</w:t>
      </w:r>
    </w:p>
    <w:p w:rsidR="00A35F7F" w:rsidRDefault="00A35F7F" w:rsidP="00750ADA">
      <w:pPr>
        <w:pStyle w:val="ListParagraph"/>
        <w:rPr>
          <w:rFonts w:asciiTheme="minorHAnsi" w:hAnsiTheme="minorHAnsi"/>
          <w:szCs w:val="22"/>
        </w:rPr>
      </w:pPr>
      <w:r>
        <w:rPr>
          <w:rFonts w:asciiTheme="minorHAnsi" w:hAnsiTheme="minorHAnsi"/>
          <w:szCs w:val="22"/>
        </w:rPr>
        <w:t xml:space="preserve">CSCO </w:t>
      </w:r>
      <w:r w:rsidR="00A257CC">
        <w:rPr>
          <w:rFonts w:asciiTheme="minorHAnsi" w:hAnsiTheme="minorHAnsi"/>
          <w:szCs w:val="22"/>
        </w:rPr>
        <w:tab/>
      </w:r>
      <w:r w:rsidR="00A257CC">
        <w:rPr>
          <w:rFonts w:asciiTheme="minorHAnsi" w:hAnsiTheme="minorHAnsi"/>
          <w:szCs w:val="22"/>
        </w:rPr>
        <w:tab/>
        <w:t>Corpus Scriptorium Christianorum Orientalium</w:t>
      </w:r>
    </w:p>
    <w:p w:rsidR="00AF422C" w:rsidRPr="00A257CC" w:rsidRDefault="00AF422C" w:rsidP="00750ADA">
      <w:pPr>
        <w:pStyle w:val="ListParagraph"/>
        <w:rPr>
          <w:rFonts w:asciiTheme="minorHAnsi" w:hAnsiTheme="minorHAnsi"/>
          <w:szCs w:val="22"/>
        </w:rPr>
      </w:pPr>
      <w:r>
        <w:rPr>
          <w:rFonts w:asciiTheme="minorHAnsi" w:hAnsiTheme="minorHAnsi"/>
          <w:i/>
          <w:szCs w:val="22"/>
        </w:rPr>
        <w:t>DCH</w:t>
      </w:r>
      <w:r w:rsidR="00A257CC">
        <w:rPr>
          <w:rFonts w:asciiTheme="minorHAnsi" w:hAnsiTheme="minorHAnsi"/>
          <w:i/>
          <w:szCs w:val="22"/>
        </w:rPr>
        <w:tab/>
      </w:r>
      <w:r w:rsidR="00A257CC">
        <w:rPr>
          <w:rFonts w:asciiTheme="minorHAnsi" w:hAnsiTheme="minorHAnsi"/>
          <w:i/>
          <w:szCs w:val="22"/>
        </w:rPr>
        <w:tab/>
      </w:r>
      <w:r w:rsidR="00A257CC">
        <w:rPr>
          <w:rFonts w:asciiTheme="minorHAnsi" w:hAnsiTheme="minorHAnsi"/>
          <w:szCs w:val="22"/>
        </w:rPr>
        <w:t xml:space="preserve">D. J. A. Clines (ed.), </w:t>
      </w:r>
      <w:r w:rsidR="00A257CC">
        <w:rPr>
          <w:rFonts w:asciiTheme="minorHAnsi" w:hAnsiTheme="minorHAnsi"/>
          <w:i/>
          <w:szCs w:val="22"/>
        </w:rPr>
        <w:t>The Dictionary of Classical Hebrew</w:t>
      </w:r>
      <w:r w:rsidR="00A257CC">
        <w:rPr>
          <w:rFonts w:asciiTheme="minorHAnsi" w:hAnsiTheme="minorHAnsi"/>
          <w:szCs w:val="22"/>
        </w:rPr>
        <w:t xml:space="preserve">. 8 vols. Sheffield: Sheffield </w:t>
      </w:r>
      <w:r w:rsidR="00A257CC">
        <w:rPr>
          <w:rFonts w:asciiTheme="minorHAnsi" w:hAnsiTheme="minorHAnsi"/>
          <w:szCs w:val="22"/>
        </w:rPr>
        <w:tab/>
      </w:r>
      <w:r w:rsidR="00A257CC">
        <w:rPr>
          <w:rFonts w:asciiTheme="minorHAnsi" w:hAnsiTheme="minorHAnsi"/>
          <w:szCs w:val="22"/>
        </w:rPr>
        <w:tab/>
      </w:r>
      <w:r w:rsidR="00A257CC">
        <w:rPr>
          <w:rFonts w:asciiTheme="minorHAnsi" w:hAnsiTheme="minorHAnsi"/>
          <w:szCs w:val="22"/>
        </w:rPr>
        <w:tab/>
        <w:t>Academic Press (vols. 1-5) and Sheffield Phoenix Press (vols. 6-8), 1993-2011</w:t>
      </w:r>
    </w:p>
    <w:p w:rsidR="00750ADA" w:rsidRPr="00B7545D" w:rsidRDefault="00750ADA" w:rsidP="00750ADA">
      <w:pPr>
        <w:pStyle w:val="ListParagraph"/>
        <w:rPr>
          <w:rFonts w:asciiTheme="minorHAnsi" w:hAnsiTheme="minorHAnsi"/>
          <w:szCs w:val="22"/>
        </w:rPr>
      </w:pPr>
      <w:r w:rsidRPr="00B7545D">
        <w:rPr>
          <w:rFonts w:asciiTheme="minorHAnsi" w:hAnsiTheme="minorHAnsi"/>
          <w:szCs w:val="22"/>
        </w:rPr>
        <w:t>DG</w:t>
      </w:r>
      <w:r w:rsidRPr="00B7545D">
        <w:rPr>
          <w:rFonts w:asciiTheme="minorHAnsi" w:hAnsiTheme="minorHAnsi"/>
          <w:szCs w:val="22"/>
        </w:rPr>
        <w:tab/>
      </w:r>
      <w:r w:rsidRPr="00B7545D">
        <w:rPr>
          <w:rFonts w:asciiTheme="minorHAnsi" w:hAnsiTheme="minorHAnsi"/>
          <w:szCs w:val="22"/>
        </w:rPr>
        <w:tab/>
      </w:r>
      <w:r w:rsidRPr="00B7545D">
        <w:rPr>
          <w:rFonts w:asciiTheme="minorHAnsi" w:hAnsiTheme="minorHAnsi"/>
          <w:szCs w:val="22"/>
        </w:rPr>
        <w:tab/>
        <w:t xml:space="preserve">Gibson, John C. L. </w:t>
      </w:r>
      <w:r w:rsidRPr="00B7545D">
        <w:rPr>
          <w:rFonts w:asciiTheme="minorHAnsi" w:hAnsiTheme="minorHAnsi"/>
          <w:i/>
          <w:szCs w:val="22"/>
        </w:rPr>
        <w:t>Davidson's Introductory Hebrew Grammar – Syntax</w:t>
      </w:r>
      <w:r w:rsidRPr="00B7545D">
        <w:rPr>
          <w:rFonts w:asciiTheme="minorHAnsi" w:hAnsiTheme="minorHAnsi"/>
          <w:szCs w:val="22"/>
        </w:rPr>
        <w:t xml:space="preserve">. Edinburgh: Clark, </w:t>
      </w:r>
      <w:r w:rsidRPr="00B7545D">
        <w:rPr>
          <w:rFonts w:asciiTheme="minorHAnsi" w:hAnsiTheme="minorHAnsi"/>
          <w:szCs w:val="22"/>
        </w:rPr>
        <w:tab/>
      </w:r>
      <w:r w:rsidRPr="00B7545D">
        <w:rPr>
          <w:rFonts w:asciiTheme="minorHAnsi" w:hAnsiTheme="minorHAnsi"/>
          <w:szCs w:val="22"/>
        </w:rPr>
        <w:tab/>
      </w:r>
      <w:r w:rsidRPr="00B7545D">
        <w:rPr>
          <w:rFonts w:asciiTheme="minorHAnsi" w:hAnsiTheme="minorHAnsi"/>
          <w:szCs w:val="22"/>
        </w:rPr>
        <w:tab/>
        <w:t>1994.</w:t>
      </w:r>
    </w:p>
    <w:p w:rsidR="0048623E" w:rsidRDefault="00F06CCB" w:rsidP="0048623E">
      <w:pPr>
        <w:pStyle w:val="ListParagraph"/>
        <w:rPr>
          <w:rFonts w:asciiTheme="minorHAnsi" w:hAnsiTheme="minorHAnsi"/>
          <w:szCs w:val="22"/>
        </w:rPr>
      </w:pPr>
      <w:r w:rsidRPr="00B7545D">
        <w:rPr>
          <w:rFonts w:asciiTheme="minorHAnsi" w:hAnsiTheme="minorHAnsi"/>
          <w:szCs w:val="22"/>
        </w:rPr>
        <w:t>Diss.</w:t>
      </w:r>
      <w:r w:rsidRPr="00B7545D">
        <w:rPr>
          <w:rFonts w:asciiTheme="minorHAnsi" w:hAnsiTheme="minorHAnsi"/>
          <w:szCs w:val="22"/>
        </w:rPr>
        <w:tab/>
      </w:r>
      <w:r w:rsidRPr="00B7545D">
        <w:rPr>
          <w:rFonts w:asciiTheme="minorHAnsi" w:hAnsiTheme="minorHAnsi"/>
          <w:szCs w:val="22"/>
        </w:rPr>
        <w:tab/>
        <w:t>Dissertation</w:t>
      </w:r>
    </w:p>
    <w:p w:rsidR="00A74543" w:rsidRPr="00B7545D" w:rsidRDefault="00A74543" w:rsidP="0048623E">
      <w:pPr>
        <w:pStyle w:val="ListParagraph"/>
        <w:rPr>
          <w:rFonts w:asciiTheme="minorHAnsi" w:hAnsiTheme="minorHAnsi"/>
          <w:szCs w:val="22"/>
        </w:rPr>
      </w:pPr>
      <w:r>
        <w:rPr>
          <w:rFonts w:asciiTheme="minorHAnsi" w:hAnsiTheme="minorHAnsi"/>
          <w:szCs w:val="22"/>
        </w:rPr>
        <w:t>dittog.</w:t>
      </w:r>
      <w:r>
        <w:rPr>
          <w:rFonts w:asciiTheme="minorHAnsi" w:hAnsiTheme="minorHAnsi"/>
          <w:szCs w:val="22"/>
        </w:rPr>
        <w:tab/>
      </w:r>
      <w:r>
        <w:rPr>
          <w:rFonts w:asciiTheme="minorHAnsi" w:hAnsiTheme="minorHAnsi"/>
          <w:szCs w:val="22"/>
        </w:rPr>
        <w:tab/>
        <w:t>dittography</w:t>
      </w:r>
    </w:p>
    <w:p w:rsidR="0048623E" w:rsidRPr="00B7545D" w:rsidRDefault="0048623E" w:rsidP="0048623E">
      <w:pPr>
        <w:pStyle w:val="ListParagraph"/>
        <w:rPr>
          <w:rFonts w:asciiTheme="minorHAnsi" w:hAnsiTheme="minorHAnsi"/>
          <w:szCs w:val="22"/>
        </w:rPr>
      </w:pPr>
      <w:r w:rsidRPr="00B7545D">
        <w:rPr>
          <w:rFonts w:asciiTheme="minorHAnsi" w:hAnsiTheme="minorHAnsi"/>
          <w:szCs w:val="22"/>
        </w:rPr>
        <w:t>DJD</w:t>
      </w:r>
      <w:r w:rsidRPr="00B7545D">
        <w:rPr>
          <w:rFonts w:asciiTheme="minorHAnsi" w:hAnsiTheme="minorHAnsi"/>
          <w:szCs w:val="22"/>
        </w:rPr>
        <w:tab/>
      </w:r>
      <w:r w:rsidRPr="00B7545D">
        <w:rPr>
          <w:rFonts w:asciiTheme="minorHAnsi" w:hAnsiTheme="minorHAnsi"/>
          <w:szCs w:val="22"/>
        </w:rPr>
        <w:tab/>
      </w:r>
      <w:r w:rsidRPr="00B7545D">
        <w:rPr>
          <w:rFonts w:asciiTheme="minorHAnsi" w:hAnsiTheme="minorHAnsi"/>
          <w:color w:val="000000"/>
          <w:spacing w:val="3"/>
          <w:szCs w:val="22"/>
        </w:rPr>
        <w:t xml:space="preserve">Discoveries in the Judaean Desert. Oxford: </w:t>
      </w:r>
      <w:r w:rsidRPr="00B7545D">
        <w:rPr>
          <w:rFonts w:asciiTheme="minorHAnsi" w:hAnsiTheme="minorHAnsi"/>
          <w:color w:val="000000"/>
          <w:spacing w:val="2"/>
          <w:szCs w:val="22"/>
        </w:rPr>
        <w:t>Clarendon.</w:t>
      </w:r>
    </w:p>
    <w:p w:rsidR="00750ADA" w:rsidRPr="00B7545D" w:rsidRDefault="00750ADA" w:rsidP="00750ADA">
      <w:pPr>
        <w:pStyle w:val="ListParagraph"/>
        <w:rPr>
          <w:rFonts w:asciiTheme="minorHAnsi" w:hAnsiTheme="minorHAnsi"/>
          <w:szCs w:val="22"/>
        </w:rPr>
      </w:pPr>
      <w:r w:rsidRPr="00B7545D">
        <w:rPr>
          <w:rFonts w:asciiTheme="minorHAnsi" w:hAnsiTheme="minorHAnsi"/>
          <w:i/>
          <w:szCs w:val="22"/>
        </w:rPr>
        <w:t>DOTT</w:t>
      </w:r>
      <w:r w:rsidRPr="00B7545D">
        <w:rPr>
          <w:rFonts w:asciiTheme="minorHAnsi" w:hAnsiTheme="minorHAnsi"/>
          <w:i/>
          <w:szCs w:val="22"/>
        </w:rPr>
        <w:tab/>
      </w:r>
      <w:r w:rsidRPr="00B7545D">
        <w:rPr>
          <w:rFonts w:asciiTheme="minorHAnsi" w:hAnsiTheme="minorHAnsi"/>
          <w:i/>
          <w:szCs w:val="22"/>
        </w:rPr>
        <w:tab/>
      </w:r>
      <w:r w:rsidRPr="00B7545D">
        <w:rPr>
          <w:rFonts w:asciiTheme="minorHAnsi" w:hAnsiTheme="minorHAnsi"/>
          <w:szCs w:val="22"/>
        </w:rPr>
        <w:t xml:space="preserve">Thomas, D. W. </w:t>
      </w:r>
      <w:r w:rsidRPr="00B7545D">
        <w:rPr>
          <w:rFonts w:asciiTheme="minorHAnsi" w:hAnsiTheme="minorHAnsi"/>
          <w:i/>
          <w:szCs w:val="22"/>
        </w:rPr>
        <w:t>Documents from Old Testament Times</w:t>
      </w:r>
      <w:r w:rsidR="0048623E" w:rsidRPr="00B7545D">
        <w:rPr>
          <w:rFonts w:asciiTheme="minorHAnsi" w:hAnsiTheme="minorHAnsi"/>
          <w:szCs w:val="22"/>
        </w:rPr>
        <w:t>. London</w:t>
      </w:r>
      <w:r w:rsidRPr="00B7545D">
        <w:rPr>
          <w:rFonts w:asciiTheme="minorHAnsi" w:hAnsiTheme="minorHAnsi"/>
          <w:szCs w:val="22"/>
        </w:rPr>
        <w:t>: Nelson, 1958.</w:t>
      </w:r>
    </w:p>
    <w:p w:rsidR="00750ADA" w:rsidRPr="00B7545D" w:rsidRDefault="00750ADA" w:rsidP="00750ADA">
      <w:pPr>
        <w:pStyle w:val="ListParagraph"/>
        <w:rPr>
          <w:rFonts w:asciiTheme="minorHAnsi" w:hAnsiTheme="minorHAnsi"/>
          <w:b/>
          <w:szCs w:val="22"/>
        </w:rPr>
      </w:pPr>
      <w:r w:rsidRPr="00B7545D">
        <w:rPr>
          <w:rFonts w:asciiTheme="minorHAnsi" w:hAnsiTheme="minorHAnsi"/>
          <w:i/>
          <w:szCs w:val="22"/>
        </w:rPr>
        <w:t>DSS</w:t>
      </w:r>
      <w:r w:rsidRPr="00B7545D">
        <w:rPr>
          <w:rFonts w:asciiTheme="minorHAnsi" w:hAnsiTheme="minorHAnsi"/>
          <w:i/>
          <w:szCs w:val="22"/>
        </w:rPr>
        <w:tab/>
      </w:r>
      <w:r w:rsidRPr="00B7545D">
        <w:rPr>
          <w:rFonts w:asciiTheme="minorHAnsi" w:hAnsiTheme="minorHAnsi"/>
          <w:i/>
          <w:szCs w:val="22"/>
        </w:rPr>
        <w:tab/>
      </w:r>
      <w:r w:rsidRPr="00B7545D">
        <w:rPr>
          <w:rFonts w:asciiTheme="minorHAnsi" w:hAnsiTheme="minorHAnsi"/>
          <w:szCs w:val="22"/>
        </w:rPr>
        <w:t>García Martínez, F., and E. J. C. Tigchelaar (eds.).</w:t>
      </w:r>
      <w:r w:rsidRPr="00B7545D">
        <w:rPr>
          <w:rFonts w:asciiTheme="minorHAnsi" w:hAnsiTheme="minorHAnsi"/>
          <w:b/>
          <w:szCs w:val="22"/>
        </w:rPr>
        <w:t xml:space="preserve"> </w:t>
      </w:r>
      <w:r w:rsidRPr="00B7545D">
        <w:rPr>
          <w:rFonts w:asciiTheme="minorHAnsi" w:hAnsiTheme="minorHAnsi"/>
          <w:i/>
          <w:iCs/>
          <w:szCs w:val="22"/>
        </w:rPr>
        <w:t>The Dead Sea Scrolls</w:t>
      </w:r>
      <w:r w:rsidRPr="00B7545D">
        <w:rPr>
          <w:rFonts w:asciiTheme="minorHAnsi" w:hAnsiTheme="minorHAnsi"/>
          <w:szCs w:val="22"/>
        </w:rPr>
        <w:t xml:space="preserve">. Reprinted Leiden: </w:t>
      </w:r>
      <w:r w:rsidRPr="00B7545D">
        <w:rPr>
          <w:rFonts w:asciiTheme="minorHAnsi" w:hAnsiTheme="minorHAnsi"/>
          <w:szCs w:val="22"/>
        </w:rPr>
        <w:tab/>
      </w:r>
      <w:r w:rsidRPr="00B7545D">
        <w:rPr>
          <w:rFonts w:asciiTheme="minorHAnsi" w:hAnsiTheme="minorHAnsi"/>
          <w:szCs w:val="22"/>
        </w:rPr>
        <w:tab/>
        <w:t>Brill, 2000.</w:t>
      </w:r>
    </w:p>
    <w:p w:rsidR="00750ADA" w:rsidRPr="00B7545D" w:rsidRDefault="00750ADA" w:rsidP="00750ADA">
      <w:pPr>
        <w:pStyle w:val="ListParagraph"/>
        <w:rPr>
          <w:rFonts w:asciiTheme="minorHAnsi" w:hAnsiTheme="minorHAnsi"/>
          <w:szCs w:val="22"/>
        </w:rPr>
      </w:pPr>
      <w:r w:rsidRPr="00B7545D">
        <w:rPr>
          <w:rFonts w:asciiTheme="minorHAnsi" w:hAnsiTheme="minorHAnsi"/>
          <w:i/>
          <w:szCs w:val="22"/>
        </w:rPr>
        <w:t>DTT</w:t>
      </w:r>
      <w:r w:rsidRPr="00B7545D">
        <w:rPr>
          <w:rFonts w:asciiTheme="minorHAnsi" w:hAnsiTheme="minorHAnsi"/>
          <w:i/>
          <w:szCs w:val="22"/>
        </w:rPr>
        <w:tab/>
      </w:r>
      <w:r w:rsidRPr="00B7545D">
        <w:rPr>
          <w:rFonts w:asciiTheme="minorHAnsi" w:hAnsiTheme="minorHAnsi"/>
          <w:i/>
          <w:szCs w:val="22"/>
        </w:rPr>
        <w:tab/>
      </w:r>
      <w:r w:rsidRPr="00B7545D">
        <w:rPr>
          <w:rFonts w:asciiTheme="minorHAnsi" w:hAnsiTheme="minorHAnsi"/>
          <w:szCs w:val="22"/>
        </w:rPr>
        <w:t xml:space="preserve">Jastrow, M. </w:t>
      </w:r>
      <w:r w:rsidRPr="00B7545D">
        <w:rPr>
          <w:rFonts w:asciiTheme="minorHAnsi" w:hAnsiTheme="minorHAnsi"/>
          <w:i/>
          <w:szCs w:val="22"/>
        </w:rPr>
        <w:t xml:space="preserve">A Dictionary of the Targumim, the Talmud Babli and Yerushalmi, and the </w:t>
      </w:r>
      <w:r w:rsidRPr="00B7545D">
        <w:rPr>
          <w:rFonts w:asciiTheme="minorHAnsi" w:hAnsiTheme="minorHAnsi"/>
          <w:i/>
          <w:szCs w:val="22"/>
        </w:rPr>
        <w:tab/>
      </w:r>
      <w:r w:rsidRPr="00B7545D">
        <w:rPr>
          <w:rFonts w:asciiTheme="minorHAnsi" w:hAnsiTheme="minorHAnsi"/>
          <w:i/>
          <w:szCs w:val="22"/>
        </w:rPr>
        <w:tab/>
      </w:r>
      <w:r w:rsidRPr="00B7545D">
        <w:rPr>
          <w:rFonts w:asciiTheme="minorHAnsi" w:hAnsiTheme="minorHAnsi"/>
          <w:i/>
          <w:szCs w:val="22"/>
        </w:rPr>
        <w:tab/>
        <w:t xml:space="preserve">Midrashic Literature. </w:t>
      </w:r>
      <w:r w:rsidRPr="00B7545D">
        <w:rPr>
          <w:rFonts w:asciiTheme="minorHAnsi" w:hAnsiTheme="minorHAnsi"/>
          <w:szCs w:val="22"/>
        </w:rPr>
        <w:t>New York: Choreb, 1926.</w:t>
      </w:r>
    </w:p>
    <w:p w:rsidR="00EB4288" w:rsidRPr="00B7545D" w:rsidRDefault="00EB4288" w:rsidP="003E3153">
      <w:pPr>
        <w:pStyle w:val="PlainText"/>
      </w:pPr>
      <w:r w:rsidRPr="00B7545D">
        <w:t>EA</w:t>
      </w:r>
      <w:r w:rsidRPr="00B7545D">
        <w:tab/>
      </w:r>
      <w:r w:rsidRPr="00B7545D">
        <w:tab/>
        <w:t>Eastern Aramaic</w:t>
      </w:r>
    </w:p>
    <w:p w:rsidR="003C5915" w:rsidRDefault="003C5915" w:rsidP="003E3153">
      <w:pPr>
        <w:pStyle w:val="PlainText"/>
      </w:pPr>
      <w:r>
        <w:t>ed(s).</w:t>
      </w:r>
      <w:r>
        <w:tab/>
      </w:r>
      <w:r>
        <w:tab/>
        <w:t>editor(s), edited by</w:t>
      </w:r>
    </w:p>
    <w:p w:rsidR="00B26485" w:rsidRDefault="00B26485" w:rsidP="003E3153">
      <w:pPr>
        <w:pStyle w:val="PlainText"/>
      </w:pPr>
      <w:r>
        <w:t>Esd</w:t>
      </w:r>
      <w:r>
        <w:tab/>
      </w:r>
      <w:r>
        <w:tab/>
        <w:t>Esdras</w:t>
      </w:r>
    </w:p>
    <w:p w:rsidR="000265D7" w:rsidRPr="00B7545D" w:rsidRDefault="000265D7" w:rsidP="003E3153">
      <w:pPr>
        <w:pStyle w:val="PlainText"/>
      </w:pPr>
      <w:r w:rsidRPr="00B7545D">
        <w:t>esp.</w:t>
      </w:r>
      <w:r w:rsidRPr="00B7545D">
        <w:tab/>
      </w:r>
      <w:r w:rsidRPr="00B7545D">
        <w:tab/>
        <w:t>especially</w:t>
      </w:r>
    </w:p>
    <w:p w:rsidR="005D7D74" w:rsidRPr="00B7545D" w:rsidRDefault="005D7D74" w:rsidP="003E3153">
      <w:pPr>
        <w:pStyle w:val="PlainText"/>
      </w:pPr>
      <w:r w:rsidRPr="00B7545D">
        <w:t>ET</w:t>
      </w:r>
      <w:r w:rsidRPr="00B7545D">
        <w:tab/>
      </w:r>
      <w:r w:rsidRPr="00B7545D">
        <w:tab/>
        <w:t>English translation</w:t>
      </w:r>
    </w:p>
    <w:p w:rsidR="003C5915" w:rsidRPr="003C5915" w:rsidRDefault="003C5915" w:rsidP="003E3153">
      <w:pPr>
        <w:pStyle w:val="PlainText"/>
        <w:rPr>
          <w:iCs/>
        </w:rPr>
      </w:pPr>
      <w:r>
        <w:rPr>
          <w:iCs/>
        </w:rPr>
        <w:t>et al.</w:t>
      </w:r>
      <w:r>
        <w:rPr>
          <w:iCs/>
        </w:rPr>
        <w:tab/>
      </w:r>
      <w:r>
        <w:rPr>
          <w:iCs/>
        </w:rPr>
        <w:tab/>
        <w:t>et alii (and others)</w:t>
      </w:r>
    </w:p>
    <w:p w:rsidR="0048623E" w:rsidRPr="00B7545D" w:rsidRDefault="0048623E" w:rsidP="003E3153">
      <w:pPr>
        <w:pStyle w:val="PlainText"/>
        <w:rPr>
          <w:i/>
          <w:iCs/>
        </w:rPr>
      </w:pPr>
      <w:r w:rsidRPr="00B7545D">
        <w:rPr>
          <w:i/>
          <w:iCs/>
        </w:rPr>
        <w:t xml:space="preserve">ETL </w:t>
      </w:r>
      <w:r w:rsidRPr="00B7545D">
        <w:rPr>
          <w:i/>
          <w:iCs/>
        </w:rPr>
        <w:tab/>
      </w:r>
      <w:r w:rsidRPr="00B7545D">
        <w:rPr>
          <w:i/>
          <w:iCs/>
        </w:rPr>
        <w:tab/>
        <w:t>Ephemerides theologicae lovanienses</w:t>
      </w:r>
    </w:p>
    <w:p w:rsidR="0048623E" w:rsidRPr="00B7545D" w:rsidRDefault="0048623E" w:rsidP="003E3153">
      <w:pPr>
        <w:pStyle w:val="PlainText"/>
        <w:rPr>
          <w:i/>
          <w:iCs/>
        </w:rPr>
      </w:pPr>
      <w:r w:rsidRPr="00B7545D">
        <w:rPr>
          <w:i/>
          <w:iCs/>
        </w:rPr>
        <w:t>EvQ</w:t>
      </w:r>
      <w:r w:rsidRPr="00B7545D">
        <w:rPr>
          <w:i/>
          <w:iCs/>
        </w:rPr>
        <w:tab/>
      </w:r>
      <w:r w:rsidRPr="00B7545D">
        <w:rPr>
          <w:i/>
          <w:iCs/>
        </w:rPr>
        <w:tab/>
        <w:t>Evangelical Quarterly</w:t>
      </w:r>
    </w:p>
    <w:p w:rsidR="0048623E" w:rsidRPr="00B7545D" w:rsidRDefault="0048623E" w:rsidP="003E3153">
      <w:pPr>
        <w:pStyle w:val="PlainText"/>
      </w:pPr>
      <w:r w:rsidRPr="00B7545D">
        <w:rPr>
          <w:i/>
          <w:iCs/>
        </w:rPr>
        <w:t>EvT</w:t>
      </w:r>
      <w:r w:rsidRPr="00B7545D">
        <w:rPr>
          <w:i/>
          <w:iCs/>
        </w:rPr>
        <w:tab/>
      </w:r>
      <w:r w:rsidRPr="00B7545D">
        <w:rPr>
          <w:i/>
          <w:iCs/>
        </w:rPr>
        <w:tab/>
        <w:t>Evangelische Theologie</w:t>
      </w:r>
    </w:p>
    <w:p w:rsidR="00750ADA" w:rsidRPr="00B7545D" w:rsidRDefault="00750ADA" w:rsidP="003E3153">
      <w:pPr>
        <w:pStyle w:val="PlainText"/>
      </w:pPr>
      <w:r w:rsidRPr="00B7545D">
        <w:t>EVV</w:t>
      </w:r>
      <w:r w:rsidRPr="00B7545D">
        <w:tab/>
      </w:r>
      <w:r w:rsidRPr="00B7545D">
        <w:tab/>
        <w:t>English Versions</w:t>
      </w:r>
    </w:p>
    <w:p w:rsidR="00E4080B" w:rsidRPr="00B7545D" w:rsidRDefault="00E4080B" w:rsidP="003E3153">
      <w:pPr>
        <w:pStyle w:val="PlainText"/>
        <w:rPr>
          <w:i/>
        </w:rPr>
      </w:pPr>
      <w:r w:rsidRPr="00B7545D">
        <w:rPr>
          <w:i/>
        </w:rPr>
        <w:t>Exp</w:t>
      </w:r>
      <w:r w:rsidRPr="00B7545D">
        <w:rPr>
          <w:i/>
        </w:rPr>
        <w:tab/>
      </w:r>
      <w:r w:rsidRPr="00B7545D">
        <w:rPr>
          <w:i/>
        </w:rPr>
        <w:tab/>
        <w:t>Expositor</w:t>
      </w:r>
    </w:p>
    <w:p w:rsidR="00E4080B" w:rsidRPr="00B7545D" w:rsidRDefault="00E4080B" w:rsidP="00E4080B">
      <w:pPr>
        <w:pStyle w:val="PlainText"/>
        <w:rPr>
          <w:i/>
        </w:rPr>
      </w:pPr>
      <w:r w:rsidRPr="00B7545D">
        <w:rPr>
          <w:i/>
        </w:rPr>
        <w:t>ExpT</w:t>
      </w:r>
      <w:r w:rsidRPr="00B7545D">
        <w:rPr>
          <w:i/>
        </w:rPr>
        <w:tab/>
      </w:r>
      <w:r w:rsidRPr="00B7545D">
        <w:rPr>
          <w:i/>
        </w:rPr>
        <w:tab/>
        <w:t>Expository Times</w:t>
      </w:r>
    </w:p>
    <w:p w:rsidR="006C6327" w:rsidRDefault="006C6327" w:rsidP="00E4080B">
      <w:pPr>
        <w:pStyle w:val="PlainText"/>
      </w:pPr>
      <w:r>
        <w:t>f</w:t>
      </w:r>
      <w:r>
        <w:tab/>
      </w:r>
      <w:r>
        <w:tab/>
        <w:t>feminine</w:t>
      </w:r>
    </w:p>
    <w:p w:rsidR="00E4080B" w:rsidRPr="00B7545D" w:rsidRDefault="00E4080B" w:rsidP="00E4080B">
      <w:pPr>
        <w:pStyle w:val="PlainText"/>
      </w:pPr>
      <w:r w:rsidRPr="00B7545D">
        <w:t>G</w:t>
      </w:r>
      <w:r w:rsidRPr="00B7545D">
        <w:tab/>
      </w:r>
      <w:r w:rsidRPr="00B7545D">
        <w:tab/>
        <w:t>Greek (both OG and Th</w:t>
      </w:r>
      <w:r w:rsidR="00C524D9">
        <w:t>)</w:t>
      </w:r>
    </w:p>
    <w:p w:rsidR="00E1582D" w:rsidRPr="00B7545D" w:rsidRDefault="00E1582D" w:rsidP="00E4080B">
      <w:pPr>
        <w:pStyle w:val="PlainText"/>
      </w:pPr>
      <w:r w:rsidRPr="00B7545D">
        <w:rPr>
          <w:i/>
        </w:rPr>
        <w:t>GBA</w:t>
      </w:r>
      <w:r w:rsidR="00E4080B" w:rsidRPr="00B7545D">
        <w:tab/>
      </w:r>
      <w:r w:rsidR="00E4080B" w:rsidRPr="00B7545D">
        <w:tab/>
      </w:r>
      <w:r w:rsidR="00E4080B" w:rsidRPr="00B7545D">
        <w:rPr>
          <w:color w:val="000000"/>
          <w:spacing w:val="-4"/>
        </w:rPr>
        <w:t xml:space="preserve">Rosenthal, F. </w:t>
      </w:r>
      <w:r w:rsidR="00C524D9">
        <w:rPr>
          <w:color w:val="000000"/>
          <w:spacing w:val="-4"/>
        </w:rPr>
        <w:t xml:space="preserve"> </w:t>
      </w:r>
      <w:r w:rsidR="00E4080B" w:rsidRPr="00B7545D">
        <w:rPr>
          <w:i/>
          <w:iCs/>
          <w:color w:val="000000"/>
          <w:spacing w:val="-4"/>
        </w:rPr>
        <w:t xml:space="preserve">A Grammar of Biblical Aramaic. </w:t>
      </w:r>
      <w:r w:rsidR="00E4080B" w:rsidRPr="00B7545D">
        <w:rPr>
          <w:color w:val="000000"/>
          <w:spacing w:val="-4"/>
        </w:rPr>
        <w:t xml:space="preserve">Wiesbaden: </w:t>
      </w:r>
      <w:r w:rsidR="00E4080B" w:rsidRPr="00B7545D">
        <w:rPr>
          <w:color w:val="000000"/>
        </w:rPr>
        <w:t>Harrassowitz, 1961.</w:t>
      </w:r>
    </w:p>
    <w:p w:rsidR="00E4080B" w:rsidRPr="00B7545D" w:rsidRDefault="00E43525" w:rsidP="00E4080B">
      <w:pPr>
        <w:pStyle w:val="PlainText"/>
      </w:pPr>
      <w:r w:rsidRPr="00B7545D">
        <w:t>Gk.</w:t>
      </w:r>
      <w:r w:rsidRPr="00B7545D">
        <w:tab/>
      </w:r>
      <w:r w:rsidRPr="00B7545D">
        <w:tab/>
        <w:t>Greek</w:t>
      </w:r>
    </w:p>
    <w:p w:rsidR="00E4080B" w:rsidRPr="00B7545D" w:rsidRDefault="00E4080B" w:rsidP="00E4080B">
      <w:pPr>
        <w:pStyle w:val="PlainText"/>
      </w:pPr>
      <w:r w:rsidRPr="00B7545D">
        <w:t>GKC</w:t>
      </w:r>
      <w:r w:rsidRPr="00B7545D">
        <w:tab/>
      </w:r>
      <w:r w:rsidRPr="00B7545D">
        <w:tab/>
      </w:r>
      <w:r w:rsidRPr="00B7545D">
        <w:rPr>
          <w:i/>
        </w:rPr>
        <w:t>Gesenius’</w:t>
      </w:r>
      <w:r w:rsidRPr="00B7545D">
        <w:t xml:space="preserve"> </w:t>
      </w:r>
      <w:r w:rsidRPr="00B7545D">
        <w:rPr>
          <w:i/>
        </w:rPr>
        <w:t>Hebrew Grammar</w:t>
      </w:r>
      <w:r w:rsidRPr="00B7545D">
        <w:t xml:space="preserve">, ed. E. Kautzsch. Trans. A. E. Cowley. London: OUP, 1910. </w:t>
      </w:r>
      <w:r w:rsidRPr="00B7545D">
        <w:tab/>
      </w:r>
      <w:r w:rsidRPr="00B7545D">
        <w:tab/>
      </w:r>
      <w:r w:rsidRPr="00B7545D">
        <w:tab/>
        <w:t>Repr. 1966.</w:t>
      </w:r>
    </w:p>
    <w:p w:rsidR="003E3153" w:rsidRPr="00B7545D" w:rsidRDefault="003E3153" w:rsidP="003E3153">
      <w:pPr>
        <w:pStyle w:val="PlainText"/>
      </w:pPr>
      <w:r w:rsidRPr="00B7545D">
        <w:t>GNB</w:t>
      </w:r>
      <w:r w:rsidR="00BA0B5B" w:rsidRPr="00B7545D">
        <w:tab/>
      </w:r>
      <w:r w:rsidR="00BA0B5B" w:rsidRPr="00B7545D">
        <w:tab/>
        <w:t>Good News Bible Translation</w:t>
      </w:r>
    </w:p>
    <w:p w:rsidR="001A5209" w:rsidRDefault="001A5209" w:rsidP="001A5209">
      <w:pPr>
        <w:pStyle w:val="PlainText"/>
      </w:pPr>
      <w:r>
        <w:lastRenderedPageBreak/>
        <w:t>haplog.</w:t>
      </w:r>
      <w:r>
        <w:tab/>
      </w:r>
      <w:r>
        <w:tab/>
        <w:t>haplography</w:t>
      </w:r>
    </w:p>
    <w:p w:rsidR="00283E5A" w:rsidRPr="001A5209" w:rsidRDefault="00283E5A" w:rsidP="001A5209">
      <w:pPr>
        <w:pStyle w:val="PlainText"/>
        <w:ind w:left="1440" w:hanging="1440"/>
      </w:pPr>
      <w:r w:rsidRPr="00B7545D">
        <w:rPr>
          <w:i/>
        </w:rPr>
        <w:t>HALOT</w:t>
      </w:r>
      <w:r w:rsidR="001A5209">
        <w:rPr>
          <w:i/>
        </w:rPr>
        <w:tab/>
      </w:r>
      <w:r w:rsidR="001A5209">
        <w:t xml:space="preserve">L. Koehler et al. </w:t>
      </w:r>
      <w:r w:rsidR="001A5209">
        <w:rPr>
          <w:i/>
        </w:rPr>
        <w:t>The Hebrew and Aramaic Lexicon of the Old Testament</w:t>
      </w:r>
      <w:r w:rsidR="001A5209">
        <w:t>. Trans. M. E. J. Richardson. Leiden: Brill, 2001.</w:t>
      </w:r>
    </w:p>
    <w:p w:rsidR="00E4080B" w:rsidRPr="00B7545D" w:rsidRDefault="00E4080B" w:rsidP="003E3153">
      <w:pPr>
        <w:pStyle w:val="PlainText"/>
      </w:pPr>
      <w:r w:rsidRPr="00B7545D">
        <w:rPr>
          <w:i/>
        </w:rPr>
        <w:t>HBT</w:t>
      </w:r>
      <w:r w:rsidRPr="00B7545D">
        <w:rPr>
          <w:i/>
        </w:rPr>
        <w:tab/>
      </w:r>
      <w:r w:rsidRPr="00B7545D">
        <w:rPr>
          <w:i/>
        </w:rPr>
        <w:tab/>
        <w:t>Horizons in Biblical Theology</w:t>
      </w:r>
    </w:p>
    <w:p w:rsidR="00EC4429" w:rsidRPr="00B7545D" w:rsidRDefault="00EC4429" w:rsidP="003E3153">
      <w:pPr>
        <w:pStyle w:val="PlainText"/>
        <w:rPr>
          <w:i/>
        </w:rPr>
      </w:pPr>
      <w:r w:rsidRPr="00B7545D">
        <w:t xml:space="preserve">Heb. </w:t>
      </w:r>
      <w:r w:rsidR="00BE1C3B" w:rsidRPr="00B7545D">
        <w:tab/>
      </w:r>
      <w:r w:rsidR="00BE1C3B" w:rsidRPr="00B7545D">
        <w:tab/>
        <w:t>Hebrew</w:t>
      </w:r>
    </w:p>
    <w:p w:rsidR="003D6FE1" w:rsidRPr="00B7545D" w:rsidRDefault="003D6FE1" w:rsidP="003E3153">
      <w:pPr>
        <w:pStyle w:val="PlainText"/>
      </w:pPr>
      <w:r w:rsidRPr="00B7545D">
        <w:rPr>
          <w:i/>
        </w:rPr>
        <w:t>HS</w:t>
      </w:r>
      <w:r w:rsidR="00672D9B" w:rsidRPr="00B7545D">
        <w:tab/>
      </w:r>
      <w:r w:rsidR="00672D9B" w:rsidRPr="00B7545D">
        <w:tab/>
      </w:r>
      <w:r w:rsidR="00AF422C">
        <w:t>R. J. Williams.</w:t>
      </w:r>
      <w:r w:rsidR="00672D9B" w:rsidRPr="00B7545D">
        <w:t xml:space="preserve"> </w:t>
      </w:r>
      <w:r w:rsidR="00E4080B" w:rsidRPr="00B7545D">
        <w:rPr>
          <w:i/>
        </w:rPr>
        <w:t>Hebrew Syntax</w:t>
      </w:r>
      <w:r w:rsidR="00CB63F4">
        <w:t>. 3</w:t>
      </w:r>
      <w:r w:rsidR="00CB63F4" w:rsidRPr="00CB63F4">
        <w:rPr>
          <w:vertAlign w:val="superscript"/>
        </w:rPr>
        <w:t>rd</w:t>
      </w:r>
      <w:r w:rsidR="00CB63F4">
        <w:t xml:space="preserve"> ed., revised and expanded by J. C. Beckman. Tor</w:t>
      </w:r>
      <w:r w:rsidR="00E4080B" w:rsidRPr="00B7545D">
        <w:t>o</w:t>
      </w:r>
      <w:r w:rsidR="00CB63F4">
        <w:t>n</w:t>
      </w:r>
      <w:r w:rsidR="00E4080B" w:rsidRPr="00B7545D">
        <w:t xml:space="preserve">to: </w:t>
      </w:r>
      <w:r w:rsidR="00CB63F4">
        <w:tab/>
      </w:r>
      <w:r w:rsidR="00CB63F4">
        <w:tab/>
      </w:r>
      <w:r w:rsidR="00CB63F4">
        <w:tab/>
      </w:r>
      <w:r w:rsidR="00E4080B" w:rsidRPr="00B7545D">
        <w:t xml:space="preserve">University of Toronto, </w:t>
      </w:r>
      <w:r w:rsidR="00F42F3D" w:rsidRPr="00B7545D">
        <w:t>1976.</w:t>
      </w:r>
    </w:p>
    <w:p w:rsidR="00F42F3D" w:rsidRPr="00B7545D" w:rsidRDefault="000D56C8" w:rsidP="00F42F3D">
      <w:pPr>
        <w:ind w:left="288" w:hanging="288"/>
        <w:rPr>
          <w:i/>
          <w:iCs/>
        </w:rPr>
      </w:pPr>
      <w:r w:rsidRPr="00B7545D">
        <w:rPr>
          <w:i/>
        </w:rPr>
        <w:t>HTS</w:t>
      </w:r>
      <w:r w:rsidRPr="00B7545D">
        <w:rPr>
          <w:i/>
        </w:rPr>
        <w:tab/>
      </w:r>
      <w:r w:rsidRPr="00B7545D">
        <w:rPr>
          <w:i/>
        </w:rPr>
        <w:tab/>
      </w:r>
      <w:r w:rsidRPr="00B7545D">
        <w:rPr>
          <w:i/>
          <w:iCs/>
        </w:rPr>
        <w:t>Hervormde Teologiese Studies</w:t>
      </w:r>
    </w:p>
    <w:p w:rsidR="00F42F3D" w:rsidRPr="00B7545D" w:rsidRDefault="00F42F3D" w:rsidP="00F42F3D">
      <w:pPr>
        <w:ind w:left="288" w:hanging="288"/>
        <w:rPr>
          <w:i/>
          <w:iCs/>
        </w:rPr>
      </w:pPr>
      <w:r w:rsidRPr="00B7545D">
        <w:rPr>
          <w:i/>
          <w:iCs/>
        </w:rPr>
        <w:t>HUCA</w:t>
      </w:r>
      <w:r w:rsidRPr="00B7545D">
        <w:rPr>
          <w:i/>
          <w:iCs/>
        </w:rPr>
        <w:tab/>
      </w:r>
      <w:r w:rsidRPr="00B7545D">
        <w:rPr>
          <w:i/>
          <w:iCs/>
        </w:rPr>
        <w:tab/>
      </w:r>
      <w:r w:rsidRPr="00B7545D">
        <w:rPr>
          <w:rFonts w:cs="Times New Roman"/>
          <w:i/>
          <w:iCs/>
          <w:color w:val="000000"/>
          <w:spacing w:val="-2"/>
          <w:w w:val="99"/>
        </w:rPr>
        <w:t xml:space="preserve">Hebrew Union College Annual </w:t>
      </w:r>
    </w:p>
    <w:p w:rsidR="00762902" w:rsidRPr="00B7545D" w:rsidRDefault="00794521" w:rsidP="00762902">
      <w:pPr>
        <w:ind w:left="288" w:hanging="288"/>
        <w:rPr>
          <w:i/>
        </w:rPr>
      </w:pPr>
      <w:r w:rsidRPr="00B7545D">
        <w:rPr>
          <w:i/>
        </w:rPr>
        <w:t>HW</w:t>
      </w:r>
      <w:r w:rsidR="00F42F3D" w:rsidRPr="00B7545D">
        <w:rPr>
          <w:i/>
        </w:rPr>
        <w:tab/>
      </w:r>
      <w:r w:rsidR="00F42F3D" w:rsidRPr="00B7545D">
        <w:rPr>
          <w:i/>
        </w:rPr>
        <w:tab/>
      </w:r>
      <w:r w:rsidR="00C524D9">
        <w:rPr>
          <w:rFonts w:cs="Times New Roman"/>
          <w:i/>
          <w:iCs/>
          <w:color w:val="000000"/>
          <w:spacing w:val="2"/>
          <w:w w:val="99"/>
        </w:rPr>
        <w:t>Hebrä</w:t>
      </w:r>
      <w:r w:rsidR="00F42F3D" w:rsidRPr="00B7545D">
        <w:rPr>
          <w:rFonts w:cs="Times New Roman"/>
          <w:i/>
          <w:iCs/>
          <w:color w:val="000000"/>
          <w:spacing w:val="2"/>
          <w:w w:val="99"/>
        </w:rPr>
        <w:t xml:space="preserve">ische Wortforschung </w:t>
      </w:r>
      <w:r w:rsidR="00F42F3D" w:rsidRPr="00B7545D">
        <w:rPr>
          <w:rFonts w:cs="Times New Roman"/>
          <w:color w:val="000000"/>
          <w:spacing w:val="2"/>
          <w:w w:val="99"/>
        </w:rPr>
        <w:t xml:space="preserve">(W. Baumgartner Festschrift). Leiden: Brill, </w:t>
      </w:r>
      <w:r w:rsidR="00F42F3D" w:rsidRPr="00B7545D">
        <w:rPr>
          <w:rFonts w:cs="Times New Roman"/>
          <w:color w:val="000000"/>
          <w:spacing w:val="1"/>
          <w:w w:val="99"/>
        </w:rPr>
        <w:t>1967</w:t>
      </w:r>
    </w:p>
    <w:p w:rsidR="0023184E" w:rsidRPr="00B7545D" w:rsidRDefault="0023184E" w:rsidP="00750ADA">
      <w:pPr>
        <w:ind w:left="288" w:hanging="288"/>
        <w:rPr>
          <w:i/>
        </w:rPr>
      </w:pPr>
      <w:r w:rsidRPr="00B7545D">
        <w:rPr>
          <w:i/>
        </w:rPr>
        <w:t>IBD</w:t>
      </w:r>
      <w:r w:rsidR="00762902" w:rsidRPr="00B7545D">
        <w:rPr>
          <w:i/>
        </w:rPr>
        <w:tab/>
      </w:r>
      <w:r w:rsidR="00762902" w:rsidRPr="00B7545D">
        <w:rPr>
          <w:i/>
        </w:rPr>
        <w:tab/>
      </w:r>
      <w:r w:rsidR="00C524D9">
        <w:rPr>
          <w:rFonts w:cs="Times New Roman"/>
          <w:color w:val="000000"/>
          <w:spacing w:val="1"/>
          <w:w w:val="99"/>
        </w:rPr>
        <w:t>J. D. Douglas et al. (eds.).</w:t>
      </w:r>
      <w:r w:rsidR="00762902" w:rsidRPr="00B7545D">
        <w:rPr>
          <w:rFonts w:cs="Times New Roman"/>
          <w:color w:val="000000"/>
          <w:spacing w:val="1"/>
          <w:w w:val="99"/>
        </w:rPr>
        <w:t xml:space="preserve"> </w:t>
      </w:r>
      <w:r w:rsidR="00762902" w:rsidRPr="00B7545D">
        <w:rPr>
          <w:rFonts w:cs="Times New Roman"/>
          <w:i/>
          <w:iCs/>
          <w:color w:val="000000"/>
          <w:spacing w:val="1"/>
          <w:w w:val="99"/>
        </w:rPr>
        <w:t>The Illustrated Bible Dictionary</w:t>
      </w:r>
      <w:r w:rsidR="00762902" w:rsidRPr="00B7545D">
        <w:rPr>
          <w:rFonts w:cs="Times New Roman"/>
          <w:iCs/>
          <w:color w:val="000000"/>
          <w:spacing w:val="1"/>
          <w:w w:val="99"/>
        </w:rPr>
        <w:t xml:space="preserve">. </w:t>
      </w:r>
      <w:r w:rsidR="00C524D9">
        <w:rPr>
          <w:rFonts w:cs="Times New Roman"/>
          <w:color w:val="000000"/>
          <w:spacing w:val="8"/>
          <w:w w:val="99"/>
        </w:rPr>
        <w:t>Leicester, UK</w:t>
      </w:r>
      <w:r w:rsidR="00762902" w:rsidRPr="00B7545D">
        <w:rPr>
          <w:rFonts w:cs="Times New Roman"/>
          <w:color w:val="000000"/>
          <w:spacing w:val="8"/>
          <w:w w:val="99"/>
        </w:rPr>
        <w:t>: IVP, 1980.</w:t>
      </w:r>
    </w:p>
    <w:p w:rsidR="00C524D9" w:rsidRDefault="00750ADA" w:rsidP="00C524D9">
      <w:pPr>
        <w:ind w:left="288" w:hanging="288"/>
        <w:rPr>
          <w:rFonts w:eastAsia="Times New Roman" w:cs="Times New Roman"/>
        </w:rPr>
      </w:pPr>
      <w:r w:rsidRPr="00B7545D">
        <w:rPr>
          <w:i/>
        </w:rPr>
        <w:t xml:space="preserve">IBHS </w:t>
      </w:r>
      <w:r w:rsidRPr="00B7545D">
        <w:rPr>
          <w:i/>
        </w:rPr>
        <w:tab/>
      </w:r>
      <w:r w:rsidRPr="00B7545D">
        <w:rPr>
          <w:i/>
        </w:rPr>
        <w:tab/>
      </w:r>
      <w:r w:rsidR="00AF422C">
        <w:t xml:space="preserve">B. K. </w:t>
      </w:r>
      <w:r w:rsidR="00AF422C">
        <w:rPr>
          <w:rFonts w:eastAsia="Times New Roman" w:cs="Times New Roman"/>
        </w:rPr>
        <w:t>Waltke</w:t>
      </w:r>
      <w:r w:rsidRPr="00B7545D">
        <w:rPr>
          <w:rFonts w:eastAsia="Times New Roman" w:cs="Times New Roman"/>
        </w:rPr>
        <w:t xml:space="preserve"> and </w:t>
      </w:r>
      <w:r w:rsidR="00AF422C">
        <w:rPr>
          <w:rFonts w:eastAsia="Times New Roman" w:cs="Times New Roman"/>
        </w:rPr>
        <w:t>M. O’Connor</w:t>
      </w:r>
      <w:r w:rsidRPr="00B7545D">
        <w:rPr>
          <w:rFonts w:eastAsia="Times New Roman" w:cs="Times New Roman"/>
        </w:rPr>
        <w:t xml:space="preserve">. </w:t>
      </w:r>
      <w:r w:rsidRPr="00B7545D">
        <w:rPr>
          <w:rFonts w:eastAsia="Times New Roman" w:cs="Times New Roman"/>
          <w:i/>
        </w:rPr>
        <w:t>An Introduction to Biblical Hebrew Syntax</w:t>
      </w:r>
      <w:r w:rsidRPr="00B7545D">
        <w:rPr>
          <w:rFonts w:eastAsia="Times New Roman" w:cs="Times New Roman"/>
        </w:rPr>
        <w:t xml:space="preserve">. Winona Lake, </w:t>
      </w:r>
      <w:r w:rsidRPr="00B7545D">
        <w:rPr>
          <w:rFonts w:eastAsia="Times New Roman" w:cs="Times New Roman"/>
        </w:rPr>
        <w:tab/>
      </w:r>
      <w:r w:rsidRPr="00B7545D">
        <w:rPr>
          <w:rFonts w:eastAsia="Times New Roman" w:cs="Times New Roman"/>
        </w:rPr>
        <w:tab/>
      </w:r>
      <w:r w:rsidR="00AF422C">
        <w:rPr>
          <w:rFonts w:eastAsia="Times New Roman" w:cs="Times New Roman"/>
        </w:rPr>
        <w:tab/>
      </w:r>
      <w:r w:rsidR="00C524D9">
        <w:rPr>
          <w:rFonts w:eastAsia="Times New Roman" w:cs="Times New Roman"/>
        </w:rPr>
        <w:t>IN: Eisenbrauns, 1990.</w:t>
      </w:r>
    </w:p>
    <w:p w:rsidR="00C524D9" w:rsidRPr="00C524D9" w:rsidRDefault="00C524D9" w:rsidP="00C524D9">
      <w:pPr>
        <w:ind w:left="288" w:hanging="288"/>
        <w:rPr>
          <w:rFonts w:eastAsia="Times New Roman" w:cs="Times New Roman"/>
        </w:rPr>
      </w:pPr>
      <w:r w:rsidRPr="00805930">
        <w:rPr>
          <w:i/>
        </w:rPr>
        <w:t>IDB</w:t>
      </w:r>
      <w:r w:rsidRPr="00805930">
        <w:t xml:space="preserve"> </w:t>
      </w:r>
      <w:r w:rsidRPr="00805930">
        <w:tab/>
      </w:r>
      <w:r w:rsidRPr="00805930">
        <w:tab/>
        <w:t>K. Crim et al. (eds</w:t>
      </w:r>
      <w:r>
        <w:t>.).</w:t>
      </w:r>
      <w:r w:rsidRPr="00805930">
        <w:t xml:space="preserve"> </w:t>
      </w:r>
      <w:r w:rsidRPr="00805930">
        <w:rPr>
          <w:i/>
          <w:iCs/>
        </w:rPr>
        <w:t xml:space="preserve">The Interpreter's Dictionary of the Bible. </w:t>
      </w:r>
      <w:r w:rsidRPr="00805930">
        <w:rPr>
          <w:iCs/>
        </w:rPr>
        <w:t>4 vol</w:t>
      </w:r>
      <w:r>
        <w:rPr>
          <w:iCs/>
        </w:rPr>
        <w:t xml:space="preserve">umes plus </w:t>
      </w:r>
      <w:r>
        <w:rPr>
          <w:iCs/>
        </w:rPr>
        <w:tab/>
      </w:r>
      <w:r>
        <w:rPr>
          <w:iCs/>
        </w:rPr>
        <w:tab/>
      </w:r>
      <w:r>
        <w:rPr>
          <w:iCs/>
        </w:rPr>
        <w:tab/>
      </w:r>
      <w:r>
        <w:rPr>
          <w:iCs/>
        </w:rPr>
        <w:tab/>
      </w:r>
      <w:r w:rsidRPr="00805930">
        <w:rPr>
          <w:iCs/>
        </w:rPr>
        <w:t>Supplem</w:t>
      </w:r>
      <w:r>
        <w:rPr>
          <w:iCs/>
        </w:rPr>
        <w:t>e</w:t>
      </w:r>
      <w:r w:rsidRPr="00805930">
        <w:rPr>
          <w:iCs/>
        </w:rPr>
        <w:t xml:space="preserve">ntary </w:t>
      </w:r>
      <w:r>
        <w:rPr>
          <w:iCs/>
        </w:rPr>
        <w:tab/>
      </w:r>
      <w:r w:rsidRPr="00805930">
        <w:rPr>
          <w:iCs/>
        </w:rPr>
        <w:t xml:space="preserve">Volume. </w:t>
      </w:r>
      <w:r w:rsidRPr="00805930">
        <w:t>Nashville: Abingdon, 1962-76</w:t>
      </w:r>
      <w:r>
        <w:t>.</w:t>
      </w:r>
    </w:p>
    <w:p w:rsidR="00B37409" w:rsidRPr="00B7545D" w:rsidRDefault="00B37409" w:rsidP="00750ADA">
      <w:pPr>
        <w:ind w:left="288" w:hanging="288"/>
      </w:pPr>
      <w:r w:rsidRPr="00B7545D">
        <w:t>inf.</w:t>
      </w:r>
      <w:r w:rsidRPr="00B7545D">
        <w:tab/>
      </w:r>
      <w:r w:rsidRPr="00B7545D">
        <w:tab/>
        <w:t>infinitive</w:t>
      </w:r>
    </w:p>
    <w:p w:rsidR="00663D91" w:rsidRPr="00B7545D" w:rsidRDefault="00762902" w:rsidP="00663D91">
      <w:pPr>
        <w:ind w:left="288" w:hanging="288"/>
        <w:rPr>
          <w:i/>
        </w:rPr>
      </w:pPr>
      <w:r w:rsidRPr="00B7545D">
        <w:rPr>
          <w:i/>
        </w:rPr>
        <w:t>Int</w:t>
      </w:r>
      <w:r w:rsidRPr="00B7545D">
        <w:rPr>
          <w:i/>
        </w:rPr>
        <w:tab/>
      </w:r>
      <w:r w:rsidRPr="00B7545D">
        <w:rPr>
          <w:i/>
        </w:rPr>
        <w:tab/>
      </w:r>
      <w:r w:rsidRPr="00B7545D">
        <w:rPr>
          <w:i/>
        </w:rPr>
        <w:tab/>
        <w:t>Interpretation</w:t>
      </w:r>
    </w:p>
    <w:p w:rsidR="00663D91" w:rsidRPr="00B7545D" w:rsidRDefault="00663D91" w:rsidP="00663D91">
      <w:pPr>
        <w:ind w:left="288" w:hanging="288"/>
      </w:pPr>
      <w:r w:rsidRPr="00B7545D">
        <w:rPr>
          <w:rFonts w:cs="Times New Roman"/>
          <w:i/>
          <w:iCs/>
          <w:color w:val="000000"/>
          <w:spacing w:val="10"/>
          <w:w w:val="97"/>
        </w:rPr>
        <w:t>JANESCU</w:t>
      </w:r>
      <w:r w:rsidRPr="00B7545D">
        <w:rPr>
          <w:rFonts w:cs="Times New Roman"/>
          <w:i/>
          <w:iCs/>
          <w:color w:val="000000"/>
        </w:rPr>
        <w:tab/>
      </w:r>
      <w:r w:rsidRPr="00B7545D">
        <w:rPr>
          <w:rFonts w:cs="Times New Roman"/>
          <w:i/>
          <w:iCs/>
          <w:color w:val="000000"/>
          <w:spacing w:val="1"/>
          <w:w w:val="97"/>
        </w:rPr>
        <w:t xml:space="preserve">Journal of the Ancient Near Eastern Societry of Columbia </w:t>
      </w:r>
      <w:r w:rsidRPr="00B7545D">
        <w:rPr>
          <w:rFonts w:cs="Times New Roman"/>
          <w:i/>
          <w:iCs/>
          <w:color w:val="000000"/>
          <w:spacing w:val="-4"/>
          <w:w w:val="97"/>
        </w:rPr>
        <w:t>University</w:t>
      </w:r>
    </w:p>
    <w:p w:rsidR="00B354C3" w:rsidRPr="00B7545D" w:rsidRDefault="00B354C3" w:rsidP="00B354C3">
      <w:pPr>
        <w:widowControl w:val="0"/>
        <w:shd w:val="clear" w:color="auto" w:fill="FFFFFF"/>
        <w:tabs>
          <w:tab w:val="left" w:pos="1440"/>
        </w:tabs>
        <w:autoSpaceDE w:val="0"/>
        <w:autoSpaceDN w:val="0"/>
        <w:adjustRightInd w:val="0"/>
        <w:spacing w:before="5" w:line="216" w:lineRule="exact"/>
        <w:ind w:left="14" w:firstLine="0"/>
        <w:rPr>
          <w:rFonts w:eastAsia="Times New Roman" w:cs="Arial"/>
        </w:rPr>
      </w:pPr>
      <w:r w:rsidRPr="00B7545D">
        <w:rPr>
          <w:rFonts w:eastAsia="Times New Roman" w:cs="Times New Roman"/>
          <w:i/>
          <w:iCs/>
          <w:color w:val="000000"/>
          <w:spacing w:val="12"/>
          <w:w w:val="97"/>
        </w:rPr>
        <w:t>JAOS</w:t>
      </w:r>
      <w:r w:rsidRPr="00B7545D">
        <w:rPr>
          <w:rFonts w:eastAsia="Times New Roman" w:cs="Times New Roman"/>
          <w:i/>
          <w:iCs/>
          <w:color w:val="000000"/>
        </w:rPr>
        <w:tab/>
      </w:r>
      <w:r w:rsidRPr="00B7545D">
        <w:rPr>
          <w:rFonts w:eastAsia="Times New Roman" w:cs="Times New Roman"/>
          <w:i/>
          <w:iCs/>
          <w:color w:val="000000"/>
          <w:w w:val="97"/>
        </w:rPr>
        <w:t>Journal of the American Oriental Society</w:t>
      </w:r>
    </w:p>
    <w:p w:rsidR="00912FE4" w:rsidRPr="00B7545D" w:rsidRDefault="00912FE4" w:rsidP="00750ADA">
      <w:pPr>
        <w:ind w:left="288" w:hanging="288"/>
        <w:rPr>
          <w:rFonts w:eastAsia="Times New Roman" w:cs="Times New Roman"/>
        </w:rPr>
      </w:pPr>
      <w:r w:rsidRPr="00B7545D">
        <w:rPr>
          <w:i/>
        </w:rPr>
        <w:t>JATS</w:t>
      </w:r>
      <w:r w:rsidRPr="00B7545D">
        <w:rPr>
          <w:i/>
        </w:rPr>
        <w:tab/>
      </w:r>
      <w:r w:rsidRPr="00B7545D">
        <w:rPr>
          <w:i/>
        </w:rPr>
        <w:tab/>
      </w:r>
      <w:r w:rsidRPr="00B7545D">
        <w:rPr>
          <w:i/>
          <w:iCs/>
        </w:rPr>
        <w:t>Journal of the Adventist Theological Society</w:t>
      </w:r>
    </w:p>
    <w:p w:rsidR="002632B2" w:rsidRPr="00B7545D" w:rsidRDefault="002632B2" w:rsidP="00750ADA">
      <w:pPr>
        <w:ind w:left="288" w:hanging="288"/>
        <w:rPr>
          <w:rFonts w:eastAsia="Times New Roman" w:cs="Times New Roman"/>
        </w:rPr>
      </w:pPr>
      <w:r w:rsidRPr="00B7545D">
        <w:t>JB</w:t>
      </w:r>
      <w:r w:rsidRPr="00B7545D">
        <w:tab/>
      </w:r>
      <w:r w:rsidRPr="00B7545D">
        <w:tab/>
      </w:r>
      <w:r w:rsidRPr="00B7545D">
        <w:tab/>
        <w:t>Jerusalem Bible translation</w:t>
      </w:r>
    </w:p>
    <w:p w:rsidR="00F06CCB" w:rsidRPr="00B7545D" w:rsidRDefault="00F06CCB" w:rsidP="00750ADA">
      <w:pPr>
        <w:ind w:left="288" w:hanging="288"/>
        <w:rPr>
          <w:i/>
        </w:rPr>
      </w:pPr>
      <w:r w:rsidRPr="00B7545D">
        <w:rPr>
          <w:i/>
        </w:rPr>
        <w:t>JBL</w:t>
      </w:r>
      <w:r w:rsidR="00BE1C3B" w:rsidRPr="00B7545D">
        <w:rPr>
          <w:i/>
        </w:rPr>
        <w:tab/>
      </w:r>
      <w:r w:rsidR="00BE1C3B" w:rsidRPr="00B7545D">
        <w:rPr>
          <w:i/>
        </w:rPr>
        <w:tab/>
      </w:r>
      <w:r w:rsidR="00BE1C3B" w:rsidRPr="00B7545D">
        <w:rPr>
          <w:i/>
        </w:rPr>
        <w:tab/>
        <w:t>Journal of Biblical Literature</w:t>
      </w:r>
    </w:p>
    <w:p w:rsidR="00B354C3" w:rsidRPr="00B7545D" w:rsidRDefault="006B68F5" w:rsidP="00B354C3">
      <w:pPr>
        <w:ind w:left="288" w:hanging="288"/>
        <w:rPr>
          <w:rFonts w:eastAsia="Times New Roman" w:cs="Times New Roman"/>
        </w:rPr>
      </w:pPr>
      <w:r w:rsidRPr="00B7545D">
        <w:rPr>
          <w:i/>
        </w:rPr>
        <w:t>JBQ</w:t>
      </w:r>
      <w:r w:rsidRPr="00B7545D">
        <w:rPr>
          <w:i/>
        </w:rPr>
        <w:tab/>
      </w:r>
      <w:r w:rsidRPr="00B7545D">
        <w:rPr>
          <w:i/>
        </w:rPr>
        <w:tab/>
        <w:t>Jewish Biblical Quarterly</w:t>
      </w:r>
    </w:p>
    <w:p w:rsidR="00B354C3" w:rsidRPr="00B7545D" w:rsidRDefault="00B354C3" w:rsidP="00B354C3">
      <w:pPr>
        <w:ind w:left="288" w:hanging="288"/>
        <w:rPr>
          <w:rFonts w:eastAsia="Times New Roman" w:cs="Times New Roman"/>
        </w:rPr>
      </w:pPr>
      <w:r w:rsidRPr="00B7545D">
        <w:rPr>
          <w:rFonts w:cs="Times New Roman"/>
          <w:i/>
          <w:iCs/>
          <w:color w:val="000000"/>
          <w:spacing w:val="11"/>
          <w:w w:val="97"/>
        </w:rPr>
        <w:t>JCS</w:t>
      </w:r>
      <w:r w:rsidRPr="00B7545D">
        <w:rPr>
          <w:rFonts w:cs="Times New Roman"/>
          <w:i/>
          <w:iCs/>
          <w:color w:val="000000"/>
        </w:rPr>
        <w:tab/>
      </w:r>
      <w:r w:rsidRPr="00B7545D">
        <w:rPr>
          <w:rFonts w:cs="Times New Roman"/>
          <w:i/>
          <w:iCs/>
          <w:color w:val="000000"/>
        </w:rPr>
        <w:tab/>
      </w:r>
      <w:r w:rsidRPr="00B7545D">
        <w:rPr>
          <w:rFonts w:cs="Times New Roman"/>
          <w:i/>
          <w:iCs/>
          <w:color w:val="000000"/>
          <w:w w:val="97"/>
        </w:rPr>
        <w:t>Journal of Cuneiform Studies</w:t>
      </w:r>
    </w:p>
    <w:p w:rsidR="00B354C3" w:rsidRPr="00B7545D" w:rsidRDefault="00B354C3" w:rsidP="00B354C3">
      <w:pPr>
        <w:ind w:left="288" w:hanging="288"/>
      </w:pPr>
      <w:r w:rsidRPr="00B7545D">
        <w:t>Jdt</w:t>
      </w:r>
      <w:r w:rsidRPr="00B7545D">
        <w:tab/>
      </w:r>
      <w:r w:rsidRPr="00B7545D">
        <w:tab/>
      </w:r>
      <w:r w:rsidRPr="00B7545D">
        <w:tab/>
        <w:t>Judith</w:t>
      </w:r>
    </w:p>
    <w:p w:rsidR="00B354C3" w:rsidRPr="00B7545D" w:rsidRDefault="00B354C3" w:rsidP="00B354C3">
      <w:pPr>
        <w:widowControl w:val="0"/>
        <w:shd w:val="clear" w:color="auto" w:fill="FFFFFF"/>
        <w:tabs>
          <w:tab w:val="left" w:pos="1440"/>
        </w:tabs>
        <w:autoSpaceDE w:val="0"/>
        <w:autoSpaceDN w:val="0"/>
        <w:adjustRightInd w:val="0"/>
        <w:spacing w:before="5" w:line="216" w:lineRule="exact"/>
        <w:ind w:left="14" w:firstLine="0"/>
        <w:rPr>
          <w:rFonts w:eastAsia="Times New Roman" w:cs="Arial"/>
        </w:rPr>
      </w:pPr>
      <w:r w:rsidRPr="00B7545D">
        <w:rPr>
          <w:rFonts w:eastAsia="Times New Roman" w:cs="Times New Roman"/>
          <w:i/>
          <w:iCs/>
          <w:color w:val="000000"/>
          <w:spacing w:val="15"/>
          <w:w w:val="97"/>
        </w:rPr>
        <w:t>JETS</w:t>
      </w:r>
      <w:r w:rsidRPr="00B7545D">
        <w:rPr>
          <w:rFonts w:eastAsia="Times New Roman" w:cs="Times New Roman"/>
          <w:i/>
          <w:iCs/>
          <w:color w:val="000000"/>
        </w:rPr>
        <w:tab/>
      </w:r>
      <w:r w:rsidRPr="00B7545D">
        <w:rPr>
          <w:rFonts w:eastAsia="Times New Roman" w:cs="Times New Roman"/>
          <w:i/>
          <w:iCs/>
          <w:color w:val="000000"/>
          <w:w w:val="97"/>
        </w:rPr>
        <w:t>Journal of the Evangelical Theological Society</w:t>
      </w:r>
    </w:p>
    <w:p w:rsidR="00B354C3" w:rsidRPr="00B7545D" w:rsidRDefault="00B354C3" w:rsidP="00B354C3">
      <w:pPr>
        <w:widowControl w:val="0"/>
        <w:shd w:val="clear" w:color="auto" w:fill="FFFFFF"/>
        <w:tabs>
          <w:tab w:val="left" w:pos="1440"/>
        </w:tabs>
        <w:autoSpaceDE w:val="0"/>
        <w:autoSpaceDN w:val="0"/>
        <w:adjustRightInd w:val="0"/>
        <w:spacing w:line="216" w:lineRule="exact"/>
        <w:ind w:left="14" w:firstLine="0"/>
        <w:rPr>
          <w:rFonts w:eastAsia="Times New Roman" w:cs="Arial"/>
        </w:rPr>
      </w:pPr>
      <w:r w:rsidRPr="00B7545D">
        <w:rPr>
          <w:rFonts w:eastAsia="Times New Roman" w:cs="Times New Roman"/>
          <w:i/>
          <w:iCs/>
          <w:color w:val="000000"/>
          <w:spacing w:val="9"/>
          <w:w w:val="97"/>
        </w:rPr>
        <w:t>JJS</w:t>
      </w:r>
      <w:r w:rsidRPr="00B7545D">
        <w:rPr>
          <w:rFonts w:eastAsia="Times New Roman" w:cs="Times New Roman"/>
          <w:i/>
          <w:iCs/>
          <w:color w:val="000000"/>
        </w:rPr>
        <w:tab/>
      </w:r>
      <w:r w:rsidRPr="00B7545D">
        <w:rPr>
          <w:rFonts w:eastAsia="Times New Roman" w:cs="Times New Roman"/>
          <w:i/>
          <w:iCs/>
          <w:color w:val="000000"/>
          <w:w w:val="97"/>
        </w:rPr>
        <w:t>Journal of Jewish Studies</w:t>
      </w:r>
    </w:p>
    <w:p w:rsidR="00B354C3" w:rsidRPr="00B7545D" w:rsidRDefault="00B354C3" w:rsidP="00B354C3">
      <w:pPr>
        <w:widowControl w:val="0"/>
        <w:shd w:val="clear" w:color="auto" w:fill="FFFFFF"/>
        <w:tabs>
          <w:tab w:val="left" w:pos="1440"/>
        </w:tabs>
        <w:autoSpaceDE w:val="0"/>
        <w:autoSpaceDN w:val="0"/>
        <w:adjustRightInd w:val="0"/>
        <w:spacing w:before="5" w:line="216" w:lineRule="exact"/>
        <w:ind w:left="14" w:firstLine="0"/>
        <w:rPr>
          <w:rFonts w:eastAsia="Times New Roman" w:cs="Arial"/>
        </w:rPr>
      </w:pPr>
      <w:r w:rsidRPr="00B7545D">
        <w:rPr>
          <w:rFonts w:eastAsia="Times New Roman" w:cs="Times New Roman"/>
          <w:i/>
          <w:iCs/>
          <w:color w:val="000000"/>
          <w:spacing w:val="16"/>
          <w:w w:val="97"/>
        </w:rPr>
        <w:t>JNES</w:t>
      </w:r>
      <w:r w:rsidRPr="00B7545D">
        <w:rPr>
          <w:rFonts w:eastAsia="Times New Roman" w:cs="Times New Roman"/>
          <w:i/>
          <w:iCs/>
          <w:color w:val="000000"/>
        </w:rPr>
        <w:tab/>
      </w:r>
      <w:r w:rsidRPr="00B7545D">
        <w:rPr>
          <w:rFonts w:eastAsia="Times New Roman" w:cs="Times New Roman"/>
          <w:i/>
          <w:iCs/>
          <w:color w:val="000000"/>
          <w:spacing w:val="1"/>
          <w:w w:val="97"/>
        </w:rPr>
        <w:t>Journal of Near Eastern Studies</w:t>
      </w:r>
    </w:p>
    <w:p w:rsidR="00750ADA" w:rsidRPr="00B7545D" w:rsidRDefault="00C93BE4" w:rsidP="003E3153">
      <w:pPr>
        <w:pStyle w:val="PlainText"/>
      </w:pPr>
      <w:r w:rsidRPr="00B7545D">
        <w:t>JPS</w:t>
      </w:r>
      <w:r w:rsidR="00750ADA" w:rsidRPr="00B7545D">
        <w:t xml:space="preserve">    </w:t>
      </w:r>
      <w:r w:rsidR="00750ADA" w:rsidRPr="00B7545D">
        <w:tab/>
      </w:r>
      <w:r w:rsidR="00750ADA" w:rsidRPr="00B7545D">
        <w:tab/>
        <w:t>Jewish Publication Society of America</w:t>
      </w:r>
    </w:p>
    <w:p w:rsidR="00750ADA" w:rsidRPr="00B7545D" w:rsidRDefault="00750ADA" w:rsidP="003E3153">
      <w:pPr>
        <w:pStyle w:val="PlainText"/>
      </w:pPr>
      <w:r w:rsidRPr="00B7545D">
        <w:t>JPSV</w:t>
      </w:r>
      <w:r w:rsidRPr="00B7545D">
        <w:tab/>
      </w:r>
      <w:r w:rsidRPr="00B7545D">
        <w:tab/>
        <w:t>JPS Hebrew-English Tanakh, 2</w:t>
      </w:r>
      <w:r w:rsidRPr="00B7545D">
        <w:rPr>
          <w:vertAlign w:val="superscript"/>
        </w:rPr>
        <w:t>nd</w:t>
      </w:r>
      <w:r w:rsidRPr="00B7545D">
        <w:t xml:space="preserve"> ed., Philadelphia: JPS, 1999</w:t>
      </w:r>
    </w:p>
    <w:p w:rsidR="00B354C3" w:rsidRPr="00B7545D" w:rsidRDefault="00B354C3" w:rsidP="00B354C3">
      <w:pPr>
        <w:widowControl w:val="0"/>
        <w:shd w:val="clear" w:color="auto" w:fill="FFFFFF"/>
        <w:tabs>
          <w:tab w:val="left" w:pos="1440"/>
        </w:tabs>
        <w:autoSpaceDE w:val="0"/>
        <w:autoSpaceDN w:val="0"/>
        <w:adjustRightInd w:val="0"/>
        <w:spacing w:before="5" w:line="216" w:lineRule="exact"/>
        <w:ind w:left="10" w:firstLine="0"/>
        <w:rPr>
          <w:rFonts w:eastAsia="Times New Roman" w:cs="Arial"/>
        </w:rPr>
      </w:pPr>
      <w:r w:rsidRPr="00B7545D">
        <w:rPr>
          <w:rFonts w:eastAsia="Times New Roman" w:cs="Times New Roman"/>
          <w:i/>
          <w:iCs/>
          <w:color w:val="000000"/>
          <w:spacing w:val="13"/>
          <w:w w:val="97"/>
        </w:rPr>
        <w:t>JQR</w:t>
      </w:r>
      <w:r w:rsidRPr="00B7545D">
        <w:rPr>
          <w:rFonts w:eastAsia="Times New Roman" w:cs="Times New Roman"/>
          <w:i/>
          <w:iCs/>
          <w:color w:val="000000"/>
        </w:rPr>
        <w:tab/>
      </w:r>
      <w:r w:rsidRPr="00B7545D">
        <w:rPr>
          <w:rFonts w:eastAsia="Times New Roman" w:cs="Times New Roman"/>
          <w:i/>
          <w:iCs/>
          <w:color w:val="000000"/>
          <w:spacing w:val="-1"/>
          <w:w w:val="97"/>
        </w:rPr>
        <w:t>Jewish Quarterly Review</w:t>
      </w:r>
    </w:p>
    <w:p w:rsidR="00B354C3" w:rsidRPr="00B7545D" w:rsidRDefault="00B354C3" w:rsidP="00B354C3">
      <w:pPr>
        <w:widowControl w:val="0"/>
        <w:shd w:val="clear" w:color="auto" w:fill="FFFFFF"/>
        <w:tabs>
          <w:tab w:val="left" w:pos="1440"/>
        </w:tabs>
        <w:autoSpaceDE w:val="0"/>
        <w:autoSpaceDN w:val="0"/>
        <w:adjustRightInd w:val="0"/>
        <w:spacing w:line="216" w:lineRule="exact"/>
        <w:ind w:left="10" w:firstLine="0"/>
        <w:rPr>
          <w:rFonts w:eastAsia="Times New Roman" w:cs="Arial"/>
        </w:rPr>
      </w:pPr>
      <w:r w:rsidRPr="00B7545D">
        <w:rPr>
          <w:rFonts w:eastAsia="Times New Roman" w:cs="Times New Roman"/>
          <w:i/>
          <w:iCs/>
          <w:color w:val="000000"/>
          <w:spacing w:val="14"/>
          <w:w w:val="97"/>
        </w:rPr>
        <w:t>JSJ</w:t>
      </w:r>
      <w:r w:rsidRPr="00B7545D">
        <w:rPr>
          <w:rFonts w:eastAsia="Times New Roman" w:cs="Times New Roman"/>
          <w:i/>
          <w:iCs/>
          <w:color w:val="000000"/>
        </w:rPr>
        <w:tab/>
      </w:r>
      <w:r w:rsidRPr="00B7545D">
        <w:rPr>
          <w:rFonts w:eastAsia="Times New Roman" w:cs="Times New Roman"/>
          <w:i/>
          <w:iCs/>
          <w:color w:val="000000"/>
          <w:w w:val="97"/>
        </w:rPr>
        <w:t>Journal for the Study of Judiasm in the Persian, Hellenistic, and Roman Periods</w:t>
      </w:r>
    </w:p>
    <w:p w:rsidR="00B354C3" w:rsidRPr="00B7545D" w:rsidRDefault="00B354C3" w:rsidP="003E3153">
      <w:pPr>
        <w:pStyle w:val="PlainText"/>
        <w:rPr>
          <w:i/>
        </w:rPr>
      </w:pPr>
      <w:r w:rsidRPr="00B7545D">
        <w:rPr>
          <w:i/>
        </w:rPr>
        <w:t>JSOT</w:t>
      </w:r>
      <w:r w:rsidRPr="00B7545D">
        <w:rPr>
          <w:i/>
        </w:rPr>
        <w:tab/>
      </w:r>
      <w:r w:rsidRPr="00B7545D">
        <w:rPr>
          <w:i/>
        </w:rPr>
        <w:tab/>
        <w:t>Journal for the Study of the Old Testament</w:t>
      </w:r>
    </w:p>
    <w:p w:rsidR="003046F9" w:rsidRDefault="003046F9" w:rsidP="003E3153">
      <w:pPr>
        <w:pStyle w:val="PlainText"/>
        <w:rPr>
          <w:i/>
        </w:rPr>
      </w:pPr>
      <w:r>
        <w:rPr>
          <w:i/>
        </w:rPr>
        <w:t>JSP</w:t>
      </w:r>
      <w:r>
        <w:rPr>
          <w:i/>
        </w:rPr>
        <w:tab/>
      </w:r>
      <w:r>
        <w:rPr>
          <w:i/>
        </w:rPr>
        <w:tab/>
      </w:r>
      <w:r w:rsidRPr="003046F9">
        <w:rPr>
          <w:i/>
        </w:rPr>
        <w:t>Journal for the Study of the Pseudepigrapha</w:t>
      </w:r>
    </w:p>
    <w:p w:rsidR="00750ADA" w:rsidRPr="00B7545D" w:rsidRDefault="00750ADA" w:rsidP="003E3153">
      <w:pPr>
        <w:pStyle w:val="PlainText"/>
        <w:rPr>
          <w:i/>
        </w:rPr>
      </w:pPr>
      <w:r w:rsidRPr="00B7545D">
        <w:rPr>
          <w:i/>
        </w:rPr>
        <w:t>JSS</w:t>
      </w:r>
      <w:r w:rsidRPr="00B7545D">
        <w:tab/>
      </w:r>
      <w:r w:rsidRPr="00B7545D">
        <w:tab/>
      </w:r>
      <w:r w:rsidRPr="00B7545D">
        <w:rPr>
          <w:i/>
        </w:rPr>
        <w:t>Journal of Semitic Studies</w:t>
      </w:r>
    </w:p>
    <w:p w:rsidR="00B354C3" w:rsidRPr="00B7545D" w:rsidRDefault="00B354C3" w:rsidP="003E3153">
      <w:pPr>
        <w:pStyle w:val="PlainText"/>
      </w:pPr>
      <w:r w:rsidRPr="00B7545D">
        <w:rPr>
          <w:i/>
        </w:rPr>
        <w:t>JTS</w:t>
      </w:r>
      <w:r w:rsidRPr="00B7545D">
        <w:rPr>
          <w:i/>
        </w:rPr>
        <w:tab/>
      </w:r>
      <w:r w:rsidRPr="00B7545D">
        <w:rPr>
          <w:i/>
        </w:rPr>
        <w:tab/>
        <w:t>Journal of Theological Studies</w:t>
      </w:r>
    </w:p>
    <w:p w:rsidR="00750ADA" w:rsidRPr="00B7545D" w:rsidRDefault="00750ADA" w:rsidP="003E3153">
      <w:pPr>
        <w:pStyle w:val="PlainText"/>
      </w:pPr>
      <w:r w:rsidRPr="00B7545D">
        <w:t>K</w:t>
      </w:r>
      <w:r w:rsidRPr="00B7545D">
        <w:tab/>
      </w:r>
      <w:r w:rsidRPr="00B7545D">
        <w:tab/>
        <w:t>The ketiv or written (consonantal) text</w:t>
      </w:r>
    </w:p>
    <w:p w:rsidR="004A3897" w:rsidRPr="00B7545D" w:rsidRDefault="004A3897" w:rsidP="003E3153">
      <w:pPr>
        <w:pStyle w:val="PlainText"/>
        <w:rPr>
          <w:i/>
        </w:rPr>
      </w:pPr>
      <w:r w:rsidRPr="00B7545D">
        <w:rPr>
          <w:i/>
        </w:rPr>
        <w:t>KD</w:t>
      </w:r>
      <w:r w:rsidRPr="00B7545D">
        <w:rPr>
          <w:i/>
        </w:rPr>
        <w:tab/>
      </w:r>
      <w:r w:rsidRPr="00B7545D">
        <w:rPr>
          <w:i/>
        </w:rPr>
        <w:tab/>
        <w:t>Kerygma und Dogma</w:t>
      </w:r>
    </w:p>
    <w:p w:rsidR="0042687F" w:rsidRPr="00B7545D" w:rsidRDefault="0042687F" w:rsidP="003E3153">
      <w:pPr>
        <w:pStyle w:val="PlainText"/>
      </w:pPr>
      <w:r w:rsidRPr="00B7545D">
        <w:t>KJV</w:t>
      </w:r>
      <w:r w:rsidRPr="00B7545D">
        <w:tab/>
      </w:r>
      <w:r w:rsidRPr="00B7545D">
        <w:tab/>
        <w:t>King James Version (Authorized Version)</w:t>
      </w:r>
    </w:p>
    <w:p w:rsidR="00750ADA" w:rsidRPr="00B7545D" w:rsidRDefault="00750ADA" w:rsidP="003E3153">
      <w:pPr>
        <w:pStyle w:val="PlainText"/>
      </w:pPr>
      <w:r w:rsidRPr="00B7545D">
        <w:t>L</w:t>
      </w:r>
      <w:r w:rsidRPr="00B7545D">
        <w:tab/>
      </w:r>
      <w:r w:rsidRPr="00B7545D">
        <w:tab/>
        <w:t xml:space="preserve">The </w:t>
      </w:r>
      <w:r w:rsidR="0042687F" w:rsidRPr="00B7545D">
        <w:t>Leningrad Codex of MT, made in C</w:t>
      </w:r>
      <w:r w:rsidRPr="00B7545D">
        <w:t>airo but now in Le</w:t>
      </w:r>
      <w:r w:rsidR="006D5B12">
        <w:t>ningrad (St. Petersburg)</w:t>
      </w:r>
    </w:p>
    <w:p w:rsidR="00215DE9" w:rsidRPr="00B7545D" w:rsidRDefault="00215DE9" w:rsidP="003E3153">
      <w:pPr>
        <w:pStyle w:val="PlainText"/>
      </w:pPr>
      <w:r w:rsidRPr="00B7545D">
        <w:t>lit.</w:t>
      </w:r>
      <w:r w:rsidRPr="00B7545D">
        <w:tab/>
      </w:r>
      <w:r w:rsidRPr="00B7545D">
        <w:tab/>
        <w:t>literally</w:t>
      </w:r>
    </w:p>
    <w:p w:rsidR="00703736" w:rsidRPr="00B7545D" w:rsidRDefault="00703736" w:rsidP="003E3153">
      <w:pPr>
        <w:pStyle w:val="PlainText"/>
      </w:pPr>
      <w:r w:rsidRPr="00B7545D">
        <w:t>LW</w:t>
      </w:r>
      <w:r w:rsidRPr="00B7545D">
        <w:tab/>
      </w:r>
      <w:r w:rsidRPr="00B7545D">
        <w:tab/>
        <w:t>Luther’s Works</w:t>
      </w:r>
    </w:p>
    <w:p w:rsidR="006C6327" w:rsidRDefault="006C6327" w:rsidP="00910D20">
      <w:pPr>
        <w:pStyle w:val="PlainText"/>
      </w:pPr>
      <w:r>
        <w:t>m</w:t>
      </w:r>
      <w:r>
        <w:tab/>
      </w:r>
      <w:r>
        <w:tab/>
        <w:t>masculine</w:t>
      </w:r>
    </w:p>
    <w:p w:rsidR="00910D20" w:rsidRPr="00B7545D" w:rsidRDefault="00910D20" w:rsidP="00910D20">
      <w:pPr>
        <w:pStyle w:val="PlainText"/>
      </w:pPr>
      <w:r w:rsidRPr="00B7545D">
        <w:t>m.</w:t>
      </w:r>
      <w:r w:rsidRPr="00B7545D">
        <w:tab/>
      </w:r>
      <w:r w:rsidRPr="00B7545D">
        <w:tab/>
        <w:t>Mishnah</w:t>
      </w:r>
      <w:r>
        <w:t xml:space="preserve"> </w:t>
      </w:r>
      <w:r w:rsidRPr="00BF14D4">
        <w:t>(followed by tractate title)</w:t>
      </w:r>
    </w:p>
    <w:p w:rsidR="00910D20" w:rsidRDefault="00910D20" w:rsidP="00910D20">
      <w:pPr>
        <w:pStyle w:val="PlainText"/>
      </w:pPr>
      <w:r>
        <w:t>Macc</w:t>
      </w:r>
      <w:r>
        <w:tab/>
      </w:r>
      <w:r>
        <w:tab/>
        <w:t>Maccabees</w:t>
      </w:r>
    </w:p>
    <w:p w:rsidR="00086487" w:rsidRDefault="00086487" w:rsidP="003E3153">
      <w:pPr>
        <w:pStyle w:val="PlainText"/>
      </w:pPr>
      <w:r w:rsidRPr="00B7545D">
        <w:t>mg</w:t>
      </w:r>
      <w:r w:rsidRPr="00B7545D">
        <w:tab/>
      </w:r>
      <w:r w:rsidRPr="00B7545D">
        <w:tab/>
        <w:t>margin</w:t>
      </w:r>
    </w:p>
    <w:p w:rsidR="0018520A" w:rsidRPr="00B7545D" w:rsidRDefault="0018520A" w:rsidP="003E3153">
      <w:pPr>
        <w:pStyle w:val="PlainText"/>
      </w:pPr>
      <w:r>
        <w:t>ms[s]</w:t>
      </w:r>
      <w:r>
        <w:tab/>
      </w:r>
      <w:r>
        <w:tab/>
        <w:t>manuscript[s]</w:t>
      </w:r>
    </w:p>
    <w:p w:rsidR="002F15DE" w:rsidRPr="00B7545D" w:rsidRDefault="002F15DE" w:rsidP="003E3153">
      <w:pPr>
        <w:pStyle w:val="PlainText"/>
        <w:rPr>
          <w:i/>
        </w:rPr>
      </w:pPr>
      <w:r w:rsidRPr="00B7545D">
        <w:rPr>
          <w:i/>
        </w:rPr>
        <w:t>MSJ</w:t>
      </w:r>
      <w:r w:rsidRPr="00B7545D">
        <w:rPr>
          <w:i/>
        </w:rPr>
        <w:tab/>
      </w:r>
      <w:r w:rsidRPr="00B7545D">
        <w:rPr>
          <w:i/>
        </w:rPr>
        <w:tab/>
        <w:t>The Master’s Seminary Journal</w:t>
      </w:r>
    </w:p>
    <w:p w:rsidR="00750ADA" w:rsidRPr="00B7545D" w:rsidRDefault="00750ADA" w:rsidP="003E3153">
      <w:pPr>
        <w:pStyle w:val="PlainText"/>
      </w:pPr>
      <w:r w:rsidRPr="00B7545D">
        <w:t>MT</w:t>
      </w:r>
      <w:r w:rsidRPr="00B7545D">
        <w:tab/>
      </w:r>
      <w:r w:rsidRPr="00B7545D">
        <w:tab/>
        <w:t>Masoretic Text, as printed in BHS.</w:t>
      </w:r>
    </w:p>
    <w:p w:rsidR="00750ADA" w:rsidRPr="00B7545D" w:rsidRDefault="00750ADA" w:rsidP="003E3153">
      <w:pPr>
        <w:pStyle w:val="PlainText"/>
      </w:pPr>
      <w:r w:rsidRPr="00B7545D">
        <w:lastRenderedPageBreak/>
        <w:t>n.</w:t>
      </w:r>
      <w:r w:rsidRPr="00B7545D">
        <w:tab/>
      </w:r>
      <w:r w:rsidRPr="00B7545D">
        <w:tab/>
        <w:t>note</w:t>
      </w:r>
    </w:p>
    <w:p w:rsidR="00910D20" w:rsidRPr="00910D20" w:rsidRDefault="00910D20" w:rsidP="003E3153">
      <w:pPr>
        <w:pStyle w:val="PlainText"/>
      </w:pPr>
      <w:r>
        <w:t>NAB</w:t>
      </w:r>
      <w:r>
        <w:tab/>
      </w:r>
      <w:r>
        <w:tab/>
        <w:t>New American Bible</w:t>
      </w:r>
    </w:p>
    <w:p w:rsidR="00750ADA" w:rsidRPr="00B7545D" w:rsidRDefault="00750ADA" w:rsidP="003E3153">
      <w:pPr>
        <w:pStyle w:val="PlainText"/>
      </w:pPr>
      <w:r w:rsidRPr="00B7545D">
        <w:rPr>
          <w:i/>
        </w:rPr>
        <w:t>NERT</w:t>
      </w:r>
      <w:r w:rsidRPr="00B7545D">
        <w:t xml:space="preserve">    </w:t>
      </w:r>
      <w:r w:rsidRPr="00B7545D">
        <w:tab/>
      </w:r>
      <w:r w:rsidRPr="00B7545D">
        <w:tab/>
      </w:r>
      <w:r w:rsidR="00905248" w:rsidRPr="00B7545D">
        <w:t>Beyerlin, W.</w:t>
      </w:r>
      <w:r w:rsidRPr="00B7545D">
        <w:t xml:space="preserve"> (ed.), </w:t>
      </w:r>
      <w:r w:rsidRPr="00B7545D">
        <w:rPr>
          <w:i/>
        </w:rPr>
        <w:t>Near Eastern Religious Texts relating to the Old Testament</w:t>
      </w:r>
      <w:r w:rsidRPr="00B7545D">
        <w:t xml:space="preserve">.  </w:t>
      </w:r>
      <w:r w:rsidRPr="00B7545D">
        <w:tab/>
      </w:r>
      <w:r w:rsidRPr="00B7545D">
        <w:tab/>
      </w:r>
      <w:r w:rsidRPr="00B7545D">
        <w:tab/>
      </w:r>
      <w:r w:rsidR="00905248" w:rsidRPr="00B7545D">
        <w:tab/>
      </w:r>
      <w:r w:rsidR="00672D9B" w:rsidRPr="00B7545D">
        <w:t>Trans. J.</w:t>
      </w:r>
      <w:r w:rsidRPr="00B7545D">
        <w:t xml:space="preserve"> Bo</w:t>
      </w:r>
      <w:r w:rsidR="00905248" w:rsidRPr="00B7545D">
        <w:t xml:space="preserve">wden. London: SCM, 1978. </w:t>
      </w:r>
    </w:p>
    <w:p w:rsidR="00750ADA" w:rsidRDefault="00750ADA" w:rsidP="003E3153">
      <w:pPr>
        <w:pStyle w:val="PlainText"/>
      </w:pPr>
      <w:r w:rsidRPr="00B7545D">
        <w:t>NETS</w:t>
      </w:r>
      <w:r w:rsidRPr="00B7545D">
        <w:tab/>
      </w:r>
      <w:r w:rsidRPr="00B7545D">
        <w:tab/>
        <w:t xml:space="preserve">Pietersma, A., and Wright, B. G. (eds.). </w:t>
      </w:r>
      <w:r w:rsidRPr="00592ED0">
        <w:rPr>
          <w:i/>
        </w:rPr>
        <w:t>A New English Translation of the Septuagint</w:t>
      </w:r>
      <w:r w:rsidRPr="00B7545D">
        <w:t xml:space="preserve">. New </w:t>
      </w:r>
      <w:r w:rsidRPr="00B7545D">
        <w:tab/>
      </w:r>
      <w:r w:rsidRPr="00B7545D">
        <w:tab/>
        <w:t>York: OUP, 2007</w:t>
      </w:r>
    </w:p>
    <w:p w:rsidR="00910D20" w:rsidRPr="00B7545D" w:rsidRDefault="00910D20" w:rsidP="003E3153">
      <w:pPr>
        <w:pStyle w:val="PlainText"/>
      </w:pPr>
      <w:r>
        <w:t>NIV</w:t>
      </w:r>
      <w:r>
        <w:tab/>
      </w:r>
      <w:r>
        <w:tab/>
        <w:t>New International Version</w:t>
      </w:r>
    </w:p>
    <w:p w:rsidR="00750ADA" w:rsidRPr="00B7545D" w:rsidRDefault="00750ADA" w:rsidP="003E3153">
      <w:pPr>
        <w:pStyle w:val="PlainText"/>
      </w:pPr>
      <w:r w:rsidRPr="00B7545D">
        <w:rPr>
          <w:i/>
        </w:rPr>
        <w:t>NKZ</w:t>
      </w:r>
      <w:r w:rsidRPr="00B7545D">
        <w:t xml:space="preserve">     </w:t>
      </w:r>
      <w:r w:rsidRPr="00B7545D">
        <w:tab/>
      </w:r>
      <w:r w:rsidRPr="00B7545D">
        <w:tab/>
        <w:t>Neue kirkliche Zeitschrift</w:t>
      </w:r>
    </w:p>
    <w:p w:rsidR="004A3897" w:rsidRPr="00B7545D" w:rsidRDefault="004A3897" w:rsidP="004A3897">
      <w:pPr>
        <w:pStyle w:val="PlainText"/>
        <w:rPr>
          <w:i/>
        </w:rPr>
      </w:pPr>
      <w:r w:rsidRPr="00B7545D">
        <w:rPr>
          <w:i/>
        </w:rPr>
        <w:t>NovT</w:t>
      </w:r>
      <w:r w:rsidRPr="00B7545D">
        <w:rPr>
          <w:i/>
        </w:rPr>
        <w:tab/>
      </w:r>
      <w:r w:rsidRPr="00B7545D">
        <w:rPr>
          <w:i/>
        </w:rPr>
        <w:tab/>
        <w:t>Novum Testamentum</w:t>
      </w:r>
    </w:p>
    <w:p w:rsidR="004A3897" w:rsidRDefault="004A3897" w:rsidP="004A3897">
      <w:pPr>
        <w:pStyle w:val="PlainText"/>
        <w:rPr>
          <w:color w:val="000000"/>
          <w:spacing w:val="7"/>
          <w:w w:val="97"/>
        </w:rPr>
      </w:pPr>
      <w:r w:rsidRPr="00B7545D">
        <w:rPr>
          <w:color w:val="000000"/>
          <w:spacing w:val="7"/>
          <w:w w:val="97"/>
        </w:rPr>
        <w:t>NPNF</w:t>
      </w:r>
      <w:r w:rsidRPr="00B7545D">
        <w:rPr>
          <w:color w:val="000000"/>
        </w:rPr>
        <w:tab/>
      </w:r>
      <w:r w:rsidRPr="00B7545D">
        <w:rPr>
          <w:color w:val="000000"/>
        </w:rPr>
        <w:tab/>
      </w:r>
      <w:r w:rsidRPr="00B7545D">
        <w:rPr>
          <w:color w:val="000000"/>
          <w:spacing w:val="7"/>
          <w:w w:val="97"/>
        </w:rPr>
        <w:t>P. Schaff (ed.), Nicene and Post-Nicene</w:t>
      </w:r>
    </w:p>
    <w:p w:rsidR="00910D20" w:rsidRDefault="00910D20" w:rsidP="004A3897">
      <w:pPr>
        <w:pStyle w:val="PlainText"/>
        <w:rPr>
          <w:color w:val="000000"/>
          <w:spacing w:val="7"/>
          <w:w w:val="97"/>
        </w:rPr>
      </w:pPr>
      <w:r>
        <w:rPr>
          <w:color w:val="000000"/>
          <w:spacing w:val="7"/>
          <w:w w:val="97"/>
        </w:rPr>
        <w:t>NRSV</w:t>
      </w:r>
      <w:r>
        <w:rPr>
          <w:color w:val="000000"/>
          <w:spacing w:val="7"/>
          <w:w w:val="97"/>
        </w:rPr>
        <w:tab/>
      </w:r>
      <w:r>
        <w:rPr>
          <w:color w:val="000000"/>
          <w:spacing w:val="7"/>
          <w:w w:val="97"/>
        </w:rPr>
        <w:tab/>
        <w:t>New Revised Standard Version</w:t>
      </w:r>
    </w:p>
    <w:p w:rsidR="00592ED0" w:rsidRPr="00B7545D" w:rsidRDefault="00592ED0" w:rsidP="004A3897">
      <w:pPr>
        <w:pStyle w:val="PlainText"/>
        <w:rPr>
          <w:i/>
        </w:rPr>
      </w:pPr>
      <w:r>
        <w:rPr>
          <w:color w:val="000000"/>
          <w:spacing w:val="7"/>
          <w:w w:val="97"/>
        </w:rPr>
        <w:t>n.s.</w:t>
      </w:r>
      <w:r>
        <w:rPr>
          <w:color w:val="000000"/>
          <w:spacing w:val="7"/>
          <w:w w:val="97"/>
        </w:rPr>
        <w:tab/>
      </w:r>
      <w:r>
        <w:rPr>
          <w:color w:val="000000"/>
          <w:spacing w:val="7"/>
          <w:w w:val="97"/>
        </w:rPr>
        <w:tab/>
        <w:t>new series</w:t>
      </w:r>
    </w:p>
    <w:p w:rsidR="004A3897" w:rsidRPr="00B7545D" w:rsidRDefault="004A3897" w:rsidP="003E3153">
      <w:pPr>
        <w:pStyle w:val="PlainText"/>
        <w:rPr>
          <w:i/>
        </w:rPr>
      </w:pPr>
      <w:r w:rsidRPr="00B7545D">
        <w:rPr>
          <w:i/>
        </w:rPr>
        <w:t>NTS</w:t>
      </w:r>
      <w:r w:rsidRPr="00B7545D">
        <w:rPr>
          <w:i/>
        </w:rPr>
        <w:tab/>
      </w:r>
      <w:r w:rsidRPr="00B7545D">
        <w:rPr>
          <w:i/>
        </w:rPr>
        <w:tab/>
        <w:t>New Testament Studies</w:t>
      </w:r>
    </w:p>
    <w:p w:rsidR="00750ADA" w:rsidRPr="00B7545D" w:rsidRDefault="00750ADA" w:rsidP="003E3153">
      <w:pPr>
        <w:pStyle w:val="PlainText"/>
      </w:pPr>
      <w:r w:rsidRPr="00B7545D">
        <w:t>OG</w:t>
      </w:r>
      <w:r w:rsidRPr="00B7545D">
        <w:tab/>
      </w:r>
      <w:r w:rsidRPr="00B7545D">
        <w:tab/>
        <w:t>The Old Greek translation of the Old Testament</w:t>
      </w:r>
    </w:p>
    <w:p w:rsidR="00750ADA" w:rsidRPr="00B7545D" w:rsidRDefault="00750ADA" w:rsidP="003E3153">
      <w:pPr>
        <w:pStyle w:val="PlainText"/>
      </w:pPr>
      <w:r w:rsidRPr="00B7545D">
        <w:t>OP</w:t>
      </w:r>
      <w:r w:rsidRPr="00B7545D">
        <w:tab/>
      </w:r>
      <w:r w:rsidRPr="00B7545D">
        <w:tab/>
        <w:t>Old Persian</w:t>
      </w:r>
    </w:p>
    <w:p w:rsidR="008E5A7F" w:rsidRPr="00B7545D" w:rsidRDefault="00750ADA" w:rsidP="008E5A7F">
      <w:pPr>
        <w:pStyle w:val="PlainText"/>
        <w:rPr>
          <w:i/>
          <w:iCs/>
          <w:color w:val="000000"/>
          <w:spacing w:val="-6"/>
        </w:rPr>
      </w:pPr>
      <w:r w:rsidRPr="00B7545D">
        <w:rPr>
          <w:i/>
        </w:rPr>
        <w:t>OTP</w:t>
      </w:r>
      <w:r w:rsidRPr="00B7545D">
        <w:tab/>
      </w:r>
      <w:r w:rsidRPr="00B7545D">
        <w:tab/>
        <w:t xml:space="preserve">Charlesworth, J. H. (ed.). </w:t>
      </w:r>
      <w:r w:rsidRPr="00B7545D">
        <w:rPr>
          <w:i/>
        </w:rPr>
        <w:t>The Old Testament Pseudepigrapha</w:t>
      </w:r>
      <w:r w:rsidRPr="00B7545D">
        <w:t xml:space="preserve">. </w:t>
      </w:r>
      <w:r w:rsidRPr="00B7545D">
        <w:rPr>
          <w:spacing w:val="3"/>
        </w:rPr>
        <w:t xml:space="preserve">2 vols. Garden City, NY: </w:t>
      </w:r>
      <w:r w:rsidRPr="00B7545D">
        <w:rPr>
          <w:spacing w:val="3"/>
        </w:rPr>
        <w:tab/>
      </w:r>
      <w:r w:rsidRPr="00B7545D">
        <w:rPr>
          <w:spacing w:val="3"/>
        </w:rPr>
        <w:tab/>
      </w:r>
      <w:r w:rsidRPr="00B7545D">
        <w:rPr>
          <w:spacing w:val="3"/>
        </w:rPr>
        <w:tab/>
      </w:r>
      <w:r w:rsidRPr="00B7545D">
        <w:rPr>
          <w:spacing w:val="6"/>
        </w:rPr>
        <w:t>Doubleday, 1983-85</w:t>
      </w:r>
      <w:r w:rsidRPr="00B7545D">
        <w:rPr>
          <w:spacing w:val="6"/>
        </w:rPr>
        <w:br/>
      </w:r>
      <w:r w:rsidR="00A9066F" w:rsidRPr="00B7545D">
        <w:rPr>
          <w:i/>
        </w:rPr>
        <w:t>OTS</w:t>
      </w:r>
      <w:r w:rsidR="008E5A7F" w:rsidRPr="00B7545D">
        <w:rPr>
          <w:i/>
        </w:rPr>
        <w:tab/>
      </w:r>
      <w:r w:rsidR="008E5A7F" w:rsidRPr="00B7545D">
        <w:rPr>
          <w:i/>
        </w:rPr>
        <w:tab/>
      </w:r>
      <w:r w:rsidR="008E5A7F" w:rsidRPr="00B7545D">
        <w:rPr>
          <w:i/>
          <w:iCs/>
          <w:color w:val="000000"/>
          <w:spacing w:val="-6"/>
        </w:rPr>
        <w:t>Oudtestamentische Studien</w:t>
      </w:r>
    </w:p>
    <w:p w:rsidR="008E5A7F" w:rsidRPr="00B7545D" w:rsidRDefault="008E5A7F" w:rsidP="008E5A7F">
      <w:pPr>
        <w:pStyle w:val="PlainText"/>
        <w:rPr>
          <w:i/>
          <w:iCs/>
          <w:color w:val="000000"/>
        </w:rPr>
      </w:pPr>
      <w:r w:rsidRPr="00C508CC">
        <w:rPr>
          <w:iCs/>
          <w:color w:val="000000"/>
          <w:spacing w:val="-5"/>
        </w:rPr>
        <w:t>PG</w:t>
      </w:r>
      <w:r w:rsidRPr="00B7545D">
        <w:rPr>
          <w:i/>
          <w:iCs/>
          <w:color w:val="000000"/>
        </w:rPr>
        <w:tab/>
      </w:r>
      <w:r w:rsidRPr="00B7545D">
        <w:rPr>
          <w:i/>
          <w:iCs/>
          <w:color w:val="000000"/>
        </w:rPr>
        <w:tab/>
      </w:r>
      <w:r w:rsidRPr="00B7545D">
        <w:rPr>
          <w:color w:val="000000"/>
        </w:rPr>
        <w:t xml:space="preserve">J. Migne (ed.), </w:t>
      </w:r>
      <w:r w:rsidR="00C508CC">
        <w:rPr>
          <w:iCs/>
          <w:color w:val="000000"/>
        </w:rPr>
        <w:t>Patrologia g</w:t>
      </w:r>
      <w:r w:rsidRPr="00C508CC">
        <w:rPr>
          <w:iCs/>
          <w:color w:val="000000"/>
        </w:rPr>
        <w:t>raeca</w:t>
      </w:r>
    </w:p>
    <w:p w:rsidR="008E5A7F" w:rsidRPr="00B7545D" w:rsidRDefault="008E5A7F" w:rsidP="008E5A7F">
      <w:pPr>
        <w:pStyle w:val="PlainText"/>
        <w:rPr>
          <w:i/>
        </w:rPr>
      </w:pPr>
      <w:r w:rsidRPr="00C508CC">
        <w:rPr>
          <w:iCs/>
          <w:color w:val="000000"/>
        </w:rPr>
        <w:t>PL</w:t>
      </w:r>
      <w:r w:rsidRPr="00B7545D">
        <w:rPr>
          <w:i/>
          <w:iCs/>
          <w:color w:val="000000"/>
        </w:rPr>
        <w:tab/>
      </w:r>
      <w:r w:rsidRPr="00B7545D">
        <w:rPr>
          <w:i/>
          <w:iCs/>
          <w:color w:val="000000"/>
        </w:rPr>
        <w:tab/>
      </w:r>
      <w:r w:rsidRPr="00B7545D">
        <w:rPr>
          <w:color w:val="000000"/>
          <w:spacing w:val="2"/>
        </w:rPr>
        <w:t xml:space="preserve">J. Migne (ed.), </w:t>
      </w:r>
      <w:r w:rsidRPr="00C508CC">
        <w:rPr>
          <w:iCs/>
          <w:color w:val="000000"/>
          <w:spacing w:val="2"/>
        </w:rPr>
        <w:t>Patrologia latina</w:t>
      </w:r>
    </w:p>
    <w:p w:rsidR="0079356A" w:rsidRPr="00B7545D" w:rsidRDefault="0079356A" w:rsidP="003E3153">
      <w:pPr>
        <w:pStyle w:val="PlainText"/>
        <w:rPr>
          <w:i/>
        </w:rPr>
      </w:pPr>
      <w:r w:rsidRPr="00B7545D">
        <w:t>pl.</w:t>
      </w:r>
      <w:r w:rsidRPr="00B7545D">
        <w:tab/>
      </w:r>
      <w:r w:rsidRPr="00B7545D">
        <w:tab/>
        <w:t>plural</w:t>
      </w:r>
    </w:p>
    <w:p w:rsidR="002D02E9" w:rsidRPr="00B7545D" w:rsidRDefault="002D02E9" w:rsidP="003E3153">
      <w:pPr>
        <w:pStyle w:val="PlainText"/>
        <w:rPr>
          <w:i/>
        </w:rPr>
      </w:pPr>
      <w:r w:rsidRPr="00B7545D">
        <w:rPr>
          <w:i/>
        </w:rPr>
        <w:t>PRS</w:t>
      </w:r>
      <w:r w:rsidRPr="00B7545D">
        <w:rPr>
          <w:i/>
        </w:rPr>
        <w:tab/>
      </w:r>
      <w:r w:rsidRPr="00B7545D">
        <w:rPr>
          <w:i/>
        </w:rPr>
        <w:tab/>
        <w:t>Perspectives in Religious Studies</w:t>
      </w:r>
    </w:p>
    <w:p w:rsidR="00905248" w:rsidRPr="00B7545D" w:rsidRDefault="00905248" w:rsidP="003E3153">
      <w:pPr>
        <w:pStyle w:val="PlainText"/>
        <w:rPr>
          <w:i/>
        </w:rPr>
      </w:pPr>
      <w:r w:rsidRPr="00B7545D">
        <w:t>PS</w:t>
      </w:r>
      <w:r w:rsidRPr="00B7545D">
        <w:tab/>
      </w:r>
      <w:r w:rsidRPr="00B7545D">
        <w:tab/>
        <w:t xml:space="preserve">Payne Smith, J. (ed.), </w:t>
      </w:r>
      <w:r w:rsidRPr="00B7545D">
        <w:rPr>
          <w:i/>
        </w:rPr>
        <w:t>A Compendious Syriac Dictionary</w:t>
      </w:r>
      <w:r w:rsidRPr="00B7545D">
        <w:t>. Oxford: OUP, 1902.</w:t>
      </w:r>
    </w:p>
    <w:p w:rsidR="008E5A7F" w:rsidRPr="00B7545D" w:rsidRDefault="008E5A7F" w:rsidP="008E5A7F">
      <w:pPr>
        <w:widowControl w:val="0"/>
        <w:shd w:val="clear" w:color="auto" w:fill="FFFFFF"/>
        <w:tabs>
          <w:tab w:val="left" w:pos="1440"/>
        </w:tabs>
        <w:autoSpaceDE w:val="0"/>
        <w:autoSpaceDN w:val="0"/>
        <w:adjustRightInd w:val="0"/>
        <w:spacing w:before="5" w:line="216" w:lineRule="exact"/>
        <w:ind w:left="10" w:firstLine="0"/>
        <w:rPr>
          <w:rFonts w:eastAsia="Times New Roman" w:cs="Arial"/>
        </w:rPr>
      </w:pPr>
      <w:r w:rsidRPr="00B7545D">
        <w:rPr>
          <w:rFonts w:eastAsia="Times New Roman" w:cs="Times New Roman"/>
          <w:i/>
          <w:iCs/>
          <w:color w:val="000000"/>
          <w:spacing w:val="10"/>
        </w:rPr>
        <w:t>PTR</w:t>
      </w:r>
      <w:r w:rsidRPr="00B7545D">
        <w:rPr>
          <w:rFonts w:eastAsia="Times New Roman" w:cs="Times New Roman"/>
          <w:i/>
          <w:iCs/>
          <w:color w:val="000000"/>
        </w:rPr>
        <w:tab/>
      </w:r>
      <w:r w:rsidRPr="00B7545D">
        <w:rPr>
          <w:rFonts w:eastAsia="Times New Roman" w:cs="Times New Roman"/>
          <w:i/>
          <w:iCs/>
          <w:color w:val="000000"/>
          <w:spacing w:val="-4"/>
        </w:rPr>
        <w:t>Princeton Theological Review</w:t>
      </w:r>
    </w:p>
    <w:p w:rsidR="00750ADA" w:rsidRPr="00B7545D" w:rsidRDefault="00750ADA" w:rsidP="003E3153">
      <w:pPr>
        <w:pStyle w:val="PlainText"/>
        <w:rPr>
          <w:i/>
        </w:rPr>
      </w:pPr>
      <w:r w:rsidRPr="00B7545D">
        <w:t>Q</w:t>
      </w:r>
      <w:r w:rsidRPr="00B7545D">
        <w:tab/>
      </w:r>
      <w:r w:rsidRPr="00B7545D">
        <w:tab/>
        <w:t>The qere’ or vocalized text—that is, the text as read out.</w:t>
      </w:r>
    </w:p>
    <w:p w:rsidR="00F06CCB" w:rsidRDefault="00F06CCB" w:rsidP="003E3153">
      <w:pPr>
        <w:pStyle w:val="PlainText"/>
        <w:rPr>
          <w:i/>
        </w:rPr>
      </w:pPr>
      <w:r w:rsidRPr="00B7545D">
        <w:rPr>
          <w:i/>
        </w:rPr>
        <w:t>RB</w:t>
      </w:r>
      <w:r w:rsidR="008E5A7F" w:rsidRPr="00B7545D">
        <w:rPr>
          <w:i/>
        </w:rPr>
        <w:tab/>
      </w:r>
      <w:r w:rsidR="008E5A7F" w:rsidRPr="00B7545D">
        <w:rPr>
          <w:i/>
        </w:rPr>
        <w:tab/>
        <w:t>Revue Biblique</w:t>
      </w:r>
    </w:p>
    <w:p w:rsidR="00491973" w:rsidRPr="00B7545D" w:rsidRDefault="00491973" w:rsidP="003E3153">
      <w:pPr>
        <w:pStyle w:val="PlainText"/>
        <w:rPr>
          <w:i/>
        </w:rPr>
      </w:pPr>
      <w:r>
        <w:rPr>
          <w:i/>
        </w:rPr>
        <w:t>ResQ</w:t>
      </w:r>
      <w:r>
        <w:rPr>
          <w:i/>
        </w:rPr>
        <w:tab/>
      </w:r>
      <w:r>
        <w:rPr>
          <w:i/>
        </w:rPr>
        <w:tab/>
        <w:t>Restoration Quarterly</w:t>
      </w:r>
    </w:p>
    <w:p w:rsidR="008E5A7F" w:rsidRPr="00B7545D" w:rsidRDefault="003E3C5D" w:rsidP="008E5A7F">
      <w:pPr>
        <w:pStyle w:val="PlainText"/>
        <w:rPr>
          <w:i/>
        </w:rPr>
      </w:pPr>
      <w:r w:rsidRPr="00B7545D">
        <w:rPr>
          <w:i/>
        </w:rPr>
        <w:t>RevExp</w:t>
      </w:r>
      <w:r w:rsidRPr="00B7545D">
        <w:rPr>
          <w:i/>
        </w:rPr>
        <w:tab/>
      </w:r>
      <w:r w:rsidRPr="00B7545D">
        <w:rPr>
          <w:i/>
        </w:rPr>
        <w:tab/>
        <w:t>Review and Expositor</w:t>
      </w:r>
    </w:p>
    <w:p w:rsidR="008E5A7F" w:rsidRPr="00B7545D" w:rsidRDefault="008E5A7F" w:rsidP="008E5A7F">
      <w:pPr>
        <w:pStyle w:val="PlainText"/>
        <w:rPr>
          <w:i/>
        </w:rPr>
      </w:pPr>
      <w:r w:rsidRPr="00B7545D">
        <w:rPr>
          <w:i/>
          <w:iCs/>
          <w:color w:val="000000"/>
          <w:spacing w:val="3"/>
        </w:rPr>
        <w:t>RevQ</w:t>
      </w:r>
      <w:r w:rsidRPr="00B7545D">
        <w:rPr>
          <w:i/>
          <w:iCs/>
          <w:color w:val="000000"/>
        </w:rPr>
        <w:tab/>
      </w:r>
      <w:r w:rsidRPr="00B7545D">
        <w:rPr>
          <w:i/>
          <w:iCs/>
          <w:color w:val="000000"/>
        </w:rPr>
        <w:tab/>
      </w:r>
      <w:r w:rsidRPr="00B7545D">
        <w:rPr>
          <w:i/>
          <w:iCs/>
          <w:color w:val="000000"/>
          <w:spacing w:val="-1"/>
        </w:rPr>
        <w:t>Revue de Qumran</w:t>
      </w:r>
    </w:p>
    <w:p w:rsidR="0027741D" w:rsidRDefault="0027741D" w:rsidP="003E3153">
      <w:pPr>
        <w:pStyle w:val="PlainText"/>
      </w:pPr>
      <w:r w:rsidRPr="00B7545D">
        <w:t>RV</w:t>
      </w:r>
      <w:r w:rsidR="00B66FC0" w:rsidRPr="00B7545D">
        <w:tab/>
      </w:r>
      <w:r w:rsidR="00B66FC0" w:rsidRPr="00B7545D">
        <w:tab/>
        <w:t xml:space="preserve">(English) Revised Version </w:t>
      </w:r>
    </w:p>
    <w:p w:rsidR="00910D20" w:rsidRPr="00B7545D" w:rsidRDefault="00910D20" w:rsidP="003E3153">
      <w:pPr>
        <w:pStyle w:val="PlainText"/>
        <w:rPr>
          <w:i/>
        </w:rPr>
      </w:pPr>
      <w:r>
        <w:t>RSV</w:t>
      </w:r>
      <w:r>
        <w:tab/>
      </w:r>
      <w:r>
        <w:tab/>
        <w:t>Revised Standard Version</w:t>
      </w:r>
    </w:p>
    <w:p w:rsidR="00CE7E31" w:rsidRPr="00B7545D" w:rsidRDefault="0079356A" w:rsidP="00CE7E31">
      <w:pPr>
        <w:pStyle w:val="PlainText"/>
      </w:pPr>
      <w:r w:rsidRPr="00B7545D">
        <w:t>s.</w:t>
      </w:r>
      <w:r w:rsidRPr="00B7545D">
        <w:tab/>
      </w:r>
      <w:r w:rsidRPr="00B7545D">
        <w:tab/>
        <w:t>singular</w:t>
      </w:r>
    </w:p>
    <w:p w:rsidR="00E91AD4" w:rsidRDefault="00CE7E31" w:rsidP="00CE7E31">
      <w:pPr>
        <w:pStyle w:val="PlainText"/>
        <w:rPr>
          <w:rFonts w:eastAsia="Times New Roman"/>
          <w:i/>
          <w:iCs/>
          <w:color w:val="000000"/>
          <w:spacing w:val="-4"/>
          <w:w w:val="93"/>
        </w:rPr>
      </w:pPr>
      <w:r w:rsidRPr="00B7545D">
        <w:rPr>
          <w:rFonts w:eastAsia="Times New Roman"/>
          <w:color w:val="000000"/>
          <w:spacing w:val="-10"/>
        </w:rPr>
        <w:t>SCO</w:t>
      </w:r>
      <w:r w:rsidRPr="00B7545D">
        <w:rPr>
          <w:rFonts w:eastAsia="Times New Roman"/>
          <w:color w:val="000000"/>
        </w:rPr>
        <w:tab/>
      </w:r>
      <w:r w:rsidRPr="00B7545D">
        <w:rPr>
          <w:rFonts w:eastAsia="Times New Roman"/>
          <w:color w:val="000000"/>
        </w:rPr>
        <w:tab/>
      </w:r>
      <w:r w:rsidRPr="00B7545D">
        <w:rPr>
          <w:rFonts w:eastAsia="Times New Roman"/>
          <w:i/>
          <w:iCs/>
          <w:color w:val="000000"/>
        </w:rPr>
        <w:t xml:space="preserve">Studia classica et orientalia </w:t>
      </w:r>
      <w:r w:rsidRPr="00B7545D">
        <w:rPr>
          <w:rFonts w:eastAsia="Times New Roman"/>
          <w:color w:val="000000"/>
        </w:rPr>
        <w:t>(FS A. Pagliaro; 3 vols.; Rome</w:t>
      </w:r>
      <w:r w:rsidRPr="00B7545D">
        <w:rPr>
          <w:i/>
        </w:rPr>
        <w:t xml:space="preserve"> </w:t>
      </w:r>
      <w:r w:rsidRPr="00B7545D">
        <w:rPr>
          <w:rFonts w:eastAsia="Times New Roman"/>
          <w:color w:val="000000"/>
          <w:spacing w:val="-2"/>
          <w:w w:val="106"/>
          <w:lang w:bidi="ar-SA"/>
        </w:rPr>
        <w:t>[Istituto di Glottologia], 1969)</w:t>
      </w:r>
      <w:r w:rsidRPr="00B7545D">
        <w:rPr>
          <w:rFonts w:eastAsia="Times New Roman"/>
          <w:color w:val="000000"/>
          <w:spacing w:val="-2"/>
          <w:w w:val="106"/>
          <w:lang w:bidi="ar-SA"/>
        </w:rPr>
        <w:br/>
      </w:r>
      <w:r w:rsidR="00E91AD4" w:rsidRPr="00E91AD4">
        <w:rPr>
          <w:rFonts w:eastAsia="Times New Roman"/>
          <w:i/>
          <w:iCs/>
          <w:color w:val="000000"/>
          <w:spacing w:val="-4"/>
          <w:w w:val="93"/>
        </w:rPr>
        <w:t xml:space="preserve">SEÅ </w:t>
      </w:r>
      <w:r w:rsidR="00E91AD4">
        <w:rPr>
          <w:rFonts w:eastAsia="Times New Roman"/>
          <w:i/>
          <w:iCs/>
          <w:color w:val="000000"/>
          <w:spacing w:val="-4"/>
          <w:w w:val="93"/>
        </w:rPr>
        <w:tab/>
      </w:r>
      <w:r w:rsidR="00E91AD4">
        <w:rPr>
          <w:rFonts w:eastAsia="Times New Roman"/>
          <w:i/>
          <w:iCs/>
          <w:color w:val="000000"/>
          <w:spacing w:val="-4"/>
          <w:w w:val="93"/>
        </w:rPr>
        <w:tab/>
        <w:t>Svensk exegetisk årsbok</w:t>
      </w:r>
    </w:p>
    <w:p w:rsidR="00CE7E31" w:rsidRPr="00B7545D" w:rsidRDefault="00CE7E31" w:rsidP="00CE7E31">
      <w:pPr>
        <w:pStyle w:val="PlainText"/>
      </w:pPr>
      <w:r w:rsidRPr="00B7545D">
        <w:rPr>
          <w:rFonts w:eastAsia="Times New Roman"/>
          <w:i/>
          <w:iCs/>
          <w:color w:val="000000"/>
          <w:spacing w:val="-4"/>
          <w:w w:val="93"/>
        </w:rPr>
        <w:t>Sem</w:t>
      </w:r>
      <w:r w:rsidRPr="00B7545D">
        <w:rPr>
          <w:rFonts w:eastAsia="Times New Roman"/>
          <w:i/>
          <w:iCs/>
          <w:color w:val="000000"/>
        </w:rPr>
        <w:tab/>
      </w:r>
      <w:r w:rsidRPr="00B7545D">
        <w:rPr>
          <w:rFonts w:eastAsia="Times New Roman"/>
          <w:i/>
          <w:iCs/>
          <w:color w:val="000000"/>
        </w:rPr>
        <w:tab/>
      </w:r>
      <w:r w:rsidRPr="00B7545D">
        <w:rPr>
          <w:rFonts w:eastAsia="Times New Roman"/>
          <w:i/>
          <w:iCs/>
          <w:color w:val="000000"/>
          <w:spacing w:val="-2"/>
          <w:w w:val="93"/>
        </w:rPr>
        <w:t>Semitica</w:t>
      </w:r>
    </w:p>
    <w:p w:rsidR="00910D20" w:rsidRDefault="00910D20" w:rsidP="00CE7E31">
      <w:pPr>
        <w:pStyle w:val="PlainText"/>
        <w:rPr>
          <w:i/>
        </w:rPr>
      </w:pPr>
      <w:r>
        <w:rPr>
          <w:i/>
        </w:rPr>
        <w:t>Sib. Or.</w:t>
      </w:r>
      <w:r>
        <w:rPr>
          <w:i/>
        </w:rPr>
        <w:tab/>
      </w:r>
      <w:r>
        <w:rPr>
          <w:i/>
        </w:rPr>
        <w:tab/>
        <w:t>Sibylline Oraclwa</w:t>
      </w:r>
    </w:p>
    <w:p w:rsidR="008075CA" w:rsidRPr="00B7545D" w:rsidRDefault="008075CA" w:rsidP="00CE7E31">
      <w:pPr>
        <w:pStyle w:val="PlainText"/>
        <w:rPr>
          <w:i/>
        </w:rPr>
      </w:pPr>
      <w:r w:rsidRPr="00B7545D">
        <w:rPr>
          <w:i/>
        </w:rPr>
        <w:t>SJOT</w:t>
      </w:r>
      <w:r w:rsidRPr="00B7545D">
        <w:rPr>
          <w:i/>
        </w:rPr>
        <w:tab/>
      </w:r>
      <w:r w:rsidRPr="00B7545D">
        <w:rPr>
          <w:i/>
        </w:rPr>
        <w:tab/>
        <w:t>Scandinavian Journal of the Old Testament</w:t>
      </w:r>
    </w:p>
    <w:p w:rsidR="00DD5EEF" w:rsidRPr="00DD5EEF" w:rsidRDefault="00DD5EEF" w:rsidP="003E3153">
      <w:pPr>
        <w:pStyle w:val="PlainText"/>
        <w:rPr>
          <w:i/>
        </w:rPr>
      </w:pPr>
      <w:r>
        <w:rPr>
          <w:i/>
        </w:rPr>
        <w:t>ST</w:t>
      </w:r>
      <w:r>
        <w:rPr>
          <w:i/>
        </w:rPr>
        <w:tab/>
      </w:r>
      <w:r>
        <w:rPr>
          <w:i/>
        </w:rPr>
        <w:tab/>
        <w:t>Studia Theologica</w:t>
      </w:r>
    </w:p>
    <w:p w:rsidR="00750ADA" w:rsidRPr="00B7545D" w:rsidRDefault="00750ADA" w:rsidP="003E3153">
      <w:pPr>
        <w:pStyle w:val="PlainText"/>
        <w:rPr>
          <w:i/>
        </w:rPr>
      </w:pPr>
      <w:r w:rsidRPr="00B7545D">
        <w:t xml:space="preserve">Syh     </w:t>
      </w:r>
      <w:r w:rsidRPr="00B7545D">
        <w:tab/>
      </w:r>
      <w:r w:rsidRPr="00B7545D">
        <w:tab/>
        <w:t>The Syriac translation of Origen's Hexapla</w:t>
      </w:r>
    </w:p>
    <w:p w:rsidR="00750ADA" w:rsidRPr="00B7545D" w:rsidRDefault="00750ADA" w:rsidP="003E3153">
      <w:pPr>
        <w:pStyle w:val="PlainText"/>
        <w:rPr>
          <w:i/>
        </w:rPr>
      </w:pPr>
      <w:r w:rsidRPr="00B7545D">
        <w:t>Sym</w:t>
      </w:r>
      <w:r w:rsidRPr="00B7545D">
        <w:tab/>
      </w:r>
      <w:r w:rsidRPr="00B7545D">
        <w:tab/>
        <w:t>Symmachus’s Greek translation of the Old Testament</w:t>
      </w:r>
    </w:p>
    <w:p w:rsidR="00750ADA" w:rsidRPr="00B7545D" w:rsidRDefault="00750ADA" w:rsidP="003E3153">
      <w:pPr>
        <w:pStyle w:val="PlainText"/>
        <w:rPr>
          <w:i/>
        </w:rPr>
      </w:pPr>
      <w:r w:rsidRPr="00B7545D">
        <w:t>Syr</w:t>
      </w:r>
      <w:r w:rsidRPr="00B7545D">
        <w:tab/>
      </w:r>
      <w:r w:rsidRPr="00B7545D">
        <w:tab/>
      </w:r>
      <w:r w:rsidR="00362CC9" w:rsidRPr="00B7545D">
        <w:t xml:space="preserve">The </w:t>
      </w:r>
      <w:r w:rsidRPr="00B7545D">
        <w:t xml:space="preserve">Syriac translation of the Old Testament, as </w:t>
      </w:r>
    </w:p>
    <w:p w:rsidR="00750ADA" w:rsidRPr="00B7545D" w:rsidRDefault="00750ADA" w:rsidP="003E3153">
      <w:pPr>
        <w:pStyle w:val="PlainText"/>
      </w:pPr>
      <w:r w:rsidRPr="00B7545D">
        <w:rPr>
          <w:i/>
        </w:rPr>
        <w:t>T.</w:t>
      </w:r>
      <w:r w:rsidRPr="00B7545D">
        <w:tab/>
      </w:r>
      <w:r w:rsidRPr="00B7545D">
        <w:tab/>
      </w:r>
      <w:r w:rsidRPr="00B7545D">
        <w:rPr>
          <w:i/>
        </w:rPr>
        <w:t>Testament of</w:t>
      </w:r>
    </w:p>
    <w:p w:rsidR="003953BA" w:rsidRPr="00B7545D" w:rsidRDefault="003953BA" w:rsidP="003E3153">
      <w:pPr>
        <w:pStyle w:val="PlainText"/>
        <w:rPr>
          <w:i/>
        </w:rPr>
      </w:pPr>
      <w:r w:rsidRPr="00B7545D">
        <w:rPr>
          <w:i/>
        </w:rPr>
        <w:t>TGUOS</w:t>
      </w:r>
      <w:r w:rsidRPr="00B7545D">
        <w:rPr>
          <w:i/>
        </w:rPr>
        <w:tab/>
      </w:r>
      <w:r w:rsidRPr="00B7545D">
        <w:rPr>
          <w:i/>
        </w:rPr>
        <w:tab/>
      </w:r>
      <w:r w:rsidRPr="00B7545D">
        <w:rPr>
          <w:i/>
          <w:iCs/>
        </w:rPr>
        <w:t>Transactions of the Glasgow University Oriental Society</w:t>
      </w:r>
    </w:p>
    <w:p w:rsidR="00750ADA" w:rsidRPr="00B7545D" w:rsidRDefault="00750ADA" w:rsidP="003E3153">
      <w:pPr>
        <w:pStyle w:val="PlainText"/>
      </w:pPr>
      <w:r w:rsidRPr="00B7545D">
        <w:t>Th</w:t>
      </w:r>
      <w:r w:rsidRPr="00B7545D">
        <w:tab/>
      </w:r>
      <w:r w:rsidRPr="00B7545D">
        <w:tab/>
        <w:t>Theodotion’s Greek translation of the Old Testament</w:t>
      </w:r>
    </w:p>
    <w:p w:rsidR="00466E89" w:rsidRPr="00B7545D" w:rsidRDefault="00466E89" w:rsidP="00750ADA">
      <w:pPr>
        <w:pStyle w:val="ListParagraph"/>
        <w:rPr>
          <w:rFonts w:asciiTheme="minorHAnsi" w:hAnsiTheme="minorHAnsi"/>
          <w:i/>
          <w:szCs w:val="22"/>
        </w:rPr>
      </w:pPr>
      <w:r w:rsidRPr="00B7545D">
        <w:rPr>
          <w:rFonts w:asciiTheme="minorHAnsi" w:hAnsiTheme="minorHAnsi"/>
          <w:i/>
          <w:szCs w:val="22"/>
        </w:rPr>
        <w:t>Them</w:t>
      </w:r>
      <w:r w:rsidRPr="00B7545D">
        <w:rPr>
          <w:rFonts w:asciiTheme="minorHAnsi" w:hAnsiTheme="minorHAnsi"/>
          <w:i/>
          <w:szCs w:val="22"/>
        </w:rPr>
        <w:tab/>
      </w:r>
      <w:r w:rsidRPr="00B7545D">
        <w:rPr>
          <w:rFonts w:asciiTheme="minorHAnsi" w:hAnsiTheme="minorHAnsi"/>
          <w:i/>
          <w:szCs w:val="22"/>
        </w:rPr>
        <w:tab/>
        <w:t>Themelios</w:t>
      </w:r>
    </w:p>
    <w:p w:rsidR="003953BA" w:rsidRPr="00B7545D" w:rsidRDefault="003953BA" w:rsidP="00750ADA">
      <w:pPr>
        <w:pStyle w:val="ListParagraph"/>
        <w:rPr>
          <w:rFonts w:asciiTheme="minorHAnsi" w:hAnsiTheme="minorHAnsi"/>
          <w:i/>
          <w:szCs w:val="22"/>
        </w:rPr>
      </w:pPr>
      <w:r w:rsidRPr="00B7545D">
        <w:rPr>
          <w:rFonts w:asciiTheme="minorHAnsi" w:hAnsiTheme="minorHAnsi"/>
          <w:i/>
          <w:szCs w:val="22"/>
        </w:rPr>
        <w:t>TLZ</w:t>
      </w:r>
      <w:r w:rsidR="00031FAB" w:rsidRPr="00B7545D">
        <w:rPr>
          <w:rFonts w:asciiTheme="minorHAnsi" w:hAnsiTheme="minorHAnsi"/>
          <w:i/>
          <w:szCs w:val="22"/>
        </w:rPr>
        <w:tab/>
      </w:r>
      <w:r w:rsidR="00031FAB" w:rsidRPr="00B7545D">
        <w:rPr>
          <w:rFonts w:asciiTheme="minorHAnsi" w:hAnsiTheme="minorHAnsi"/>
          <w:i/>
          <w:szCs w:val="22"/>
        </w:rPr>
        <w:tab/>
        <w:t>Theologische Literaturzeitung</w:t>
      </w:r>
    </w:p>
    <w:p w:rsidR="008B7786" w:rsidRPr="008B7786" w:rsidRDefault="008B7786" w:rsidP="00750ADA">
      <w:pPr>
        <w:pStyle w:val="ListParagraph"/>
        <w:rPr>
          <w:rFonts w:asciiTheme="minorHAnsi" w:hAnsiTheme="minorHAnsi"/>
          <w:szCs w:val="22"/>
        </w:rPr>
      </w:pPr>
      <w:r>
        <w:rPr>
          <w:rFonts w:asciiTheme="minorHAnsi" w:hAnsiTheme="minorHAnsi"/>
          <w:szCs w:val="22"/>
        </w:rPr>
        <w:t>Tob</w:t>
      </w:r>
      <w:r>
        <w:rPr>
          <w:rFonts w:asciiTheme="minorHAnsi" w:hAnsiTheme="minorHAnsi"/>
          <w:szCs w:val="22"/>
        </w:rPr>
        <w:tab/>
      </w:r>
      <w:r>
        <w:rPr>
          <w:rFonts w:asciiTheme="minorHAnsi" w:hAnsiTheme="minorHAnsi"/>
          <w:szCs w:val="22"/>
        </w:rPr>
        <w:tab/>
        <w:t>Tobit</w:t>
      </w:r>
    </w:p>
    <w:p w:rsidR="003953BA" w:rsidRPr="00B7545D" w:rsidRDefault="003953BA" w:rsidP="00750ADA">
      <w:pPr>
        <w:pStyle w:val="ListParagraph"/>
        <w:rPr>
          <w:rFonts w:asciiTheme="minorHAnsi" w:hAnsiTheme="minorHAnsi"/>
          <w:i/>
          <w:szCs w:val="22"/>
        </w:rPr>
      </w:pPr>
      <w:r w:rsidRPr="00B7545D">
        <w:rPr>
          <w:rFonts w:asciiTheme="minorHAnsi" w:hAnsiTheme="minorHAnsi"/>
          <w:i/>
          <w:szCs w:val="22"/>
        </w:rPr>
        <w:t>TQ</w:t>
      </w:r>
      <w:r w:rsidR="00031FAB" w:rsidRPr="00B7545D">
        <w:rPr>
          <w:rFonts w:asciiTheme="minorHAnsi" w:hAnsiTheme="minorHAnsi"/>
          <w:i/>
          <w:szCs w:val="22"/>
        </w:rPr>
        <w:tab/>
      </w:r>
      <w:r w:rsidR="00031FAB" w:rsidRPr="00B7545D">
        <w:rPr>
          <w:rFonts w:asciiTheme="minorHAnsi" w:hAnsiTheme="minorHAnsi"/>
          <w:i/>
          <w:szCs w:val="22"/>
        </w:rPr>
        <w:tab/>
      </w:r>
      <w:r w:rsidR="00031FAB" w:rsidRPr="00B7545D">
        <w:rPr>
          <w:rFonts w:asciiTheme="minorHAnsi" w:hAnsiTheme="minorHAnsi"/>
          <w:i/>
          <w:szCs w:val="22"/>
        </w:rPr>
        <w:tab/>
        <w:t>Theologische</w:t>
      </w:r>
      <w:r w:rsidR="00031FAB" w:rsidRPr="00B7545D">
        <w:rPr>
          <w:rFonts w:asciiTheme="minorHAnsi" w:eastAsiaTheme="minorEastAsia" w:hAnsiTheme="minorHAnsi"/>
          <w:i/>
          <w:iCs/>
          <w:color w:val="000000"/>
          <w:spacing w:val="-6"/>
          <w:szCs w:val="22"/>
        </w:rPr>
        <w:t xml:space="preserve"> </w:t>
      </w:r>
      <w:r w:rsidR="00031FAB" w:rsidRPr="00B7545D">
        <w:rPr>
          <w:rFonts w:asciiTheme="minorHAnsi" w:hAnsiTheme="minorHAnsi"/>
          <w:i/>
          <w:iCs/>
          <w:szCs w:val="22"/>
        </w:rPr>
        <w:t>Quartalschrift</w:t>
      </w:r>
    </w:p>
    <w:p w:rsidR="003953BA" w:rsidRPr="00B7545D" w:rsidRDefault="003953BA" w:rsidP="00750ADA">
      <w:pPr>
        <w:pStyle w:val="ListParagraph"/>
        <w:rPr>
          <w:rFonts w:asciiTheme="minorHAnsi" w:hAnsiTheme="minorHAnsi"/>
          <w:i/>
          <w:szCs w:val="22"/>
        </w:rPr>
      </w:pPr>
      <w:r w:rsidRPr="00B7545D">
        <w:rPr>
          <w:rFonts w:asciiTheme="minorHAnsi" w:hAnsiTheme="minorHAnsi"/>
          <w:i/>
          <w:szCs w:val="22"/>
        </w:rPr>
        <w:lastRenderedPageBreak/>
        <w:t>T</w:t>
      </w:r>
      <w:r w:rsidR="00031FAB" w:rsidRPr="00B7545D">
        <w:rPr>
          <w:rFonts w:asciiTheme="minorHAnsi" w:hAnsiTheme="minorHAnsi"/>
          <w:i/>
          <w:szCs w:val="22"/>
        </w:rPr>
        <w:t>r</w:t>
      </w:r>
      <w:r w:rsidRPr="00B7545D">
        <w:rPr>
          <w:rFonts w:asciiTheme="minorHAnsi" w:hAnsiTheme="minorHAnsi"/>
          <w:i/>
          <w:szCs w:val="22"/>
        </w:rPr>
        <w:t>ev</w:t>
      </w:r>
      <w:r w:rsidR="00031FAB" w:rsidRPr="00B7545D">
        <w:rPr>
          <w:rFonts w:asciiTheme="minorHAnsi" w:hAnsiTheme="minorHAnsi"/>
          <w:i/>
          <w:szCs w:val="22"/>
        </w:rPr>
        <w:tab/>
      </w:r>
      <w:r w:rsidR="00031FAB" w:rsidRPr="00B7545D">
        <w:rPr>
          <w:rFonts w:asciiTheme="minorHAnsi" w:hAnsiTheme="minorHAnsi"/>
          <w:i/>
          <w:szCs w:val="22"/>
        </w:rPr>
        <w:tab/>
      </w:r>
      <w:r w:rsidR="00031FAB" w:rsidRPr="00B7545D">
        <w:rPr>
          <w:rFonts w:asciiTheme="minorHAnsi" w:hAnsiTheme="minorHAnsi"/>
          <w:i/>
          <w:iCs/>
          <w:szCs w:val="22"/>
        </w:rPr>
        <w:t>Theologische Revue</w:t>
      </w:r>
    </w:p>
    <w:p w:rsidR="00750ADA" w:rsidRPr="00B7545D" w:rsidRDefault="00750ADA" w:rsidP="00750ADA">
      <w:pPr>
        <w:pStyle w:val="ListParagraph"/>
        <w:rPr>
          <w:rFonts w:asciiTheme="minorHAnsi" w:hAnsiTheme="minorHAnsi"/>
          <w:szCs w:val="22"/>
        </w:rPr>
      </w:pPr>
      <w:r w:rsidRPr="00B7545D">
        <w:rPr>
          <w:rFonts w:asciiTheme="minorHAnsi" w:hAnsiTheme="minorHAnsi"/>
          <w:i/>
          <w:szCs w:val="22"/>
        </w:rPr>
        <w:t>TTH</w:t>
      </w:r>
      <w:r w:rsidRPr="00B7545D">
        <w:rPr>
          <w:rFonts w:asciiTheme="minorHAnsi" w:hAnsiTheme="minorHAnsi"/>
          <w:i/>
          <w:szCs w:val="22"/>
        </w:rPr>
        <w:tab/>
      </w:r>
      <w:r w:rsidRPr="00B7545D">
        <w:rPr>
          <w:rFonts w:asciiTheme="minorHAnsi" w:hAnsiTheme="minorHAnsi"/>
          <w:i/>
          <w:szCs w:val="22"/>
        </w:rPr>
        <w:tab/>
      </w:r>
      <w:r w:rsidRPr="00B7545D">
        <w:rPr>
          <w:rFonts w:asciiTheme="minorHAnsi" w:hAnsiTheme="minorHAnsi"/>
          <w:szCs w:val="22"/>
        </w:rPr>
        <w:t xml:space="preserve">Driver, S. R. </w:t>
      </w:r>
      <w:r w:rsidRPr="00B7545D">
        <w:rPr>
          <w:rFonts w:asciiTheme="minorHAnsi" w:hAnsiTheme="minorHAnsi"/>
          <w:i/>
          <w:szCs w:val="22"/>
        </w:rPr>
        <w:t xml:space="preserve">A Treatise on the Use of the Tenses in Hebrew and Some Other Syntactical </w:t>
      </w:r>
      <w:r w:rsidRPr="00B7545D">
        <w:rPr>
          <w:rFonts w:asciiTheme="minorHAnsi" w:hAnsiTheme="minorHAnsi"/>
          <w:i/>
          <w:szCs w:val="22"/>
        </w:rPr>
        <w:tab/>
      </w:r>
      <w:r w:rsidRPr="00B7545D">
        <w:rPr>
          <w:rFonts w:asciiTheme="minorHAnsi" w:hAnsiTheme="minorHAnsi"/>
          <w:i/>
          <w:szCs w:val="22"/>
        </w:rPr>
        <w:tab/>
      </w:r>
      <w:r w:rsidRPr="00B7545D">
        <w:rPr>
          <w:rFonts w:asciiTheme="minorHAnsi" w:hAnsiTheme="minorHAnsi"/>
          <w:i/>
          <w:szCs w:val="22"/>
        </w:rPr>
        <w:tab/>
        <w:t>Questions</w:t>
      </w:r>
      <w:r w:rsidRPr="00B7545D">
        <w:rPr>
          <w:rFonts w:asciiTheme="minorHAnsi" w:hAnsiTheme="minorHAnsi"/>
          <w:szCs w:val="22"/>
        </w:rPr>
        <w:t>. 3</w:t>
      </w:r>
      <w:r w:rsidRPr="00B7545D">
        <w:rPr>
          <w:rFonts w:asciiTheme="minorHAnsi" w:hAnsiTheme="minorHAnsi"/>
          <w:szCs w:val="22"/>
          <w:vertAlign w:val="superscript"/>
        </w:rPr>
        <w:t>rd</w:t>
      </w:r>
      <w:r w:rsidRPr="00B7545D">
        <w:rPr>
          <w:rFonts w:asciiTheme="minorHAnsi" w:hAnsiTheme="minorHAnsi"/>
          <w:szCs w:val="22"/>
        </w:rPr>
        <w:t xml:space="preserve"> ed. Oxford: OUP, 1892</w:t>
      </w:r>
    </w:p>
    <w:p w:rsidR="00672D9B" w:rsidRPr="00B7545D" w:rsidRDefault="00FD28AC" w:rsidP="00672D9B">
      <w:pPr>
        <w:pStyle w:val="ListParagraph"/>
        <w:rPr>
          <w:rFonts w:asciiTheme="minorHAnsi" w:hAnsiTheme="minorHAnsi"/>
          <w:szCs w:val="22"/>
        </w:rPr>
      </w:pPr>
      <w:r w:rsidRPr="00B7545D">
        <w:rPr>
          <w:rFonts w:asciiTheme="minorHAnsi" w:hAnsiTheme="minorHAnsi"/>
          <w:i/>
          <w:szCs w:val="22"/>
        </w:rPr>
        <w:t>TTP</w:t>
      </w:r>
      <w:r w:rsidRPr="00B7545D">
        <w:rPr>
          <w:rFonts w:asciiTheme="minorHAnsi" w:hAnsiTheme="minorHAnsi"/>
          <w:i/>
          <w:szCs w:val="22"/>
        </w:rPr>
        <w:tab/>
      </w:r>
      <w:r w:rsidRPr="00B7545D">
        <w:rPr>
          <w:rFonts w:asciiTheme="minorHAnsi" w:hAnsiTheme="minorHAnsi"/>
          <w:i/>
          <w:szCs w:val="22"/>
        </w:rPr>
        <w:tab/>
      </w:r>
      <w:r w:rsidR="00AA393A" w:rsidRPr="00B7545D">
        <w:rPr>
          <w:rFonts w:asciiTheme="minorHAnsi" w:hAnsiTheme="minorHAnsi"/>
          <w:szCs w:val="22"/>
        </w:rPr>
        <w:t>Menthen, G. (ed.)</w:t>
      </w:r>
      <w:r w:rsidR="00683F96" w:rsidRPr="00B7545D">
        <w:rPr>
          <w:rFonts w:asciiTheme="minorHAnsi" w:hAnsiTheme="minorHAnsi"/>
          <w:szCs w:val="22"/>
        </w:rPr>
        <w:t xml:space="preserve">. </w:t>
      </w:r>
      <w:r w:rsidRPr="00B7545D">
        <w:rPr>
          <w:rFonts w:asciiTheme="minorHAnsi" w:hAnsiTheme="minorHAnsi"/>
          <w:i/>
          <w:szCs w:val="22"/>
        </w:rPr>
        <w:t>Thesaurus theologico-philologicus</w:t>
      </w:r>
      <w:r w:rsidRPr="00B7545D">
        <w:rPr>
          <w:rFonts w:asciiTheme="minorHAnsi" w:hAnsiTheme="minorHAnsi"/>
          <w:szCs w:val="22"/>
        </w:rPr>
        <w:t xml:space="preserve">. Vol. 1. Amsterdam: </w:t>
      </w:r>
      <w:r w:rsidR="00AA393A" w:rsidRPr="00B7545D">
        <w:rPr>
          <w:rFonts w:asciiTheme="minorHAnsi" w:hAnsiTheme="minorHAnsi"/>
          <w:szCs w:val="22"/>
        </w:rPr>
        <w:t xml:space="preserve"> Excudunt </w:t>
      </w:r>
      <w:r w:rsidR="00AA393A" w:rsidRPr="00B7545D">
        <w:rPr>
          <w:rFonts w:asciiTheme="minorHAnsi" w:hAnsiTheme="minorHAnsi"/>
          <w:szCs w:val="22"/>
        </w:rPr>
        <w:tab/>
      </w:r>
      <w:r w:rsidR="00AA393A" w:rsidRPr="00B7545D">
        <w:rPr>
          <w:rFonts w:asciiTheme="minorHAnsi" w:hAnsiTheme="minorHAnsi"/>
          <w:szCs w:val="22"/>
        </w:rPr>
        <w:tab/>
      </w:r>
      <w:r w:rsidR="00AA393A" w:rsidRPr="00B7545D">
        <w:rPr>
          <w:rFonts w:asciiTheme="minorHAnsi" w:hAnsiTheme="minorHAnsi"/>
          <w:szCs w:val="22"/>
        </w:rPr>
        <w:tab/>
        <w:t>Henricus</w:t>
      </w:r>
      <w:r w:rsidR="00672D9B" w:rsidRPr="00B7545D">
        <w:rPr>
          <w:rFonts w:asciiTheme="minorHAnsi" w:hAnsiTheme="minorHAnsi"/>
          <w:szCs w:val="22"/>
        </w:rPr>
        <w:t>, 1701.</w:t>
      </w:r>
    </w:p>
    <w:p w:rsidR="003953BA" w:rsidRPr="00B7545D" w:rsidRDefault="003953BA" w:rsidP="00672D9B">
      <w:pPr>
        <w:pStyle w:val="ListParagraph"/>
        <w:rPr>
          <w:rFonts w:asciiTheme="minorHAnsi" w:hAnsiTheme="minorHAnsi"/>
          <w:i/>
          <w:szCs w:val="22"/>
        </w:rPr>
      </w:pPr>
      <w:r w:rsidRPr="00B7545D">
        <w:rPr>
          <w:rFonts w:asciiTheme="minorHAnsi" w:hAnsiTheme="minorHAnsi"/>
          <w:i/>
          <w:szCs w:val="22"/>
        </w:rPr>
        <w:t>TTZ</w:t>
      </w:r>
      <w:r w:rsidR="00031FAB" w:rsidRPr="00B7545D">
        <w:rPr>
          <w:rFonts w:asciiTheme="minorHAnsi" w:hAnsiTheme="minorHAnsi"/>
          <w:i/>
          <w:szCs w:val="22"/>
        </w:rPr>
        <w:tab/>
      </w:r>
      <w:r w:rsidR="00031FAB" w:rsidRPr="00B7545D">
        <w:rPr>
          <w:rFonts w:asciiTheme="minorHAnsi" w:hAnsiTheme="minorHAnsi"/>
          <w:i/>
          <w:szCs w:val="22"/>
        </w:rPr>
        <w:tab/>
      </w:r>
      <w:r w:rsidR="00031FAB" w:rsidRPr="00B7545D">
        <w:rPr>
          <w:rFonts w:asciiTheme="minorHAnsi" w:hAnsiTheme="minorHAnsi"/>
          <w:i/>
          <w:iCs/>
          <w:szCs w:val="22"/>
        </w:rPr>
        <w:t>Trierer theologische Zeitschrift</w:t>
      </w:r>
    </w:p>
    <w:p w:rsidR="00C32D2F" w:rsidRDefault="00750ADA" w:rsidP="00C32D2F">
      <w:pPr>
        <w:pStyle w:val="ListParagraph"/>
        <w:rPr>
          <w:rFonts w:asciiTheme="minorHAnsi" w:hAnsiTheme="minorHAnsi"/>
          <w:spacing w:val="7"/>
          <w:szCs w:val="22"/>
        </w:rPr>
      </w:pPr>
      <w:r w:rsidRPr="00B7545D">
        <w:rPr>
          <w:rFonts w:asciiTheme="minorHAnsi" w:hAnsiTheme="minorHAnsi"/>
          <w:i/>
          <w:szCs w:val="22"/>
        </w:rPr>
        <w:t>TWAT</w:t>
      </w:r>
      <w:r w:rsidRPr="00B7545D">
        <w:rPr>
          <w:rFonts w:asciiTheme="minorHAnsi" w:hAnsiTheme="minorHAnsi"/>
          <w:i/>
          <w:szCs w:val="22"/>
        </w:rPr>
        <w:tab/>
      </w:r>
      <w:r w:rsidRPr="00B7545D">
        <w:rPr>
          <w:rFonts w:asciiTheme="minorHAnsi" w:hAnsiTheme="minorHAnsi"/>
          <w:i/>
          <w:szCs w:val="22"/>
        </w:rPr>
        <w:tab/>
      </w:r>
      <w:r w:rsidR="00672D9B" w:rsidRPr="00B7545D">
        <w:rPr>
          <w:rFonts w:asciiTheme="minorHAnsi" w:hAnsiTheme="minorHAnsi"/>
          <w:spacing w:val="-1"/>
          <w:szCs w:val="22"/>
        </w:rPr>
        <w:t xml:space="preserve">Botterweck, G. J. et al. (eds.). </w:t>
      </w:r>
      <w:r w:rsidR="00672D9B" w:rsidRPr="00B7545D">
        <w:rPr>
          <w:rFonts w:asciiTheme="minorHAnsi" w:hAnsiTheme="minorHAnsi"/>
          <w:i/>
          <w:iCs/>
          <w:spacing w:val="-1"/>
          <w:szCs w:val="22"/>
        </w:rPr>
        <w:t>Theologisches Worterbuch</w:t>
      </w:r>
      <w:r w:rsidR="00672D9B" w:rsidRPr="00B7545D">
        <w:rPr>
          <w:rFonts w:asciiTheme="minorHAnsi" w:hAnsiTheme="minorHAnsi"/>
          <w:szCs w:val="22"/>
        </w:rPr>
        <w:t xml:space="preserve"> </w:t>
      </w:r>
      <w:r w:rsidR="00672D9B" w:rsidRPr="00B7545D">
        <w:rPr>
          <w:rFonts w:asciiTheme="minorHAnsi" w:hAnsiTheme="minorHAnsi"/>
          <w:i/>
          <w:iCs/>
          <w:szCs w:val="22"/>
        </w:rPr>
        <w:t xml:space="preserve">zum Alten Testament. </w:t>
      </w:r>
      <w:r w:rsidR="00672D9B" w:rsidRPr="00B7545D">
        <w:rPr>
          <w:rFonts w:asciiTheme="minorHAnsi" w:hAnsiTheme="minorHAnsi"/>
          <w:i/>
          <w:iCs/>
          <w:szCs w:val="22"/>
        </w:rPr>
        <w:tab/>
      </w:r>
      <w:r w:rsidR="00672D9B" w:rsidRPr="00B7545D">
        <w:rPr>
          <w:rFonts w:asciiTheme="minorHAnsi" w:hAnsiTheme="minorHAnsi"/>
          <w:i/>
          <w:iCs/>
          <w:szCs w:val="22"/>
        </w:rPr>
        <w:tab/>
      </w:r>
      <w:r w:rsidR="00672D9B" w:rsidRPr="00B7545D">
        <w:rPr>
          <w:rFonts w:asciiTheme="minorHAnsi" w:hAnsiTheme="minorHAnsi"/>
          <w:i/>
          <w:iCs/>
          <w:szCs w:val="22"/>
        </w:rPr>
        <w:tab/>
      </w:r>
      <w:r w:rsidR="00672D9B" w:rsidRPr="00B7545D">
        <w:rPr>
          <w:rFonts w:asciiTheme="minorHAnsi" w:hAnsiTheme="minorHAnsi"/>
          <w:i/>
          <w:iCs/>
          <w:szCs w:val="22"/>
        </w:rPr>
        <w:tab/>
      </w:r>
      <w:r w:rsidR="00672D9B" w:rsidRPr="00B7545D">
        <w:rPr>
          <w:rFonts w:asciiTheme="minorHAnsi" w:hAnsiTheme="minorHAnsi"/>
          <w:szCs w:val="22"/>
        </w:rPr>
        <w:t xml:space="preserve">Stuttgart: Kohlhammer, 1970-. English trans. by J. T. Willis et al., </w:t>
      </w:r>
      <w:r w:rsidR="00672D9B" w:rsidRPr="00B7545D">
        <w:rPr>
          <w:rFonts w:asciiTheme="minorHAnsi" w:hAnsiTheme="minorHAnsi"/>
          <w:i/>
          <w:iCs/>
          <w:szCs w:val="22"/>
        </w:rPr>
        <w:t xml:space="preserve">Theological </w:t>
      </w:r>
      <w:r w:rsidR="00672D9B" w:rsidRPr="00B7545D">
        <w:rPr>
          <w:rFonts w:asciiTheme="minorHAnsi" w:hAnsiTheme="minorHAnsi"/>
          <w:i/>
          <w:iCs/>
          <w:szCs w:val="22"/>
        </w:rPr>
        <w:tab/>
      </w:r>
      <w:r w:rsidR="00672D9B" w:rsidRPr="00B7545D">
        <w:rPr>
          <w:rFonts w:asciiTheme="minorHAnsi" w:hAnsiTheme="minorHAnsi"/>
          <w:i/>
          <w:iCs/>
          <w:szCs w:val="22"/>
        </w:rPr>
        <w:tab/>
      </w:r>
      <w:r w:rsidR="00672D9B" w:rsidRPr="00B7545D">
        <w:rPr>
          <w:rFonts w:asciiTheme="minorHAnsi" w:hAnsiTheme="minorHAnsi"/>
          <w:i/>
          <w:iCs/>
          <w:szCs w:val="22"/>
        </w:rPr>
        <w:tab/>
      </w:r>
      <w:r w:rsidR="00672D9B" w:rsidRPr="00B7545D">
        <w:rPr>
          <w:rFonts w:asciiTheme="minorHAnsi" w:hAnsiTheme="minorHAnsi"/>
          <w:i/>
          <w:iCs/>
          <w:szCs w:val="22"/>
        </w:rPr>
        <w:tab/>
        <w:t xml:space="preserve">Dictionary of the Old Testament. </w:t>
      </w:r>
      <w:r w:rsidR="00672D9B" w:rsidRPr="00B7545D">
        <w:rPr>
          <w:rFonts w:asciiTheme="minorHAnsi" w:hAnsiTheme="minorHAnsi"/>
          <w:spacing w:val="7"/>
          <w:szCs w:val="22"/>
        </w:rPr>
        <w:t xml:space="preserve">Grand Rapids: Eerdmans, 1974-   </w:t>
      </w:r>
    </w:p>
    <w:p w:rsidR="00C32D2F" w:rsidRPr="00C32D2F" w:rsidRDefault="003953BA" w:rsidP="00C32D2F">
      <w:pPr>
        <w:pStyle w:val="ListParagraph"/>
        <w:rPr>
          <w:rFonts w:asciiTheme="minorHAnsi" w:hAnsiTheme="minorHAnsi"/>
          <w:spacing w:val="7"/>
          <w:szCs w:val="22"/>
        </w:rPr>
      </w:pPr>
      <w:r w:rsidRPr="00B7545D">
        <w:rPr>
          <w:rFonts w:asciiTheme="minorHAnsi" w:hAnsiTheme="minorHAnsi"/>
          <w:i/>
          <w:iCs/>
          <w:color w:val="434343"/>
          <w:spacing w:val="14"/>
          <w:szCs w:val="22"/>
        </w:rPr>
        <w:t>TWNT</w:t>
      </w:r>
      <w:r w:rsidRPr="00B7545D">
        <w:rPr>
          <w:rFonts w:asciiTheme="minorHAnsi" w:hAnsiTheme="minorHAnsi"/>
          <w:i/>
          <w:iCs/>
          <w:color w:val="434343"/>
          <w:spacing w:val="14"/>
          <w:szCs w:val="22"/>
        </w:rPr>
        <w:tab/>
      </w:r>
      <w:r w:rsidRPr="00B7545D">
        <w:rPr>
          <w:rFonts w:asciiTheme="minorHAnsi" w:hAnsiTheme="minorHAnsi"/>
          <w:i/>
          <w:iCs/>
          <w:color w:val="434343"/>
          <w:spacing w:val="14"/>
          <w:szCs w:val="22"/>
        </w:rPr>
        <w:tab/>
      </w:r>
      <w:r w:rsidR="00C32D2F" w:rsidRPr="00C32D2F">
        <w:rPr>
          <w:iCs/>
        </w:rPr>
        <w:t>G. Kittel and G. Friedrich (eds.),</w:t>
      </w:r>
      <w:r w:rsidR="00C32D2F" w:rsidRPr="00C32D2F">
        <w:rPr>
          <w:i/>
          <w:iCs/>
        </w:rPr>
        <w:t xml:space="preserve"> Theologisches Worterbuch zum Neuen </w:t>
      </w:r>
      <w:r w:rsidR="00C32D2F" w:rsidRPr="00C32D2F">
        <w:rPr>
          <w:i/>
          <w:iCs/>
        </w:rPr>
        <w:tab/>
      </w:r>
      <w:r w:rsidR="00C32D2F" w:rsidRPr="00C32D2F">
        <w:rPr>
          <w:i/>
          <w:iCs/>
        </w:rPr>
        <w:tab/>
      </w:r>
      <w:r w:rsidR="00C32D2F" w:rsidRPr="00C32D2F">
        <w:rPr>
          <w:i/>
          <w:iCs/>
        </w:rPr>
        <w:tab/>
      </w:r>
      <w:r w:rsidR="00C32D2F">
        <w:rPr>
          <w:i/>
          <w:iCs/>
        </w:rPr>
        <w:tab/>
      </w:r>
      <w:r w:rsidR="00C32D2F">
        <w:rPr>
          <w:i/>
          <w:iCs/>
        </w:rPr>
        <w:tab/>
      </w:r>
      <w:r w:rsidR="00C32D2F" w:rsidRPr="00C32D2F">
        <w:rPr>
          <w:i/>
          <w:iCs/>
        </w:rPr>
        <w:t xml:space="preserve">Testament. </w:t>
      </w:r>
      <w:r w:rsidR="00C32D2F" w:rsidRPr="00C32D2F">
        <w:rPr>
          <w:iCs/>
        </w:rPr>
        <w:t xml:space="preserve">Stuttgart: Kohlhammer, 1933-78. Trans. G. W. Bromiley, </w:t>
      </w:r>
      <w:r w:rsidR="00C32D2F" w:rsidRPr="00C32D2F">
        <w:rPr>
          <w:iCs/>
        </w:rPr>
        <w:tab/>
      </w:r>
      <w:r w:rsidR="00C32D2F" w:rsidRPr="00C32D2F">
        <w:rPr>
          <w:iCs/>
        </w:rPr>
        <w:tab/>
      </w:r>
      <w:r w:rsidR="00C32D2F" w:rsidRPr="00C32D2F">
        <w:rPr>
          <w:iCs/>
        </w:rPr>
        <w:tab/>
      </w:r>
      <w:r w:rsidR="00C32D2F" w:rsidRPr="00C32D2F">
        <w:rPr>
          <w:iCs/>
        </w:rPr>
        <w:tab/>
      </w:r>
      <w:r w:rsidR="00C32D2F">
        <w:rPr>
          <w:iCs/>
        </w:rPr>
        <w:tab/>
      </w:r>
      <w:r w:rsidR="00C32D2F" w:rsidRPr="00C32D2F">
        <w:rPr>
          <w:i/>
          <w:iCs/>
        </w:rPr>
        <w:t>Theological Dictionary of the NewTestament.</w:t>
      </w:r>
      <w:r w:rsidR="00C32D2F" w:rsidRPr="00C32D2F">
        <w:t xml:space="preserve"> Grand Rapids: Eerdmans, 1964-</w:t>
      </w:r>
      <w:r w:rsidR="00C32D2F" w:rsidRPr="00C32D2F">
        <w:tab/>
      </w:r>
      <w:r w:rsidR="00C32D2F" w:rsidRPr="00C32D2F">
        <w:tab/>
      </w:r>
      <w:r w:rsidR="00C32D2F" w:rsidRPr="00C32D2F">
        <w:tab/>
      </w:r>
      <w:r w:rsidR="00C32D2F">
        <w:tab/>
      </w:r>
      <w:r w:rsidR="00C32D2F" w:rsidRPr="00C32D2F">
        <w:t>76.</w:t>
      </w:r>
    </w:p>
    <w:p w:rsidR="003953BA" w:rsidRPr="00B7545D" w:rsidRDefault="003953BA" w:rsidP="00672D9B">
      <w:pPr>
        <w:shd w:val="clear" w:color="auto" w:fill="FFFFFF"/>
        <w:spacing w:line="216" w:lineRule="exact"/>
        <w:ind w:left="5" w:hanging="5"/>
        <w:rPr>
          <w:rFonts w:cs="Times New Roman"/>
          <w:i/>
          <w:spacing w:val="7"/>
        </w:rPr>
      </w:pPr>
      <w:r w:rsidRPr="00B7545D">
        <w:rPr>
          <w:rFonts w:cs="Times New Roman"/>
          <w:i/>
          <w:spacing w:val="7"/>
        </w:rPr>
        <w:t>TynB</w:t>
      </w:r>
      <w:r w:rsidR="00031FAB" w:rsidRPr="00B7545D">
        <w:rPr>
          <w:rFonts w:cs="Times New Roman"/>
          <w:i/>
          <w:spacing w:val="7"/>
        </w:rPr>
        <w:tab/>
      </w:r>
      <w:r w:rsidR="00031FAB" w:rsidRPr="00B7545D">
        <w:rPr>
          <w:rFonts w:cs="Times New Roman"/>
          <w:i/>
          <w:spacing w:val="7"/>
        </w:rPr>
        <w:tab/>
        <w:t>Tyndale Bulletin</w:t>
      </w:r>
    </w:p>
    <w:p w:rsidR="00031FAB" w:rsidRPr="00B7545D" w:rsidRDefault="003953BA" w:rsidP="00031FAB">
      <w:pPr>
        <w:shd w:val="clear" w:color="auto" w:fill="FFFFFF"/>
        <w:spacing w:line="216" w:lineRule="exact"/>
        <w:ind w:left="5" w:hanging="5"/>
        <w:rPr>
          <w:rFonts w:cs="Times New Roman"/>
          <w:i/>
          <w:spacing w:val="7"/>
        </w:rPr>
      </w:pPr>
      <w:r w:rsidRPr="00B7545D">
        <w:rPr>
          <w:rFonts w:cs="Times New Roman"/>
          <w:i/>
          <w:spacing w:val="7"/>
        </w:rPr>
        <w:t>TZ</w:t>
      </w:r>
      <w:r w:rsidR="00031FAB" w:rsidRPr="00B7545D">
        <w:rPr>
          <w:rFonts w:cs="Times New Roman"/>
          <w:i/>
          <w:spacing w:val="7"/>
        </w:rPr>
        <w:tab/>
      </w:r>
      <w:r w:rsidR="00031FAB" w:rsidRPr="00B7545D">
        <w:rPr>
          <w:rFonts w:cs="Times New Roman"/>
          <w:i/>
          <w:spacing w:val="7"/>
        </w:rPr>
        <w:tab/>
      </w:r>
      <w:r w:rsidR="00031FAB" w:rsidRPr="00B7545D">
        <w:rPr>
          <w:rFonts w:cs="Times New Roman"/>
          <w:i/>
          <w:iCs/>
          <w:spacing w:val="7"/>
        </w:rPr>
        <w:t>Theologische Zeitschrift</w:t>
      </w:r>
    </w:p>
    <w:p w:rsidR="00031FAB" w:rsidRPr="00B7545D" w:rsidRDefault="003953BA" w:rsidP="00031FAB">
      <w:pPr>
        <w:shd w:val="clear" w:color="auto" w:fill="FFFFFF"/>
        <w:spacing w:line="216" w:lineRule="exact"/>
        <w:ind w:left="5" w:hanging="5"/>
        <w:rPr>
          <w:rFonts w:cs="Times New Roman"/>
          <w:i/>
          <w:spacing w:val="7"/>
        </w:rPr>
      </w:pPr>
      <w:r w:rsidRPr="00B7545D">
        <w:rPr>
          <w:rFonts w:cs="Times New Roman"/>
          <w:i/>
          <w:spacing w:val="7"/>
        </w:rPr>
        <w:t>UF</w:t>
      </w:r>
      <w:r w:rsidR="00031FAB" w:rsidRPr="00B7545D">
        <w:rPr>
          <w:rFonts w:cs="Times New Roman"/>
          <w:i/>
          <w:spacing w:val="7"/>
        </w:rPr>
        <w:tab/>
      </w:r>
      <w:r w:rsidR="00031FAB" w:rsidRPr="00B7545D">
        <w:rPr>
          <w:rFonts w:cs="Times New Roman"/>
          <w:i/>
          <w:spacing w:val="7"/>
        </w:rPr>
        <w:tab/>
      </w:r>
      <w:r w:rsidR="00031FAB" w:rsidRPr="00B7545D">
        <w:rPr>
          <w:rFonts w:cs="Times New Roman"/>
          <w:i/>
          <w:iCs/>
          <w:color w:val="000000"/>
          <w:spacing w:val="-7"/>
        </w:rPr>
        <w:t xml:space="preserve">Ugaritische Forschungen </w:t>
      </w:r>
    </w:p>
    <w:p w:rsidR="00CE7E31" w:rsidRPr="00B7545D" w:rsidRDefault="00CE7E31" w:rsidP="00672D9B">
      <w:pPr>
        <w:shd w:val="clear" w:color="auto" w:fill="FFFFFF"/>
        <w:spacing w:line="216" w:lineRule="exact"/>
        <w:ind w:left="5" w:hanging="5"/>
        <w:rPr>
          <w:rFonts w:cs="Times New Roman"/>
          <w:i/>
          <w:spacing w:val="7"/>
        </w:rPr>
      </w:pPr>
      <w:r w:rsidRPr="00B7545D">
        <w:rPr>
          <w:rFonts w:cs="Times New Roman"/>
          <w:i/>
          <w:spacing w:val="7"/>
        </w:rPr>
        <w:t>USQR</w:t>
      </w:r>
      <w:r w:rsidR="00031FAB" w:rsidRPr="00B7545D">
        <w:rPr>
          <w:rFonts w:cs="Times New Roman"/>
          <w:i/>
          <w:spacing w:val="7"/>
        </w:rPr>
        <w:tab/>
      </w:r>
      <w:r w:rsidR="00031FAB" w:rsidRPr="00B7545D">
        <w:rPr>
          <w:rFonts w:cs="Times New Roman"/>
          <w:i/>
          <w:spacing w:val="7"/>
        </w:rPr>
        <w:tab/>
      </w:r>
      <w:r w:rsidR="00031FAB" w:rsidRPr="00B7545D">
        <w:rPr>
          <w:rFonts w:cs="Times New Roman"/>
          <w:i/>
          <w:iCs/>
          <w:spacing w:val="7"/>
        </w:rPr>
        <w:t>Union Seminary Quarterly Review</w:t>
      </w:r>
    </w:p>
    <w:p w:rsidR="00CE7E31" w:rsidRPr="00B7545D" w:rsidRDefault="00CE7E31" w:rsidP="00672D9B">
      <w:pPr>
        <w:shd w:val="clear" w:color="auto" w:fill="FFFFFF"/>
        <w:spacing w:line="216" w:lineRule="exact"/>
        <w:ind w:left="5" w:hanging="5"/>
        <w:rPr>
          <w:rFonts w:cs="Times New Roman"/>
          <w:i/>
          <w:spacing w:val="7"/>
        </w:rPr>
      </w:pPr>
      <w:r w:rsidRPr="00B7545D">
        <w:rPr>
          <w:rFonts w:cs="Times New Roman"/>
          <w:i/>
          <w:spacing w:val="7"/>
        </w:rPr>
        <w:t>VD</w:t>
      </w:r>
      <w:r w:rsidRPr="00B7545D">
        <w:rPr>
          <w:rFonts w:cs="Times New Roman"/>
          <w:i/>
          <w:spacing w:val="7"/>
        </w:rPr>
        <w:tab/>
      </w:r>
      <w:r w:rsidRPr="00B7545D">
        <w:rPr>
          <w:rFonts w:cs="Times New Roman"/>
          <w:i/>
          <w:spacing w:val="7"/>
        </w:rPr>
        <w:tab/>
        <w:t>Verbum Domini</w:t>
      </w:r>
    </w:p>
    <w:p w:rsidR="00642630" w:rsidRDefault="00672D9B" w:rsidP="00642630">
      <w:pPr>
        <w:shd w:val="clear" w:color="auto" w:fill="FFFFFF"/>
        <w:spacing w:line="216" w:lineRule="exact"/>
        <w:ind w:left="5" w:hanging="5"/>
      </w:pPr>
      <w:r w:rsidRPr="00B7545D">
        <w:t>Vg</w:t>
      </w:r>
      <w:r w:rsidRPr="00B7545D">
        <w:tab/>
      </w:r>
      <w:r w:rsidRPr="00B7545D">
        <w:tab/>
      </w:r>
      <w:r w:rsidR="00750ADA" w:rsidRPr="00B7545D">
        <w:t xml:space="preserve">The </w:t>
      </w:r>
      <w:r w:rsidR="00934A11" w:rsidRPr="00B7545D">
        <w:t>“</w:t>
      </w:r>
      <w:r w:rsidR="00750ADA" w:rsidRPr="00B7545D">
        <w:t>Vulgate</w:t>
      </w:r>
      <w:r w:rsidR="00934A11" w:rsidRPr="00B7545D">
        <w:t>”</w:t>
      </w:r>
      <w:r w:rsidR="00750ADA" w:rsidRPr="00B7545D">
        <w:t xml:space="preserve"> Latin translation of the Old Testament</w:t>
      </w:r>
      <w:r w:rsidR="00750ADA" w:rsidRPr="00B7545D">
        <w:rPr>
          <w:lang w:bidi="he-IL"/>
        </w:rPr>
        <w:t xml:space="preserve"> as printed in </w:t>
      </w:r>
      <w:r w:rsidR="00750ADA" w:rsidRPr="00B7545D">
        <w:t xml:space="preserve">R. </w:t>
      </w:r>
      <w:r w:rsidR="00750ADA" w:rsidRPr="00B7545D">
        <w:rPr>
          <w:lang w:bidi="he-IL"/>
        </w:rPr>
        <w:t xml:space="preserve">Weber (ed.), </w:t>
      </w:r>
      <w:r w:rsidR="00750ADA" w:rsidRPr="00B7545D">
        <w:rPr>
          <w:i/>
          <w:iCs/>
          <w:lang w:bidi="he-IL"/>
        </w:rPr>
        <w:t xml:space="preserve">Biblia </w:t>
      </w:r>
      <w:r w:rsidR="00750ADA" w:rsidRPr="00B7545D">
        <w:rPr>
          <w:i/>
          <w:iCs/>
        </w:rPr>
        <w:tab/>
      </w:r>
      <w:r w:rsidR="00750ADA" w:rsidRPr="00B7545D">
        <w:rPr>
          <w:i/>
          <w:iCs/>
        </w:rPr>
        <w:tab/>
      </w:r>
      <w:r w:rsidR="00750ADA" w:rsidRPr="00B7545D">
        <w:rPr>
          <w:i/>
          <w:iCs/>
        </w:rPr>
        <w:tab/>
      </w:r>
      <w:r w:rsidR="00750ADA" w:rsidRPr="00B7545D">
        <w:rPr>
          <w:i/>
          <w:iCs/>
          <w:lang w:bidi="he-IL"/>
        </w:rPr>
        <w:t>sacra iuxta vulgatam versionem</w:t>
      </w:r>
      <w:r w:rsidR="00750ADA" w:rsidRPr="00B7545D">
        <w:rPr>
          <w:i/>
          <w:iCs/>
        </w:rPr>
        <w:t xml:space="preserve"> Biblia sacra iuxta vulgatam</w:t>
      </w:r>
      <w:r w:rsidR="00750ADA" w:rsidRPr="00B7545D">
        <w:t xml:space="preserve"> 3</w:t>
      </w:r>
      <w:r w:rsidR="00750ADA" w:rsidRPr="00B7545D">
        <w:rPr>
          <w:vertAlign w:val="superscript"/>
        </w:rPr>
        <w:t>rd</w:t>
      </w:r>
      <w:r w:rsidR="00750ADA" w:rsidRPr="00B7545D">
        <w:t xml:space="preserve"> ed.  Stuttgart: Deutsche </w:t>
      </w:r>
      <w:r w:rsidR="00750ADA" w:rsidRPr="00B7545D">
        <w:tab/>
      </w:r>
      <w:r w:rsidR="00750ADA" w:rsidRPr="00B7545D">
        <w:tab/>
      </w:r>
      <w:r w:rsidR="00750ADA" w:rsidRPr="00B7545D">
        <w:tab/>
        <w:t>Bibelanstalt, 1983</w:t>
      </w:r>
    </w:p>
    <w:p w:rsidR="00031FAB" w:rsidRPr="00642630" w:rsidRDefault="00CE7E31" w:rsidP="00642630">
      <w:pPr>
        <w:shd w:val="clear" w:color="auto" w:fill="FFFFFF"/>
        <w:spacing w:line="216" w:lineRule="exact"/>
        <w:ind w:left="5" w:hanging="5"/>
        <w:rPr>
          <w:i/>
        </w:rPr>
      </w:pPr>
      <w:r w:rsidRPr="00B7545D">
        <w:rPr>
          <w:i/>
        </w:rPr>
        <w:t>VT</w:t>
      </w:r>
      <w:r w:rsidR="00642630">
        <w:rPr>
          <w:i/>
        </w:rPr>
        <w:tab/>
      </w:r>
      <w:r w:rsidR="00642630">
        <w:rPr>
          <w:i/>
        </w:rPr>
        <w:tab/>
        <w:t>Vetus Testamentum</w:t>
      </w:r>
    </w:p>
    <w:p w:rsidR="003B398C" w:rsidRPr="00B7545D" w:rsidRDefault="003B398C" w:rsidP="00750ADA">
      <w:pPr>
        <w:tabs>
          <w:tab w:val="left" w:pos="900"/>
        </w:tabs>
        <w:ind w:left="360" w:hanging="360"/>
        <w:contextualSpacing/>
      </w:pPr>
      <w:r w:rsidRPr="00B7545D">
        <w:t>WA</w:t>
      </w:r>
      <w:r w:rsidRPr="00B7545D">
        <w:tab/>
      </w:r>
      <w:r w:rsidRPr="00B7545D">
        <w:tab/>
      </w:r>
      <w:r w:rsidRPr="00B7545D">
        <w:tab/>
        <w:t xml:space="preserve">Martin Luther’s </w:t>
      </w:r>
      <w:r w:rsidRPr="00B7545D">
        <w:rPr>
          <w:i/>
        </w:rPr>
        <w:t xml:space="preserve">Werke: </w:t>
      </w:r>
      <w:r w:rsidRPr="00B7545D">
        <w:rPr>
          <w:bCs/>
          <w:i/>
          <w:lang w:val="de-DE"/>
        </w:rPr>
        <w:t>Kritische Gesamtausgabe</w:t>
      </w:r>
      <w:r w:rsidRPr="00B7545D">
        <w:rPr>
          <w:i/>
        </w:rPr>
        <w:t xml:space="preserve"> </w:t>
      </w:r>
      <w:r w:rsidRPr="00B7545D">
        <w:t>(Weimer Ausgabe). Weimar: Böhlaus.</w:t>
      </w:r>
    </w:p>
    <w:p w:rsidR="00DD5EEF" w:rsidRDefault="00DD5EEF" w:rsidP="00750ADA">
      <w:pPr>
        <w:tabs>
          <w:tab w:val="left" w:pos="900"/>
        </w:tabs>
        <w:ind w:left="360" w:hanging="360"/>
        <w:contextualSpacing/>
        <w:rPr>
          <w:i/>
        </w:rPr>
      </w:pPr>
      <w:r>
        <w:rPr>
          <w:i/>
        </w:rPr>
        <w:t>ZA</w:t>
      </w:r>
      <w:r>
        <w:rPr>
          <w:i/>
        </w:rPr>
        <w:tab/>
      </w:r>
      <w:r>
        <w:rPr>
          <w:i/>
        </w:rPr>
        <w:tab/>
      </w:r>
      <w:r>
        <w:rPr>
          <w:i/>
        </w:rPr>
        <w:tab/>
      </w:r>
      <w:r w:rsidRPr="00DD5EEF">
        <w:rPr>
          <w:i/>
        </w:rPr>
        <w:t>Zeitschrift für</w:t>
      </w:r>
      <w:r>
        <w:rPr>
          <w:i/>
        </w:rPr>
        <w:t xml:space="preserve"> Assyriologie.</w:t>
      </w:r>
    </w:p>
    <w:p w:rsidR="00750ADA" w:rsidRPr="00B7545D" w:rsidRDefault="00750ADA" w:rsidP="00750ADA">
      <w:pPr>
        <w:tabs>
          <w:tab w:val="left" w:pos="900"/>
        </w:tabs>
        <w:ind w:left="360" w:hanging="360"/>
        <w:contextualSpacing/>
        <w:rPr>
          <w:i/>
        </w:rPr>
      </w:pPr>
      <w:r w:rsidRPr="00B7545D">
        <w:rPr>
          <w:i/>
        </w:rPr>
        <w:t>ZAW</w:t>
      </w:r>
      <w:r w:rsidRPr="00B7545D">
        <w:rPr>
          <w:i/>
        </w:rPr>
        <w:tab/>
      </w:r>
      <w:r w:rsidRPr="00B7545D">
        <w:rPr>
          <w:i/>
        </w:rPr>
        <w:tab/>
        <w:t>Zeitschrift für die alttestamentliche Wissenschaft</w:t>
      </w:r>
    </w:p>
    <w:p w:rsidR="00750ADA" w:rsidRDefault="00750ADA" w:rsidP="003E3153">
      <w:pPr>
        <w:pStyle w:val="PlainText"/>
        <w:rPr>
          <w:i/>
        </w:rPr>
      </w:pPr>
      <w:r w:rsidRPr="00B7545D">
        <w:rPr>
          <w:i/>
        </w:rPr>
        <w:t>ZNW</w:t>
      </w:r>
      <w:r w:rsidRPr="00B7545D">
        <w:t xml:space="preserve">     </w:t>
      </w:r>
      <w:r w:rsidRPr="00B7545D">
        <w:tab/>
      </w:r>
      <w:r w:rsidRPr="00B7545D">
        <w:tab/>
      </w:r>
      <w:r w:rsidRPr="00B7545D">
        <w:rPr>
          <w:i/>
        </w:rPr>
        <w:t>Zeitschrift fur die neutestamentliche Wissenschaft</w:t>
      </w:r>
    </w:p>
    <w:p w:rsidR="00BF14D4" w:rsidRDefault="00BF14D4" w:rsidP="003E3153">
      <w:pPr>
        <w:pStyle w:val="PlainText"/>
        <w:rPr>
          <w:i/>
        </w:rPr>
      </w:pPr>
    </w:p>
    <w:p w:rsidR="00E46DCA" w:rsidRDefault="00BF14D4" w:rsidP="003E3153">
      <w:pPr>
        <w:pStyle w:val="PlainText"/>
      </w:pPr>
      <w:r>
        <w:t xml:space="preserve">Note on </w:t>
      </w:r>
      <w:r w:rsidR="00A257CC">
        <w:t xml:space="preserve">chapter and </w:t>
      </w:r>
      <w:r>
        <w:t>vers</w:t>
      </w:r>
      <w:r w:rsidR="00A257CC">
        <w:t>e references:</w:t>
      </w:r>
      <w:r>
        <w:t xml:space="preserve"> </w:t>
      </w:r>
    </w:p>
    <w:p w:rsidR="00E46DCA" w:rsidRDefault="00E46DCA" w:rsidP="003E3153">
      <w:pPr>
        <w:pStyle w:val="PlainText"/>
      </w:pPr>
    </w:p>
    <w:p w:rsidR="00BF14D4" w:rsidRPr="00BF14D4" w:rsidRDefault="00BF14D4" w:rsidP="003E3153">
      <w:pPr>
        <w:pStyle w:val="PlainText"/>
      </w:pPr>
      <w:r>
        <w:t>Where the verse numbers in English translations and in printed Hebrew B</w:t>
      </w:r>
      <w:r w:rsidR="00A257CC">
        <w:t>ibles differ, I give the reference in English Bibles; in</w:t>
      </w:r>
      <w:r>
        <w:t xml:space="preserve"> a reference such as 4:1-3 [3:31-33], the first reference is the one in English Bibles, the second is the one in printed Hebrew Bibles.</w:t>
      </w:r>
    </w:p>
    <w:p w:rsidR="00532C40" w:rsidRDefault="00532C40">
      <w:pPr>
        <w:spacing w:after="200" w:line="276" w:lineRule="auto"/>
        <w:ind w:firstLine="0"/>
        <w:rPr>
          <w:rFonts w:eastAsiaTheme="minorHAnsi" w:cstheme="majorBidi"/>
          <w:b/>
          <w:bCs/>
          <w:iCs/>
          <w:sz w:val="28"/>
        </w:rPr>
      </w:pPr>
      <w:r>
        <w:br w:type="page"/>
      </w:r>
    </w:p>
    <w:p w:rsidR="00716465" w:rsidRPr="00B740B4" w:rsidRDefault="00716465" w:rsidP="00096F8C">
      <w:pPr>
        <w:pStyle w:val="Heading1"/>
      </w:pPr>
      <w:r w:rsidRPr="00B740B4">
        <w:lastRenderedPageBreak/>
        <w:t>Introduction: The Interpretation of Daniel</w:t>
      </w:r>
    </w:p>
    <w:p w:rsidR="001B2642" w:rsidRPr="00B740B4" w:rsidRDefault="00160502" w:rsidP="009479B1">
      <w:pPr>
        <w:pStyle w:val="Heading2"/>
      </w:pPr>
      <w:r w:rsidRPr="00B740B4">
        <w:t xml:space="preserve">Bibliography of </w:t>
      </w:r>
      <w:r w:rsidR="001B2642" w:rsidRPr="00B740B4">
        <w:t>Studies of the Interpretation of Daniel</w:t>
      </w:r>
    </w:p>
    <w:p w:rsidR="00721105" w:rsidRPr="00C24F58" w:rsidRDefault="0078727F" w:rsidP="00072A17">
      <w:pPr>
        <w:pStyle w:val="FootnoteText"/>
        <w:ind w:firstLine="0"/>
        <w:rPr>
          <w:rFonts w:eastAsiaTheme="minorHAnsi" w:cs="TimesNewRomanPS-BoldMT"/>
          <w:bCs/>
          <w:sz w:val="22"/>
          <w:szCs w:val="22"/>
        </w:rPr>
      </w:pPr>
      <w:r w:rsidRPr="00B740B4">
        <w:rPr>
          <w:rFonts w:eastAsia="Times-Roman" w:cs="Times-Roman"/>
          <w:b/>
          <w:sz w:val="22"/>
          <w:szCs w:val="22"/>
        </w:rPr>
        <w:t xml:space="preserve">Adler, W. </w:t>
      </w:r>
      <w:r w:rsidR="00934A11" w:rsidRPr="00B740B4">
        <w:rPr>
          <w:rFonts w:eastAsia="Times-Roman" w:cs="Times-Roman"/>
          <w:sz w:val="22"/>
          <w:szCs w:val="22"/>
        </w:rPr>
        <w:t>“</w:t>
      </w:r>
      <w:r w:rsidRPr="00B740B4">
        <w:rPr>
          <w:rFonts w:eastAsia="Times-Roman" w:cs="Times-Roman"/>
          <w:sz w:val="22"/>
          <w:szCs w:val="22"/>
        </w:rPr>
        <w:t>Introduction</w:t>
      </w:r>
      <w:r w:rsidR="00934A11" w:rsidRPr="00B740B4">
        <w:rPr>
          <w:rFonts w:eastAsia="Times-Roman" w:cs="Times-Roman"/>
          <w:sz w:val="22"/>
          <w:szCs w:val="22"/>
        </w:rPr>
        <w:t>”</w:t>
      </w:r>
      <w:r w:rsidRPr="00B740B4">
        <w:rPr>
          <w:rFonts w:eastAsia="Times-Roman" w:cs="Times-Roman"/>
          <w:sz w:val="22"/>
          <w:szCs w:val="22"/>
        </w:rPr>
        <w:t xml:space="preserve"> and </w:t>
      </w:r>
      <w:r w:rsidR="00934A11" w:rsidRPr="00B740B4">
        <w:rPr>
          <w:rFonts w:eastAsia="Times-Roman" w:cs="Times-Roman"/>
          <w:sz w:val="22"/>
          <w:szCs w:val="22"/>
        </w:rPr>
        <w:t>“</w:t>
      </w:r>
      <w:r w:rsidRPr="00B740B4">
        <w:rPr>
          <w:rFonts w:eastAsia="Times-Roman" w:cs="Times-Roman"/>
          <w:sz w:val="22"/>
          <w:szCs w:val="22"/>
        </w:rPr>
        <w:t>The Apocalyptic Survey of History Adapted by Christians: Daniel’s Prophecy of 70 Weeks</w:t>
      </w:r>
      <w:r w:rsidR="008C0493" w:rsidRPr="00B740B4">
        <w:rPr>
          <w:rFonts w:eastAsia="Times-Roman" w:cs="Times-Roman"/>
          <w:sz w:val="22"/>
          <w:szCs w:val="22"/>
        </w:rPr>
        <w:t>,</w:t>
      </w:r>
      <w:r w:rsidR="00934A11" w:rsidRPr="00B740B4">
        <w:rPr>
          <w:rFonts w:eastAsia="Times-Roman" w:cs="Times-Roman"/>
          <w:sz w:val="22"/>
          <w:szCs w:val="22"/>
        </w:rPr>
        <w:t>”</w:t>
      </w:r>
      <w:r w:rsidR="008C0493" w:rsidRPr="00B740B4">
        <w:rPr>
          <w:rFonts w:eastAsia="Times-Roman" w:cs="Times-Roman"/>
          <w:sz w:val="22"/>
          <w:szCs w:val="22"/>
        </w:rPr>
        <w:t xml:space="preserve"> in</w:t>
      </w:r>
      <w:r w:rsidRPr="00B740B4">
        <w:rPr>
          <w:rFonts w:eastAsia="Times-Roman" w:cs="Times-Roman"/>
          <w:sz w:val="22"/>
          <w:szCs w:val="22"/>
        </w:rPr>
        <w:t xml:space="preserve"> VanderKam/Adler (eds.), </w:t>
      </w:r>
      <w:r w:rsidRPr="00B740B4">
        <w:rPr>
          <w:rFonts w:eastAsia="Times-Roman" w:cs="Times-Roman"/>
          <w:i/>
          <w:sz w:val="22"/>
          <w:szCs w:val="22"/>
        </w:rPr>
        <w:t>The Jewish Apocalyptic Heritage in Early Christianity</w:t>
      </w:r>
      <w:r w:rsidRPr="00B740B4">
        <w:rPr>
          <w:rFonts w:eastAsia="Times-Roman" w:cs="Times-Roman"/>
          <w:sz w:val="22"/>
          <w:szCs w:val="22"/>
        </w:rPr>
        <w:t xml:space="preserve">, 1-31 and 201-38. </w:t>
      </w:r>
      <w:r w:rsidR="009361C3" w:rsidRPr="00B740B4">
        <w:rPr>
          <w:rFonts w:eastAsia="Times-Roman" w:cs="Times-Roman"/>
          <w:b/>
          <w:sz w:val="22"/>
          <w:szCs w:val="22"/>
        </w:rPr>
        <w:t>Albertz, R.</w:t>
      </w:r>
      <w:r w:rsidR="009361C3" w:rsidRPr="00B740B4">
        <w:rPr>
          <w:rFonts w:eastAsia="Times-Roman" w:cs="Times-Roman"/>
          <w:sz w:val="22"/>
          <w:szCs w:val="22"/>
        </w:rPr>
        <w:t xml:space="preserve"> </w:t>
      </w:r>
      <w:r w:rsidR="009361C3" w:rsidRPr="00B740B4">
        <w:rPr>
          <w:rFonts w:eastAsia="Times-Roman" w:cs="Times-Roman"/>
          <w:i/>
          <w:sz w:val="22"/>
          <w:szCs w:val="22"/>
        </w:rPr>
        <w:t>Der Gott des Daniel</w:t>
      </w:r>
      <w:r w:rsidR="009361C3" w:rsidRPr="00B740B4">
        <w:rPr>
          <w:rFonts w:eastAsia="Times-Roman" w:cs="Times-Roman"/>
          <w:sz w:val="22"/>
          <w:szCs w:val="22"/>
        </w:rPr>
        <w:t xml:space="preserve">. </w:t>
      </w:r>
      <w:r w:rsidR="001B2642" w:rsidRPr="00B740B4">
        <w:rPr>
          <w:b/>
          <w:sz w:val="22"/>
          <w:szCs w:val="22"/>
        </w:rPr>
        <w:t>Albrecht, O.</w:t>
      </w:r>
      <w:r w:rsidR="001B2642" w:rsidRPr="00B740B4">
        <w:rPr>
          <w:sz w:val="22"/>
          <w:szCs w:val="22"/>
        </w:rPr>
        <w:t xml:space="preserve"> </w:t>
      </w:r>
      <w:r w:rsidR="00934A11" w:rsidRPr="00B740B4">
        <w:rPr>
          <w:sz w:val="22"/>
          <w:szCs w:val="22"/>
        </w:rPr>
        <w:t>“</w:t>
      </w:r>
      <w:r w:rsidR="001B2642" w:rsidRPr="00B740B4">
        <w:rPr>
          <w:sz w:val="22"/>
          <w:szCs w:val="22"/>
        </w:rPr>
        <w:t>Luthers Arbeiten an der Übersetzung und Auslegung des P</w:t>
      </w:r>
      <w:r w:rsidR="00532C40">
        <w:rPr>
          <w:sz w:val="22"/>
          <w:szCs w:val="22"/>
        </w:rPr>
        <w:t>ropheten Daniel</w:t>
      </w:r>
      <w:r w:rsidR="001B2642" w:rsidRPr="00B740B4">
        <w:rPr>
          <w:sz w:val="22"/>
          <w:szCs w:val="22"/>
        </w:rPr>
        <w:t>.</w:t>
      </w:r>
      <w:r w:rsidR="00934A11" w:rsidRPr="00B740B4">
        <w:rPr>
          <w:sz w:val="22"/>
          <w:szCs w:val="22"/>
        </w:rPr>
        <w:t>”</w:t>
      </w:r>
      <w:r w:rsidR="001B2642" w:rsidRPr="00B740B4">
        <w:rPr>
          <w:sz w:val="22"/>
          <w:szCs w:val="22"/>
        </w:rPr>
        <w:t xml:space="preserve"> </w:t>
      </w:r>
      <w:r w:rsidR="001C3D48" w:rsidRPr="001C3D48">
        <w:rPr>
          <w:b/>
          <w:sz w:val="22"/>
          <w:szCs w:val="22"/>
        </w:rPr>
        <w:t xml:space="preserve">Angel, A. </w:t>
      </w:r>
      <w:r w:rsidR="001C3D48" w:rsidRPr="001C3D48">
        <w:rPr>
          <w:i/>
          <w:sz w:val="22"/>
          <w:szCs w:val="22"/>
        </w:rPr>
        <w:t>Chaos and the Son of Man</w:t>
      </w:r>
      <w:r w:rsidR="001C3D48" w:rsidRPr="001C3D48">
        <w:rPr>
          <w:sz w:val="22"/>
          <w:szCs w:val="22"/>
        </w:rPr>
        <w:t xml:space="preserve">. </w:t>
      </w:r>
      <w:r w:rsidR="00DA23E2">
        <w:rPr>
          <w:sz w:val="22"/>
          <w:szCs w:val="22"/>
        </w:rPr>
        <w:t xml:space="preserve"> </w:t>
      </w:r>
      <w:r w:rsidR="00DA23E2">
        <w:rPr>
          <w:rStyle w:val="b"/>
          <w:color w:val="auto"/>
          <w:sz w:val="22"/>
          <w:szCs w:val="22"/>
        </w:rPr>
        <w:t xml:space="preserve">Appler, D. </w:t>
      </w:r>
      <w:r w:rsidR="00DA23E2">
        <w:rPr>
          <w:rStyle w:val="b"/>
          <w:b w:val="0"/>
          <w:color w:val="auto"/>
          <w:sz w:val="22"/>
          <w:szCs w:val="22"/>
        </w:rPr>
        <w:t xml:space="preserve">“Digging in the Claws.” </w:t>
      </w:r>
      <w:r w:rsidR="005D00AA" w:rsidRPr="001C3D48">
        <w:rPr>
          <w:b/>
          <w:sz w:val="22"/>
          <w:szCs w:val="22"/>
        </w:rPr>
        <w:t xml:space="preserve">Arnold, B. T. </w:t>
      </w:r>
      <w:r w:rsidR="00934A11" w:rsidRPr="001C3D48">
        <w:rPr>
          <w:b/>
          <w:sz w:val="22"/>
          <w:szCs w:val="22"/>
        </w:rPr>
        <w:t>“</w:t>
      </w:r>
      <w:r w:rsidR="005D00AA" w:rsidRPr="001C3D48">
        <w:rPr>
          <w:sz w:val="22"/>
          <w:szCs w:val="22"/>
        </w:rPr>
        <w:t>The Use of Aramaic in the Hebrew Bible.</w:t>
      </w:r>
      <w:r w:rsidR="00934A11" w:rsidRPr="001C3D48">
        <w:rPr>
          <w:sz w:val="22"/>
          <w:szCs w:val="22"/>
        </w:rPr>
        <w:t>”</w:t>
      </w:r>
      <w:r w:rsidR="005D00AA" w:rsidRPr="001C3D48">
        <w:rPr>
          <w:sz w:val="22"/>
          <w:szCs w:val="22"/>
        </w:rPr>
        <w:t xml:space="preserve"> </w:t>
      </w:r>
      <w:r w:rsidR="001B2642" w:rsidRPr="001C3D48">
        <w:rPr>
          <w:b/>
          <w:sz w:val="22"/>
          <w:szCs w:val="22"/>
        </w:rPr>
        <w:t>Ashby, G. W.</w:t>
      </w:r>
      <w:r w:rsidR="001B2642" w:rsidRPr="001C3D48">
        <w:rPr>
          <w:sz w:val="22"/>
          <w:szCs w:val="22"/>
        </w:rPr>
        <w:t xml:space="preserve"> </w:t>
      </w:r>
      <w:r w:rsidR="001B2642" w:rsidRPr="00B740B4">
        <w:rPr>
          <w:i/>
          <w:sz w:val="22"/>
          <w:szCs w:val="22"/>
        </w:rPr>
        <w:t>Theodoret of Cyrrhus</w:t>
      </w:r>
      <w:r w:rsidR="00DC2AC1" w:rsidRPr="00B740B4">
        <w:rPr>
          <w:i/>
          <w:sz w:val="22"/>
          <w:szCs w:val="22"/>
        </w:rPr>
        <w:t xml:space="preserve"> as Exegete of the OT</w:t>
      </w:r>
      <w:r w:rsidR="001B2642" w:rsidRPr="00B740B4">
        <w:rPr>
          <w:sz w:val="22"/>
          <w:szCs w:val="22"/>
        </w:rPr>
        <w:t xml:space="preserve">. </w:t>
      </w:r>
      <w:r w:rsidR="001B2642" w:rsidRPr="00B740B4">
        <w:rPr>
          <w:b/>
          <w:sz w:val="22"/>
          <w:szCs w:val="22"/>
        </w:rPr>
        <w:t>Ashley, T. R.</w:t>
      </w:r>
      <w:r w:rsidR="001B2642" w:rsidRPr="00B740B4">
        <w:rPr>
          <w:sz w:val="22"/>
          <w:szCs w:val="22"/>
        </w:rPr>
        <w:t xml:space="preserve"> </w:t>
      </w:r>
      <w:r w:rsidR="001B2642" w:rsidRPr="00B740B4">
        <w:rPr>
          <w:i/>
          <w:sz w:val="22"/>
          <w:szCs w:val="22"/>
        </w:rPr>
        <w:t>Daniel Chapters 1–6</w:t>
      </w:r>
      <w:r w:rsidR="001B2642" w:rsidRPr="00B740B4">
        <w:rPr>
          <w:sz w:val="22"/>
          <w:szCs w:val="22"/>
        </w:rPr>
        <w:t xml:space="preserve">, 213–425. </w:t>
      </w:r>
      <w:r w:rsidR="0073023F" w:rsidRPr="00B740B4">
        <w:rPr>
          <w:rStyle w:val="Strong"/>
          <w:sz w:val="22"/>
          <w:szCs w:val="22"/>
        </w:rPr>
        <w:t>Asurmendi</w:t>
      </w:r>
      <w:r w:rsidR="0073023F" w:rsidRPr="00B740B4">
        <w:rPr>
          <w:sz w:val="22"/>
          <w:szCs w:val="22"/>
        </w:rPr>
        <w:t xml:space="preserve">, J. </w:t>
      </w:r>
      <w:r w:rsidR="0073023F" w:rsidRPr="00B740B4">
        <w:rPr>
          <w:rFonts w:eastAsiaTheme="minorHAnsi" w:cs="Times New Roman"/>
          <w:sz w:val="22"/>
          <w:szCs w:val="22"/>
        </w:rPr>
        <w:t xml:space="preserve"> </w:t>
      </w:r>
      <w:r w:rsidR="00934A11" w:rsidRPr="00B740B4">
        <w:rPr>
          <w:rFonts w:eastAsiaTheme="minorHAnsi" w:cs="Times New Roman"/>
          <w:sz w:val="22"/>
          <w:szCs w:val="22"/>
        </w:rPr>
        <w:t>“</w:t>
      </w:r>
      <w:r w:rsidR="0073023F" w:rsidRPr="00B740B4">
        <w:rPr>
          <w:rFonts w:eastAsiaTheme="minorHAnsi" w:cs="Times New Roman"/>
          <w:sz w:val="22"/>
          <w:szCs w:val="22"/>
        </w:rPr>
        <w:t>El libro de Daniel en la investigación reciente.</w:t>
      </w:r>
      <w:r w:rsidR="00934A11" w:rsidRPr="00B740B4">
        <w:rPr>
          <w:rFonts w:eastAsiaTheme="minorHAnsi" w:cs="Times New Roman"/>
          <w:sz w:val="22"/>
          <w:szCs w:val="22"/>
        </w:rPr>
        <w:t>”</w:t>
      </w:r>
      <w:r w:rsidR="0073023F" w:rsidRPr="00B740B4">
        <w:rPr>
          <w:rFonts w:eastAsiaTheme="minorHAnsi" w:cs="Times New Roman"/>
          <w:sz w:val="22"/>
          <w:szCs w:val="22"/>
        </w:rPr>
        <w:t xml:space="preserve"> </w:t>
      </w:r>
      <w:r w:rsidR="001B2642" w:rsidRPr="00B740B4">
        <w:rPr>
          <w:b/>
          <w:sz w:val="22"/>
          <w:szCs w:val="22"/>
        </w:rPr>
        <w:t>Audet, J.-P.</w:t>
      </w:r>
      <w:r w:rsidR="001B2642" w:rsidRPr="00B740B4">
        <w:rPr>
          <w:sz w:val="22"/>
          <w:szCs w:val="22"/>
        </w:rPr>
        <w:t xml:space="preserve"> </w:t>
      </w:r>
      <w:r w:rsidR="00934A11" w:rsidRPr="00B740B4">
        <w:rPr>
          <w:sz w:val="22"/>
          <w:szCs w:val="22"/>
        </w:rPr>
        <w:t>“</w:t>
      </w:r>
      <w:r w:rsidR="001B2642" w:rsidRPr="00B740B4">
        <w:rPr>
          <w:sz w:val="22"/>
          <w:szCs w:val="22"/>
        </w:rPr>
        <w:t>A Hebrew-Aramaic List of Books of the OT in Greek Transcription.</w:t>
      </w:r>
      <w:r w:rsidR="00934A11" w:rsidRPr="00B740B4">
        <w:rPr>
          <w:sz w:val="22"/>
          <w:szCs w:val="22"/>
        </w:rPr>
        <w:t>”</w:t>
      </w:r>
      <w:r w:rsidR="001B2642" w:rsidRPr="00B740B4">
        <w:rPr>
          <w:sz w:val="22"/>
          <w:szCs w:val="22"/>
        </w:rPr>
        <w:t xml:space="preserve"> </w:t>
      </w:r>
      <w:r w:rsidR="00BD4307" w:rsidRPr="00B740B4">
        <w:rPr>
          <w:b/>
          <w:sz w:val="22"/>
          <w:szCs w:val="22"/>
        </w:rPr>
        <w:t>Backus, I.</w:t>
      </w:r>
      <w:r w:rsidR="00BD4307" w:rsidRPr="00B740B4">
        <w:rPr>
          <w:sz w:val="22"/>
          <w:szCs w:val="22"/>
        </w:rPr>
        <w:t xml:space="preserve"> </w:t>
      </w:r>
      <w:r w:rsidR="00934A11" w:rsidRPr="00B740B4">
        <w:rPr>
          <w:sz w:val="22"/>
          <w:szCs w:val="22"/>
        </w:rPr>
        <w:t>“</w:t>
      </w:r>
      <w:r w:rsidR="00BD4307" w:rsidRPr="00B740B4">
        <w:rPr>
          <w:sz w:val="22"/>
          <w:szCs w:val="22"/>
        </w:rPr>
        <w:t>The Beast.</w:t>
      </w:r>
      <w:r w:rsidR="00934A11" w:rsidRPr="00B740B4">
        <w:rPr>
          <w:sz w:val="22"/>
          <w:szCs w:val="22"/>
        </w:rPr>
        <w:t>”</w:t>
      </w:r>
      <w:r w:rsidR="00BD4307" w:rsidRPr="00B740B4">
        <w:rPr>
          <w:sz w:val="22"/>
          <w:szCs w:val="22"/>
        </w:rPr>
        <w:t xml:space="preserve"> </w:t>
      </w:r>
      <w:r w:rsidR="009F603F" w:rsidRPr="00B740B4">
        <w:rPr>
          <w:b/>
          <w:sz w:val="22"/>
          <w:szCs w:val="22"/>
        </w:rPr>
        <w:t>Baillet, M.</w:t>
      </w:r>
      <w:r w:rsidR="009F603F" w:rsidRPr="00B740B4">
        <w:rPr>
          <w:sz w:val="22"/>
          <w:szCs w:val="22"/>
        </w:rPr>
        <w:t xml:space="preserve"> </w:t>
      </w:r>
      <w:r w:rsidR="009F603F" w:rsidRPr="00B740B4">
        <w:rPr>
          <w:bCs/>
          <w:i/>
          <w:sz w:val="22"/>
          <w:szCs w:val="22"/>
        </w:rPr>
        <w:t>Qumrân grotte 4.III (4Q482–4Q520)</w:t>
      </w:r>
      <w:r w:rsidR="009F603F" w:rsidRPr="00B740B4">
        <w:rPr>
          <w:b/>
          <w:bCs/>
          <w:i/>
          <w:sz w:val="22"/>
          <w:szCs w:val="22"/>
        </w:rPr>
        <w:t xml:space="preserve">. ———. </w:t>
      </w:r>
      <w:r w:rsidR="00934A11" w:rsidRPr="00B740B4">
        <w:rPr>
          <w:sz w:val="22"/>
          <w:szCs w:val="22"/>
        </w:rPr>
        <w:t>“</w:t>
      </w:r>
      <w:r w:rsidR="009F603F" w:rsidRPr="00B740B4">
        <w:rPr>
          <w:sz w:val="22"/>
          <w:szCs w:val="22"/>
        </w:rPr>
        <w:t>Un recueil liturgique de Qumrân, grotte 4.</w:t>
      </w:r>
      <w:r w:rsidR="00934A11" w:rsidRPr="00B740B4">
        <w:rPr>
          <w:sz w:val="22"/>
          <w:szCs w:val="22"/>
        </w:rPr>
        <w:t>”</w:t>
      </w:r>
      <w:r w:rsidR="009F603F" w:rsidRPr="00B740B4">
        <w:rPr>
          <w:rFonts w:eastAsiaTheme="minorHAnsi"/>
          <w:bCs/>
          <w:sz w:val="22"/>
          <w:szCs w:val="22"/>
        </w:rPr>
        <w:t xml:space="preserve"> </w:t>
      </w:r>
      <w:r w:rsidR="009F603F" w:rsidRPr="00B740B4">
        <w:rPr>
          <w:bCs/>
          <w:sz w:val="22"/>
          <w:szCs w:val="22"/>
        </w:rPr>
        <w:t>———</w:t>
      </w:r>
      <w:r w:rsidR="009F603F" w:rsidRPr="00B740B4">
        <w:rPr>
          <w:sz w:val="22"/>
          <w:szCs w:val="22"/>
        </w:rPr>
        <w:t xml:space="preserve"> </w:t>
      </w:r>
      <w:r w:rsidR="00475A8C" w:rsidRPr="00B740B4">
        <w:rPr>
          <w:sz w:val="22"/>
          <w:szCs w:val="22"/>
        </w:rPr>
        <w:t xml:space="preserve">et al. </w:t>
      </w:r>
      <w:r w:rsidR="009F603F" w:rsidRPr="00B740B4">
        <w:rPr>
          <w:sz w:val="22"/>
          <w:szCs w:val="22"/>
        </w:rPr>
        <w:t xml:space="preserve"> </w:t>
      </w:r>
      <w:hyperlink r:id="rId9" w:tgtFrame="parent" w:history="1">
        <w:r w:rsidR="003243A0" w:rsidRPr="00B740B4">
          <w:rPr>
            <w:rStyle w:val="Hyperlink"/>
            <w:bCs/>
            <w:i/>
            <w:sz w:val="22"/>
            <w:szCs w:val="22"/>
            <w:u w:val="none"/>
          </w:rPr>
          <w:t xml:space="preserve">Les 'petites grottes' de Qumrân. </w:t>
        </w:r>
      </w:hyperlink>
      <w:r w:rsidR="001B2642" w:rsidRPr="00B740B4">
        <w:rPr>
          <w:b/>
          <w:sz w:val="22"/>
          <w:szCs w:val="22"/>
        </w:rPr>
        <w:t>Bardenhewer, O.</w:t>
      </w:r>
      <w:r w:rsidR="001B2642" w:rsidRPr="00B740B4">
        <w:rPr>
          <w:sz w:val="22"/>
          <w:szCs w:val="22"/>
        </w:rPr>
        <w:t xml:space="preserve"> </w:t>
      </w:r>
      <w:r w:rsidR="001B2642" w:rsidRPr="00B740B4">
        <w:rPr>
          <w:i/>
          <w:sz w:val="22"/>
          <w:szCs w:val="22"/>
        </w:rPr>
        <w:t>Des heiligen Hippolytus von Rom Commentar zum Buche Daniel</w:t>
      </w:r>
      <w:r w:rsidR="001B2642" w:rsidRPr="00B740B4">
        <w:rPr>
          <w:sz w:val="22"/>
          <w:szCs w:val="22"/>
        </w:rPr>
        <w:t xml:space="preserve">. </w:t>
      </w:r>
      <w:r w:rsidR="002A0981" w:rsidRPr="00B740B4">
        <w:rPr>
          <w:rFonts w:eastAsia="Times-Roman"/>
          <w:b/>
          <w:sz w:val="22"/>
          <w:szCs w:val="22"/>
        </w:rPr>
        <w:t xml:space="preserve">Barkhuizen, J. H. </w:t>
      </w:r>
      <w:r w:rsidR="00934A11" w:rsidRPr="00B740B4">
        <w:rPr>
          <w:rFonts w:eastAsia="Times-Roman"/>
          <w:sz w:val="22"/>
          <w:szCs w:val="22"/>
        </w:rPr>
        <w:t>“</w:t>
      </w:r>
      <w:r w:rsidR="002A0981" w:rsidRPr="00B740B4">
        <w:rPr>
          <w:rFonts w:eastAsia="Times-Roman"/>
          <w:sz w:val="22"/>
          <w:szCs w:val="22"/>
        </w:rPr>
        <w:t>Romanos Melodos.</w:t>
      </w:r>
      <w:r w:rsidR="00934A11" w:rsidRPr="00B740B4">
        <w:rPr>
          <w:rFonts w:eastAsia="Times-Roman"/>
          <w:sz w:val="22"/>
          <w:szCs w:val="22"/>
        </w:rPr>
        <w:t>”</w:t>
      </w:r>
      <w:r w:rsidR="002A0981" w:rsidRPr="00B740B4">
        <w:rPr>
          <w:rFonts w:eastAsia="Times-Roman"/>
          <w:sz w:val="22"/>
          <w:szCs w:val="22"/>
        </w:rPr>
        <w:t xml:space="preserve"> </w:t>
      </w:r>
      <w:r w:rsidR="00846FF1" w:rsidRPr="00B740B4">
        <w:rPr>
          <w:b/>
          <w:sz w:val="22"/>
          <w:szCs w:val="22"/>
        </w:rPr>
        <w:t>B</w:t>
      </w:r>
      <w:r w:rsidR="001B2642" w:rsidRPr="00B740B4">
        <w:rPr>
          <w:b/>
          <w:sz w:val="22"/>
          <w:szCs w:val="22"/>
        </w:rPr>
        <w:t>a</w:t>
      </w:r>
      <w:r w:rsidR="00846FF1" w:rsidRPr="00B740B4">
        <w:rPr>
          <w:b/>
          <w:sz w:val="22"/>
          <w:szCs w:val="22"/>
        </w:rPr>
        <w:t>r</w:t>
      </w:r>
      <w:r w:rsidR="001B2642" w:rsidRPr="00B740B4">
        <w:rPr>
          <w:b/>
          <w:sz w:val="22"/>
          <w:szCs w:val="22"/>
        </w:rPr>
        <w:t>dy, G.</w:t>
      </w:r>
      <w:r w:rsidR="003243A0" w:rsidRPr="00B740B4">
        <w:rPr>
          <w:sz w:val="22"/>
          <w:szCs w:val="22"/>
        </w:rPr>
        <w:t xml:space="preserve"> </w:t>
      </w:r>
      <w:r w:rsidR="00934A11" w:rsidRPr="00B740B4">
        <w:rPr>
          <w:sz w:val="22"/>
          <w:szCs w:val="22"/>
        </w:rPr>
        <w:t>“</w:t>
      </w:r>
      <w:r w:rsidR="003243A0" w:rsidRPr="00B740B4">
        <w:rPr>
          <w:sz w:val="22"/>
          <w:szCs w:val="22"/>
        </w:rPr>
        <w:t>Introduction</w:t>
      </w:r>
      <w:r w:rsidR="00934A11" w:rsidRPr="00B740B4">
        <w:rPr>
          <w:sz w:val="22"/>
          <w:szCs w:val="22"/>
        </w:rPr>
        <w:t>”</w:t>
      </w:r>
      <w:r w:rsidR="00EA5C48" w:rsidRPr="00B740B4">
        <w:rPr>
          <w:sz w:val="22"/>
          <w:szCs w:val="22"/>
        </w:rPr>
        <w:t xml:space="preserve"> to</w:t>
      </w:r>
      <w:r w:rsidR="001B2642" w:rsidRPr="00B740B4">
        <w:rPr>
          <w:sz w:val="22"/>
          <w:szCs w:val="22"/>
        </w:rPr>
        <w:t xml:space="preserve"> Hippolyte, </w:t>
      </w:r>
      <w:r w:rsidR="001B2642" w:rsidRPr="00B740B4">
        <w:rPr>
          <w:i/>
          <w:sz w:val="22"/>
          <w:szCs w:val="22"/>
        </w:rPr>
        <w:t>Commentaire sur Daniel</w:t>
      </w:r>
      <w:r w:rsidR="001B2642" w:rsidRPr="00B740B4">
        <w:rPr>
          <w:sz w:val="22"/>
          <w:szCs w:val="22"/>
        </w:rPr>
        <w:t xml:space="preserve">. </w:t>
      </w:r>
      <w:r w:rsidR="001B2642" w:rsidRPr="00B740B4">
        <w:rPr>
          <w:b/>
          <w:sz w:val="22"/>
          <w:szCs w:val="22"/>
        </w:rPr>
        <w:t>Baris, S. D.</w:t>
      </w:r>
      <w:r w:rsidR="001B2642" w:rsidRPr="00B740B4">
        <w:rPr>
          <w:sz w:val="22"/>
          <w:szCs w:val="22"/>
        </w:rPr>
        <w:t xml:space="preserve"> </w:t>
      </w:r>
      <w:r w:rsidR="00934A11" w:rsidRPr="00B740B4">
        <w:rPr>
          <w:sz w:val="22"/>
          <w:szCs w:val="22"/>
        </w:rPr>
        <w:t>“</w:t>
      </w:r>
      <w:r w:rsidR="001B2642" w:rsidRPr="00B740B4">
        <w:rPr>
          <w:sz w:val="22"/>
          <w:szCs w:val="22"/>
        </w:rPr>
        <w:t xml:space="preserve">The American Daniel as Seen in Hawthorne’s </w:t>
      </w:r>
      <w:r w:rsidR="001B2642" w:rsidRPr="00B740B4">
        <w:rPr>
          <w:i/>
          <w:sz w:val="22"/>
          <w:szCs w:val="22"/>
        </w:rPr>
        <w:t>The Scarlet Letter</w:t>
      </w:r>
      <w:r w:rsidR="001B2642" w:rsidRPr="00B740B4">
        <w:rPr>
          <w:sz w:val="22"/>
          <w:szCs w:val="22"/>
        </w:rPr>
        <w:t>.</w:t>
      </w:r>
      <w:r w:rsidR="00934A11" w:rsidRPr="00B740B4">
        <w:rPr>
          <w:sz w:val="22"/>
          <w:szCs w:val="22"/>
        </w:rPr>
        <w:t>”</w:t>
      </w:r>
      <w:r w:rsidR="001B2642" w:rsidRPr="00B740B4">
        <w:rPr>
          <w:sz w:val="22"/>
          <w:szCs w:val="22"/>
        </w:rPr>
        <w:t xml:space="preserve"> </w:t>
      </w:r>
      <w:r w:rsidR="006504B3" w:rsidRPr="00B740B4">
        <w:rPr>
          <w:b/>
          <w:sz w:val="22"/>
          <w:szCs w:val="22"/>
        </w:rPr>
        <w:t>Barnes, R. B.</w:t>
      </w:r>
      <w:r w:rsidR="006504B3" w:rsidRPr="00B740B4">
        <w:rPr>
          <w:sz w:val="22"/>
          <w:szCs w:val="22"/>
        </w:rPr>
        <w:t xml:space="preserve"> </w:t>
      </w:r>
      <w:r w:rsidR="006504B3" w:rsidRPr="00B740B4">
        <w:rPr>
          <w:i/>
          <w:sz w:val="22"/>
          <w:szCs w:val="22"/>
        </w:rPr>
        <w:t>Prophecy and Gnosis</w:t>
      </w:r>
      <w:r w:rsidR="006504B3" w:rsidRPr="00B740B4">
        <w:rPr>
          <w:sz w:val="22"/>
          <w:szCs w:val="22"/>
        </w:rPr>
        <w:t xml:space="preserve">. </w:t>
      </w:r>
      <w:r w:rsidR="001B2642" w:rsidRPr="00B740B4">
        <w:rPr>
          <w:b/>
          <w:sz w:val="22"/>
          <w:szCs w:val="22"/>
        </w:rPr>
        <w:t>Barthélemy, D.</w:t>
      </w:r>
      <w:r w:rsidR="001B2642" w:rsidRPr="00B740B4">
        <w:rPr>
          <w:sz w:val="22"/>
          <w:szCs w:val="22"/>
        </w:rPr>
        <w:t xml:space="preserve"> </w:t>
      </w:r>
      <w:r w:rsidR="001B2642" w:rsidRPr="00B740B4">
        <w:rPr>
          <w:i/>
          <w:sz w:val="22"/>
          <w:szCs w:val="22"/>
        </w:rPr>
        <w:t>Les devanciers d’Aquila</w:t>
      </w:r>
      <w:r w:rsidR="001B2642" w:rsidRPr="00B740B4">
        <w:rPr>
          <w:sz w:val="22"/>
          <w:szCs w:val="22"/>
        </w:rPr>
        <w:t xml:space="preserve">. </w:t>
      </w:r>
      <w:r w:rsidR="009F603F" w:rsidRPr="00B740B4">
        <w:rPr>
          <w:b/>
          <w:sz w:val="22"/>
          <w:szCs w:val="22"/>
        </w:rPr>
        <w:t xml:space="preserve">Barthélemy, D. </w:t>
      </w:r>
      <w:r w:rsidR="009F603F" w:rsidRPr="00532C40">
        <w:rPr>
          <w:sz w:val="22"/>
          <w:szCs w:val="22"/>
        </w:rPr>
        <w:t>and</w:t>
      </w:r>
      <w:r w:rsidR="009F603F" w:rsidRPr="00B740B4">
        <w:rPr>
          <w:b/>
          <w:sz w:val="22"/>
          <w:szCs w:val="22"/>
        </w:rPr>
        <w:t xml:space="preserve"> Milik, J. T.</w:t>
      </w:r>
      <w:r w:rsidR="009F603F" w:rsidRPr="00B740B4">
        <w:rPr>
          <w:sz w:val="22"/>
          <w:szCs w:val="22"/>
        </w:rPr>
        <w:t xml:space="preserve"> </w:t>
      </w:r>
      <w:r w:rsidR="009F603F" w:rsidRPr="00B740B4">
        <w:rPr>
          <w:rStyle w:val="Strong"/>
          <w:b w:val="0"/>
          <w:i/>
          <w:sz w:val="22"/>
          <w:szCs w:val="22"/>
        </w:rPr>
        <w:t>Qumran Cave 1</w:t>
      </w:r>
      <w:r w:rsidR="009F603F" w:rsidRPr="00B740B4">
        <w:rPr>
          <w:b/>
          <w:sz w:val="22"/>
          <w:szCs w:val="22"/>
        </w:rPr>
        <w:t>.</w:t>
      </w:r>
      <w:r w:rsidR="009F603F" w:rsidRPr="00B740B4">
        <w:rPr>
          <w:sz w:val="22"/>
          <w:szCs w:val="22"/>
        </w:rPr>
        <w:t xml:space="preserve"> </w:t>
      </w:r>
      <w:r w:rsidR="001B2642" w:rsidRPr="00B740B4">
        <w:rPr>
          <w:b/>
          <w:sz w:val="22"/>
          <w:szCs w:val="22"/>
        </w:rPr>
        <w:t>Bauckham, R.</w:t>
      </w:r>
      <w:r w:rsidR="001B2642" w:rsidRPr="00B740B4">
        <w:rPr>
          <w:sz w:val="22"/>
          <w:szCs w:val="22"/>
        </w:rPr>
        <w:t xml:space="preserve"> </w:t>
      </w:r>
      <w:r w:rsidR="001B2642" w:rsidRPr="00B740B4">
        <w:rPr>
          <w:i/>
          <w:sz w:val="22"/>
          <w:szCs w:val="22"/>
        </w:rPr>
        <w:t>Tudor Apocalypse</w:t>
      </w:r>
      <w:r w:rsidR="001B2642" w:rsidRPr="00B740B4">
        <w:rPr>
          <w:sz w:val="22"/>
          <w:szCs w:val="22"/>
        </w:rPr>
        <w:t xml:space="preserve">. </w:t>
      </w:r>
      <w:r w:rsidR="001B2642" w:rsidRPr="00B740B4">
        <w:rPr>
          <w:b/>
          <w:sz w:val="22"/>
          <w:szCs w:val="22"/>
        </w:rPr>
        <w:t>Baumgartner, W.</w:t>
      </w:r>
      <w:r w:rsidR="001B2642" w:rsidRPr="00B740B4">
        <w:rPr>
          <w:sz w:val="22"/>
          <w:szCs w:val="22"/>
        </w:rPr>
        <w:t xml:space="preserve"> </w:t>
      </w:r>
      <w:r w:rsidR="00934A11" w:rsidRPr="00B740B4">
        <w:rPr>
          <w:sz w:val="22"/>
          <w:szCs w:val="22"/>
        </w:rPr>
        <w:t>“</w:t>
      </w:r>
      <w:r w:rsidR="001B2642" w:rsidRPr="00B740B4">
        <w:rPr>
          <w:sz w:val="22"/>
          <w:szCs w:val="22"/>
        </w:rPr>
        <w:t>Ein Vierteljahrhundert Danielforschung.</w:t>
      </w:r>
      <w:r w:rsidR="00934A11" w:rsidRPr="00B740B4">
        <w:rPr>
          <w:sz w:val="22"/>
          <w:szCs w:val="22"/>
        </w:rPr>
        <w:t>”</w:t>
      </w:r>
      <w:r w:rsidR="001B2642" w:rsidRPr="00B740B4">
        <w:rPr>
          <w:sz w:val="22"/>
          <w:szCs w:val="22"/>
        </w:rPr>
        <w:t xml:space="preserve">  </w:t>
      </w:r>
      <w:r w:rsidR="001B2642" w:rsidRPr="00B740B4">
        <w:rPr>
          <w:b/>
          <w:sz w:val="22"/>
          <w:szCs w:val="22"/>
        </w:rPr>
        <w:t>Beale, G. K.</w:t>
      </w:r>
      <w:r w:rsidR="001B2642" w:rsidRPr="00B740B4">
        <w:rPr>
          <w:sz w:val="22"/>
          <w:szCs w:val="22"/>
        </w:rPr>
        <w:t xml:space="preserve"> </w:t>
      </w:r>
      <w:r w:rsidR="001B2642" w:rsidRPr="00B740B4">
        <w:rPr>
          <w:i/>
          <w:sz w:val="22"/>
          <w:szCs w:val="22"/>
        </w:rPr>
        <w:t>The Use of Daniel in Jewish Apocalyptic Literature and in the Revelation of St. John</w:t>
      </w:r>
      <w:r w:rsidR="001B2642" w:rsidRPr="00B740B4">
        <w:rPr>
          <w:sz w:val="22"/>
          <w:szCs w:val="22"/>
        </w:rPr>
        <w:t xml:space="preserve">. ———. </w:t>
      </w:r>
      <w:r w:rsidR="00934A11" w:rsidRPr="00B740B4">
        <w:rPr>
          <w:sz w:val="22"/>
          <w:szCs w:val="22"/>
        </w:rPr>
        <w:t>“</w:t>
      </w:r>
      <w:r w:rsidR="001B2642" w:rsidRPr="00B740B4">
        <w:rPr>
          <w:sz w:val="22"/>
          <w:szCs w:val="22"/>
        </w:rPr>
        <w:t>The Use of Daniel in the Synoptic Eschatological Discourse and in the Book of Revelation.</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A Reconsideration of the Text of Daniel in the Apocalypse.</w:t>
      </w:r>
      <w:r w:rsidR="00934A11" w:rsidRPr="00B740B4">
        <w:rPr>
          <w:sz w:val="22"/>
          <w:szCs w:val="22"/>
        </w:rPr>
        <w:t>”</w:t>
      </w:r>
      <w:r w:rsidR="001B2642" w:rsidRPr="00B740B4">
        <w:rPr>
          <w:sz w:val="22"/>
          <w:szCs w:val="22"/>
        </w:rPr>
        <w:t xml:space="preserve"> </w:t>
      </w:r>
      <w:r w:rsidR="003243A0" w:rsidRPr="00B740B4">
        <w:rPr>
          <w:sz w:val="22"/>
          <w:szCs w:val="22"/>
        </w:rPr>
        <w:t xml:space="preserve">———. </w:t>
      </w:r>
      <w:r w:rsidR="00934A11" w:rsidRPr="00B740B4">
        <w:rPr>
          <w:sz w:val="22"/>
          <w:szCs w:val="22"/>
        </w:rPr>
        <w:t>“</w:t>
      </w:r>
      <w:r w:rsidR="00DC2AC1" w:rsidRPr="00B740B4">
        <w:rPr>
          <w:sz w:val="22"/>
          <w:szCs w:val="22"/>
        </w:rPr>
        <w:t xml:space="preserve">The OT </w:t>
      </w:r>
      <w:r w:rsidR="00971558" w:rsidRPr="00B740B4">
        <w:rPr>
          <w:sz w:val="22"/>
          <w:szCs w:val="22"/>
        </w:rPr>
        <w:t>Background of the ‘Last Hour’ in 1 John2,18.</w:t>
      </w:r>
      <w:r w:rsidR="00934A11" w:rsidRPr="00B740B4">
        <w:rPr>
          <w:sz w:val="22"/>
          <w:szCs w:val="22"/>
        </w:rPr>
        <w:t>”</w:t>
      </w:r>
      <w:r w:rsidR="00971558" w:rsidRPr="00B740B4">
        <w:rPr>
          <w:sz w:val="22"/>
          <w:szCs w:val="22"/>
        </w:rPr>
        <w:t xml:space="preserve"> </w:t>
      </w:r>
      <w:r w:rsidR="007E4688" w:rsidRPr="00B740B4">
        <w:rPr>
          <w:b/>
          <w:sz w:val="22"/>
          <w:szCs w:val="22"/>
        </w:rPr>
        <w:t>Beckwith, C. L. (</w:t>
      </w:r>
      <w:r w:rsidR="007E4688" w:rsidRPr="00532C40">
        <w:rPr>
          <w:sz w:val="22"/>
          <w:szCs w:val="22"/>
        </w:rPr>
        <w:t>ed</w:t>
      </w:r>
      <w:r w:rsidR="007E4688" w:rsidRPr="00B740B4">
        <w:rPr>
          <w:b/>
          <w:sz w:val="22"/>
          <w:szCs w:val="22"/>
        </w:rPr>
        <w:t xml:space="preserve">.). </w:t>
      </w:r>
      <w:r w:rsidR="007E4688" w:rsidRPr="00B740B4">
        <w:rPr>
          <w:i/>
          <w:sz w:val="22"/>
          <w:szCs w:val="22"/>
        </w:rPr>
        <w:t xml:space="preserve">Ezekiel, Daniel. </w:t>
      </w:r>
      <w:r w:rsidR="007E4688" w:rsidRPr="00B740B4">
        <w:rPr>
          <w:sz w:val="22"/>
          <w:szCs w:val="22"/>
        </w:rPr>
        <w:t>Reformation Commentary on Scripture</w:t>
      </w:r>
      <w:r w:rsidR="007E4688" w:rsidRPr="00B740B4">
        <w:rPr>
          <w:b/>
          <w:sz w:val="22"/>
          <w:szCs w:val="22"/>
        </w:rPr>
        <w:t xml:space="preserve">. </w:t>
      </w:r>
      <w:r w:rsidR="001B2642" w:rsidRPr="00B740B4">
        <w:rPr>
          <w:b/>
          <w:sz w:val="22"/>
          <w:szCs w:val="22"/>
        </w:rPr>
        <w:t>Beckwith, R. T.</w:t>
      </w:r>
      <w:r w:rsidR="001B2642" w:rsidRPr="00B740B4">
        <w:rPr>
          <w:sz w:val="22"/>
          <w:szCs w:val="22"/>
        </w:rPr>
        <w:t xml:space="preserve"> </w:t>
      </w:r>
      <w:r w:rsidR="00934A11" w:rsidRPr="00B740B4">
        <w:rPr>
          <w:sz w:val="22"/>
          <w:szCs w:val="22"/>
        </w:rPr>
        <w:t>“</w:t>
      </w:r>
      <w:r w:rsidR="001B2642" w:rsidRPr="00B740B4">
        <w:rPr>
          <w:sz w:val="22"/>
          <w:szCs w:val="22"/>
        </w:rPr>
        <w:t>The Significance of the Calendar for Interpreting Essene Chronology and Eschatology.</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Daniel 9 and the Date of Messiah’s Coming.</w:t>
      </w:r>
      <w:r w:rsidR="00934A11" w:rsidRPr="00B740B4">
        <w:rPr>
          <w:sz w:val="22"/>
          <w:szCs w:val="22"/>
        </w:rPr>
        <w:t>”</w:t>
      </w:r>
      <w:r w:rsidR="001B2642" w:rsidRPr="00B740B4">
        <w:rPr>
          <w:sz w:val="22"/>
          <w:szCs w:val="22"/>
        </w:rPr>
        <w:t xml:space="preserve"> </w:t>
      </w:r>
      <w:r w:rsidR="00392C3F" w:rsidRPr="00B740B4">
        <w:rPr>
          <w:sz w:val="22"/>
          <w:szCs w:val="22"/>
        </w:rPr>
        <w:t>———.</w:t>
      </w:r>
      <w:r w:rsidR="00934A11" w:rsidRPr="00B740B4">
        <w:rPr>
          <w:sz w:val="22"/>
          <w:szCs w:val="22"/>
        </w:rPr>
        <w:t>”</w:t>
      </w:r>
      <w:r w:rsidR="00392C3F" w:rsidRPr="00B740B4">
        <w:rPr>
          <w:sz w:val="22"/>
          <w:szCs w:val="22"/>
        </w:rPr>
        <w:t>Early Traces of the Book of Daniel.</w:t>
      </w:r>
      <w:r w:rsidR="00934A11" w:rsidRPr="00B740B4">
        <w:rPr>
          <w:sz w:val="22"/>
          <w:szCs w:val="22"/>
        </w:rPr>
        <w:t>”</w:t>
      </w:r>
      <w:r w:rsidR="00392C3F" w:rsidRPr="00B740B4">
        <w:rPr>
          <w:sz w:val="22"/>
          <w:szCs w:val="22"/>
        </w:rPr>
        <w:t xml:space="preserve"> </w:t>
      </w:r>
      <w:r w:rsidR="00592DBB" w:rsidRPr="00B740B4">
        <w:rPr>
          <w:b/>
          <w:iCs/>
          <w:sz w:val="22"/>
          <w:szCs w:val="22"/>
        </w:rPr>
        <w:t>Begg</w:t>
      </w:r>
      <w:r w:rsidR="00592DBB" w:rsidRPr="00B740B4">
        <w:rPr>
          <w:b/>
          <w:sz w:val="22"/>
          <w:szCs w:val="22"/>
        </w:rPr>
        <w:t>, C. T.</w:t>
      </w:r>
      <w:r w:rsidR="00592DBB" w:rsidRPr="00B740B4">
        <w:rPr>
          <w:sz w:val="22"/>
          <w:szCs w:val="22"/>
        </w:rPr>
        <w:t xml:space="preserve"> </w:t>
      </w:r>
      <w:r w:rsidR="00934A11" w:rsidRPr="00B740B4">
        <w:rPr>
          <w:sz w:val="22"/>
          <w:szCs w:val="22"/>
        </w:rPr>
        <w:t>“</w:t>
      </w:r>
      <w:r w:rsidR="00592DBB" w:rsidRPr="00B740B4">
        <w:rPr>
          <w:sz w:val="22"/>
          <w:szCs w:val="22"/>
        </w:rPr>
        <w:t>Daniel and Josep</w:t>
      </w:r>
      <w:r w:rsidR="009D2ED0" w:rsidRPr="00B740B4">
        <w:rPr>
          <w:sz w:val="22"/>
          <w:szCs w:val="22"/>
        </w:rPr>
        <w:t>h</w:t>
      </w:r>
      <w:r w:rsidR="00592DBB" w:rsidRPr="00B740B4">
        <w:rPr>
          <w:sz w:val="22"/>
          <w:szCs w:val="22"/>
        </w:rPr>
        <w:t>us,</w:t>
      </w:r>
      <w:r w:rsidR="00934A11" w:rsidRPr="00B740B4">
        <w:rPr>
          <w:sz w:val="22"/>
          <w:szCs w:val="22"/>
        </w:rPr>
        <w:t>”</w:t>
      </w:r>
      <w:r w:rsidR="00592DBB" w:rsidRPr="00B740B4">
        <w:rPr>
          <w:sz w:val="22"/>
          <w:szCs w:val="22"/>
        </w:rPr>
        <w:t xml:space="preserve"> in van der Woude (ed.), </w:t>
      </w:r>
      <w:r w:rsidR="00592DBB" w:rsidRPr="00B740B4">
        <w:rPr>
          <w:i/>
          <w:sz w:val="22"/>
          <w:szCs w:val="22"/>
        </w:rPr>
        <w:t>The Book of Daniel</w:t>
      </w:r>
      <w:r w:rsidR="009D2ED0" w:rsidRPr="00B740B4">
        <w:rPr>
          <w:sz w:val="22"/>
          <w:szCs w:val="22"/>
        </w:rPr>
        <w:t xml:space="preserve">, 539-545. </w:t>
      </w:r>
      <w:r w:rsidR="001B2642" w:rsidRPr="00B740B4">
        <w:rPr>
          <w:b/>
          <w:sz w:val="22"/>
          <w:szCs w:val="22"/>
        </w:rPr>
        <w:t>Berger, K.</w:t>
      </w:r>
      <w:r w:rsidR="001B2642" w:rsidRPr="00B740B4">
        <w:rPr>
          <w:sz w:val="22"/>
          <w:szCs w:val="22"/>
        </w:rPr>
        <w:t xml:space="preserve"> </w:t>
      </w:r>
      <w:r w:rsidR="001B2642" w:rsidRPr="00B740B4">
        <w:rPr>
          <w:i/>
          <w:sz w:val="22"/>
          <w:szCs w:val="22"/>
        </w:rPr>
        <w:t>Die griechische Daniel-Diegese</w:t>
      </w:r>
      <w:r w:rsidR="001B2642" w:rsidRPr="00B740B4">
        <w:rPr>
          <w:sz w:val="22"/>
          <w:szCs w:val="22"/>
        </w:rPr>
        <w:t xml:space="preserve">. </w:t>
      </w:r>
      <w:r w:rsidR="001B2642" w:rsidRPr="00B740B4">
        <w:rPr>
          <w:b/>
          <w:sz w:val="22"/>
          <w:szCs w:val="22"/>
        </w:rPr>
        <w:t>Betz, O.,</w:t>
      </w:r>
      <w:r w:rsidR="001B2642" w:rsidRPr="00B740B4">
        <w:rPr>
          <w:sz w:val="22"/>
          <w:szCs w:val="22"/>
        </w:rPr>
        <w:t xml:space="preserve"> </w:t>
      </w:r>
      <w:r w:rsidR="001B2642" w:rsidRPr="00532C40">
        <w:rPr>
          <w:sz w:val="22"/>
          <w:szCs w:val="22"/>
        </w:rPr>
        <w:t>and</w:t>
      </w:r>
      <w:r w:rsidR="001B2642" w:rsidRPr="00B740B4">
        <w:rPr>
          <w:sz w:val="22"/>
          <w:szCs w:val="22"/>
        </w:rPr>
        <w:t xml:space="preserve"> </w:t>
      </w:r>
      <w:r w:rsidR="001B2642" w:rsidRPr="00B740B4">
        <w:rPr>
          <w:b/>
          <w:sz w:val="22"/>
          <w:szCs w:val="22"/>
        </w:rPr>
        <w:t>Grimm, W.</w:t>
      </w:r>
      <w:r w:rsidR="001B2642" w:rsidRPr="00B740B4">
        <w:rPr>
          <w:sz w:val="22"/>
          <w:szCs w:val="22"/>
        </w:rPr>
        <w:t xml:space="preserve"> </w:t>
      </w:r>
      <w:r w:rsidR="001B2642" w:rsidRPr="00B740B4">
        <w:rPr>
          <w:i/>
          <w:sz w:val="22"/>
          <w:szCs w:val="22"/>
        </w:rPr>
        <w:t>Jesus und das Danielbuch</w:t>
      </w:r>
      <w:r w:rsidR="001B2642" w:rsidRPr="00B740B4">
        <w:rPr>
          <w:b/>
          <w:sz w:val="22"/>
          <w:szCs w:val="22"/>
        </w:rPr>
        <w:t xml:space="preserve">. </w:t>
      </w:r>
      <w:r w:rsidR="00B2577D" w:rsidRPr="00B740B4">
        <w:rPr>
          <w:b/>
          <w:sz w:val="22"/>
          <w:szCs w:val="22"/>
        </w:rPr>
        <w:t>Benedictine Monks of St. Jerome’s Pontifical Abbey</w:t>
      </w:r>
      <w:r w:rsidR="00B2577D" w:rsidRPr="00B740B4">
        <w:rPr>
          <w:i/>
          <w:sz w:val="22"/>
          <w:szCs w:val="22"/>
        </w:rPr>
        <w:t xml:space="preserve"> </w:t>
      </w:r>
      <w:r w:rsidR="00B2577D" w:rsidRPr="00B740B4">
        <w:rPr>
          <w:sz w:val="22"/>
          <w:szCs w:val="22"/>
        </w:rPr>
        <w:t>(eds.).</w:t>
      </w:r>
      <w:r w:rsidR="00B2577D" w:rsidRPr="00B740B4">
        <w:rPr>
          <w:i/>
          <w:sz w:val="22"/>
          <w:szCs w:val="22"/>
        </w:rPr>
        <w:t xml:space="preserve"> </w:t>
      </w:r>
      <w:r w:rsidR="001B2642" w:rsidRPr="00B740B4">
        <w:rPr>
          <w:i/>
          <w:sz w:val="22"/>
          <w:szCs w:val="22"/>
        </w:rPr>
        <w:t>Biblia Sacra iuxta latinam vulgatam versionem, xvi. Liber Danihelis</w:t>
      </w:r>
      <w:r w:rsidR="001B2642" w:rsidRPr="00B740B4">
        <w:rPr>
          <w:sz w:val="22"/>
          <w:szCs w:val="22"/>
        </w:rPr>
        <w:t xml:space="preserve">. </w:t>
      </w:r>
      <w:r w:rsidR="001B338C" w:rsidRPr="00B740B4">
        <w:rPr>
          <w:b/>
          <w:sz w:val="22"/>
          <w:szCs w:val="22"/>
        </w:rPr>
        <w:t xml:space="preserve">Bernstein, M. J., </w:t>
      </w:r>
      <w:r w:rsidR="001B338C" w:rsidRPr="00C148DD">
        <w:rPr>
          <w:sz w:val="22"/>
          <w:szCs w:val="22"/>
        </w:rPr>
        <w:t>and</w:t>
      </w:r>
      <w:r w:rsidR="001B338C" w:rsidRPr="00B740B4">
        <w:rPr>
          <w:b/>
          <w:sz w:val="22"/>
          <w:szCs w:val="22"/>
        </w:rPr>
        <w:t xml:space="preserve"> Koller, A.  </w:t>
      </w:r>
      <w:r w:rsidR="00934A11" w:rsidRPr="00B740B4">
        <w:rPr>
          <w:sz w:val="22"/>
          <w:szCs w:val="22"/>
        </w:rPr>
        <w:t>“</w:t>
      </w:r>
      <w:r w:rsidR="001B338C" w:rsidRPr="00B740B4">
        <w:rPr>
          <w:sz w:val="22"/>
          <w:szCs w:val="22"/>
        </w:rPr>
        <w:t>The Aramaic Texts and the Hebrew and Aramaic Languages at Qumran.</w:t>
      </w:r>
      <w:r w:rsidR="00934A11" w:rsidRPr="00B740B4">
        <w:rPr>
          <w:sz w:val="22"/>
          <w:szCs w:val="22"/>
        </w:rPr>
        <w:t>”</w:t>
      </w:r>
      <w:r w:rsidR="001B338C" w:rsidRPr="00B740B4">
        <w:rPr>
          <w:sz w:val="22"/>
          <w:szCs w:val="22"/>
        </w:rPr>
        <w:t xml:space="preserve"> </w:t>
      </w:r>
      <w:r w:rsidR="007E47B3">
        <w:rPr>
          <w:rFonts w:eastAsia="Times-Roman"/>
          <w:b/>
          <w:sz w:val="22"/>
          <w:szCs w:val="22"/>
        </w:rPr>
        <w:t>Beyerle</w:t>
      </w:r>
      <w:r w:rsidR="00846FF1" w:rsidRPr="00B740B4">
        <w:rPr>
          <w:rFonts w:eastAsia="Times-Roman"/>
          <w:b/>
          <w:sz w:val="22"/>
          <w:szCs w:val="22"/>
        </w:rPr>
        <w:t xml:space="preserve">, S. </w:t>
      </w:r>
      <w:r w:rsidR="00934A11" w:rsidRPr="00B740B4">
        <w:rPr>
          <w:rFonts w:eastAsia="Times-Roman"/>
          <w:sz w:val="22"/>
          <w:szCs w:val="22"/>
        </w:rPr>
        <w:t>“</w:t>
      </w:r>
      <w:r w:rsidR="00846FF1" w:rsidRPr="00B740B4">
        <w:rPr>
          <w:rFonts w:eastAsia="Times-Roman"/>
          <w:sz w:val="22"/>
          <w:szCs w:val="22"/>
        </w:rPr>
        <w:t>‘Der mit den Wolken des Himmels kommt,’</w:t>
      </w:r>
      <w:r w:rsidR="00934A11" w:rsidRPr="00B740B4">
        <w:rPr>
          <w:rFonts w:eastAsia="Times-Roman"/>
          <w:sz w:val="22"/>
          <w:szCs w:val="22"/>
        </w:rPr>
        <w:t>”</w:t>
      </w:r>
      <w:r w:rsidR="00846FF1" w:rsidRPr="00B740B4">
        <w:rPr>
          <w:rFonts w:eastAsia="Times-Roman"/>
          <w:sz w:val="22"/>
          <w:szCs w:val="22"/>
        </w:rPr>
        <w:t xml:space="preserve"> in Sänger/Backhaus (eds.), </w:t>
      </w:r>
      <w:r w:rsidR="00846FF1" w:rsidRPr="00B740B4">
        <w:rPr>
          <w:rFonts w:eastAsia="Times-Roman"/>
          <w:i/>
          <w:sz w:val="22"/>
          <w:szCs w:val="22"/>
        </w:rPr>
        <w:t>Gottessohn und Menschensohn</w:t>
      </w:r>
      <w:r w:rsidR="00846FF1" w:rsidRPr="00B740B4">
        <w:rPr>
          <w:rFonts w:eastAsia="Times-Roman"/>
          <w:sz w:val="22"/>
          <w:szCs w:val="22"/>
        </w:rPr>
        <w:t xml:space="preserve">, 1-52. </w:t>
      </w:r>
      <w:r w:rsidR="001B2642" w:rsidRPr="00B740B4">
        <w:rPr>
          <w:b/>
          <w:sz w:val="22"/>
          <w:szCs w:val="22"/>
        </w:rPr>
        <w:t>Bietenhard, H.</w:t>
      </w:r>
      <w:r w:rsidR="001B2642" w:rsidRPr="00B740B4">
        <w:rPr>
          <w:sz w:val="22"/>
          <w:szCs w:val="22"/>
        </w:rPr>
        <w:t xml:space="preserve"> </w:t>
      </w:r>
      <w:r w:rsidR="00934A11" w:rsidRPr="00B740B4">
        <w:rPr>
          <w:sz w:val="22"/>
          <w:szCs w:val="22"/>
        </w:rPr>
        <w:t>“</w:t>
      </w:r>
      <w:r w:rsidR="001B2642" w:rsidRPr="00B740B4">
        <w:rPr>
          <w:sz w:val="22"/>
          <w:szCs w:val="22"/>
        </w:rPr>
        <w:t>‘Der Menschensohn.’</w:t>
      </w:r>
      <w:r w:rsidR="00934A11" w:rsidRPr="00B740B4">
        <w:rPr>
          <w:sz w:val="22"/>
          <w:szCs w:val="22"/>
        </w:rPr>
        <w:t>”</w:t>
      </w:r>
      <w:r w:rsidR="001B2642" w:rsidRPr="00B740B4">
        <w:rPr>
          <w:sz w:val="22"/>
          <w:szCs w:val="22"/>
        </w:rPr>
        <w:t xml:space="preserve"> </w:t>
      </w:r>
      <w:r w:rsidR="001B2642" w:rsidRPr="00B740B4">
        <w:rPr>
          <w:b/>
          <w:sz w:val="22"/>
          <w:szCs w:val="22"/>
        </w:rPr>
        <w:t>Black, M.</w:t>
      </w:r>
      <w:r w:rsidR="001B2642" w:rsidRPr="00B740B4">
        <w:rPr>
          <w:sz w:val="22"/>
          <w:szCs w:val="22"/>
        </w:rPr>
        <w:t xml:space="preserve"> </w:t>
      </w:r>
      <w:r w:rsidR="00FD39BD" w:rsidRPr="00FD39BD">
        <w:rPr>
          <w:sz w:val="22"/>
          <w:szCs w:val="22"/>
        </w:rPr>
        <w:t xml:space="preserve">“Aramaic barnāshā and the ‘Son of Man.’”———. </w:t>
      </w:r>
      <w:r w:rsidR="00934A11" w:rsidRPr="00B740B4">
        <w:rPr>
          <w:sz w:val="22"/>
          <w:szCs w:val="22"/>
        </w:rPr>
        <w:t>“</w:t>
      </w:r>
      <w:r w:rsidR="001B2642" w:rsidRPr="00B740B4">
        <w:rPr>
          <w:sz w:val="22"/>
          <w:szCs w:val="22"/>
        </w:rPr>
        <w:t>The Eschatology of the Similitudes of Enoch.</w:t>
      </w:r>
      <w:r w:rsidR="00934A11" w:rsidRPr="00B740B4">
        <w:rPr>
          <w:sz w:val="22"/>
          <w:szCs w:val="22"/>
        </w:rPr>
        <w:t>”</w:t>
      </w:r>
      <w:r w:rsidR="001B2642" w:rsidRPr="00B740B4">
        <w:rPr>
          <w:sz w:val="22"/>
          <w:szCs w:val="22"/>
        </w:rPr>
        <w:t xml:space="preserve"> </w:t>
      </w:r>
      <w:r w:rsidR="004846A8" w:rsidRPr="00B740B4">
        <w:rPr>
          <w:rFonts w:ascii="Calibri" w:eastAsia="Times New Roman" w:hAnsi="Calibri" w:cs="Times New Roman"/>
          <w:b/>
          <w:sz w:val="22"/>
          <w:szCs w:val="22"/>
        </w:rPr>
        <w:t xml:space="preserve">Bledsoe, </w:t>
      </w:r>
      <w:r w:rsidR="0031569D" w:rsidRPr="00B740B4">
        <w:rPr>
          <w:rFonts w:ascii="Calibri" w:eastAsia="Times New Roman" w:hAnsi="Calibri" w:cs="Times New Roman"/>
          <w:b/>
          <w:sz w:val="22"/>
          <w:szCs w:val="22"/>
        </w:rPr>
        <w:t xml:space="preserve">A. </w:t>
      </w:r>
      <w:r w:rsidR="004846A8" w:rsidRPr="00B740B4">
        <w:rPr>
          <w:b/>
          <w:sz w:val="22"/>
          <w:szCs w:val="22"/>
        </w:rPr>
        <w:t xml:space="preserve">D. </w:t>
      </w:r>
      <w:r w:rsidR="00934A11" w:rsidRPr="00B740B4">
        <w:rPr>
          <w:rFonts w:ascii="Calibri" w:eastAsia="Times New Roman" w:hAnsi="Calibri" w:cs="Times New Roman"/>
          <w:sz w:val="22"/>
          <w:szCs w:val="22"/>
        </w:rPr>
        <w:t>“</w:t>
      </w:r>
      <w:r w:rsidR="004846A8" w:rsidRPr="00B740B4">
        <w:rPr>
          <w:rFonts w:ascii="Calibri" w:eastAsia="Times New Roman" w:hAnsi="Calibri" w:cs="Times New Roman"/>
          <w:sz w:val="22"/>
          <w:szCs w:val="22"/>
        </w:rPr>
        <w:t>The Relationship of the Different Editions of Daniel.</w:t>
      </w:r>
      <w:r w:rsidR="00934A11" w:rsidRPr="00B740B4">
        <w:rPr>
          <w:rFonts w:ascii="Calibri" w:eastAsia="Times New Roman" w:hAnsi="Calibri" w:cs="Times New Roman"/>
          <w:sz w:val="22"/>
          <w:szCs w:val="22"/>
        </w:rPr>
        <w:t>”</w:t>
      </w:r>
      <w:r w:rsidR="004846A8" w:rsidRPr="00B740B4">
        <w:rPr>
          <w:sz w:val="22"/>
          <w:szCs w:val="22"/>
        </w:rPr>
        <w:t xml:space="preserve"> </w:t>
      </w:r>
      <w:r w:rsidR="001B2642" w:rsidRPr="00B740B4">
        <w:rPr>
          <w:b/>
          <w:sz w:val="22"/>
          <w:szCs w:val="22"/>
        </w:rPr>
        <w:t>Bludau, A.</w:t>
      </w:r>
      <w:r w:rsidR="001B2642" w:rsidRPr="00B740B4">
        <w:rPr>
          <w:sz w:val="22"/>
          <w:szCs w:val="22"/>
        </w:rPr>
        <w:t xml:space="preserve"> </w:t>
      </w:r>
      <w:r w:rsidR="00934A11" w:rsidRPr="00B740B4">
        <w:rPr>
          <w:sz w:val="22"/>
          <w:szCs w:val="22"/>
        </w:rPr>
        <w:t>“</w:t>
      </w:r>
      <w:r w:rsidR="001B2642" w:rsidRPr="00B740B4">
        <w:rPr>
          <w:sz w:val="22"/>
          <w:szCs w:val="22"/>
        </w:rPr>
        <w:t>Die Apokalypse und Theodotions Danielübersetzung.</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Die alexandrische Übersetzung des Buches Daniel.</w:t>
      </w:r>
      <w:r w:rsidR="00934A11" w:rsidRPr="00B740B4">
        <w:rPr>
          <w:sz w:val="22"/>
          <w:szCs w:val="22"/>
        </w:rPr>
        <w:t>”</w:t>
      </w:r>
      <w:r w:rsidR="001B2642" w:rsidRPr="00B740B4">
        <w:rPr>
          <w:sz w:val="22"/>
          <w:szCs w:val="22"/>
        </w:rPr>
        <w:t xml:space="preserve"> </w:t>
      </w:r>
      <w:r w:rsidR="00833C7C" w:rsidRPr="00B740B4">
        <w:rPr>
          <w:b/>
          <w:sz w:val="22"/>
          <w:szCs w:val="22"/>
        </w:rPr>
        <w:t>Bobzin, H.</w:t>
      </w:r>
      <w:r w:rsidR="00833C7C" w:rsidRPr="00B740B4">
        <w:rPr>
          <w:sz w:val="22"/>
          <w:szCs w:val="22"/>
        </w:rPr>
        <w:t xml:space="preserve"> </w:t>
      </w:r>
      <w:r w:rsidR="00934A11" w:rsidRPr="00B740B4">
        <w:rPr>
          <w:sz w:val="22"/>
          <w:szCs w:val="22"/>
        </w:rPr>
        <w:t>“</w:t>
      </w:r>
      <w:r w:rsidR="00833C7C" w:rsidRPr="00B740B4">
        <w:rPr>
          <w:sz w:val="22"/>
          <w:szCs w:val="22"/>
        </w:rPr>
        <w:t>Bemerkungen zu Daniel in der islamischen Tradition,</w:t>
      </w:r>
      <w:r w:rsidR="00934A11" w:rsidRPr="00B740B4">
        <w:rPr>
          <w:sz w:val="22"/>
          <w:szCs w:val="22"/>
        </w:rPr>
        <w:t>”</w:t>
      </w:r>
      <w:r w:rsidR="00833C7C" w:rsidRPr="00B740B4">
        <w:rPr>
          <w:bCs/>
          <w:sz w:val="22"/>
          <w:szCs w:val="22"/>
        </w:rPr>
        <w:t xml:space="preserve"> in Bracht/du Toit</w:t>
      </w:r>
      <w:r w:rsidR="00833C7C" w:rsidRPr="00B740B4">
        <w:rPr>
          <w:bCs/>
          <w:i/>
          <w:iCs/>
          <w:sz w:val="22"/>
          <w:szCs w:val="22"/>
        </w:rPr>
        <w:t xml:space="preserve"> </w:t>
      </w:r>
      <w:r w:rsidR="00833C7C" w:rsidRPr="00B740B4">
        <w:rPr>
          <w:bCs/>
          <w:iCs/>
          <w:sz w:val="22"/>
          <w:szCs w:val="22"/>
        </w:rPr>
        <w:t xml:space="preserve">(eds.), </w:t>
      </w:r>
      <w:r w:rsidR="00833C7C" w:rsidRPr="00B740B4">
        <w:rPr>
          <w:bCs/>
          <w:i/>
          <w:iCs/>
          <w:sz w:val="22"/>
          <w:szCs w:val="22"/>
        </w:rPr>
        <w:t>Die Ges</w:t>
      </w:r>
      <w:r w:rsidR="008C0493" w:rsidRPr="00B740B4">
        <w:rPr>
          <w:bCs/>
          <w:i/>
          <w:iCs/>
          <w:sz w:val="22"/>
          <w:szCs w:val="22"/>
        </w:rPr>
        <w:t>chichte der Daniel-Auslegung</w:t>
      </w:r>
      <w:r w:rsidR="00833C7C" w:rsidRPr="00B740B4">
        <w:rPr>
          <w:bCs/>
          <w:iCs/>
          <w:sz w:val="22"/>
          <w:szCs w:val="22"/>
        </w:rPr>
        <w:t xml:space="preserve">, </w:t>
      </w:r>
      <w:r w:rsidR="00833C7C" w:rsidRPr="00B740B4">
        <w:rPr>
          <w:sz w:val="22"/>
          <w:szCs w:val="22"/>
        </w:rPr>
        <w:t xml:space="preserve">167-78. </w:t>
      </w:r>
      <w:r w:rsidR="00815ACD" w:rsidRPr="00B740B4">
        <w:rPr>
          <w:sz w:val="22"/>
          <w:szCs w:val="22"/>
        </w:rPr>
        <w:t xml:space="preserve">———. </w:t>
      </w:r>
      <w:r w:rsidR="00934A11" w:rsidRPr="00B740B4">
        <w:rPr>
          <w:sz w:val="22"/>
          <w:szCs w:val="22"/>
        </w:rPr>
        <w:t>“</w:t>
      </w:r>
      <w:r w:rsidR="00815ACD" w:rsidRPr="00B740B4">
        <w:rPr>
          <w:sz w:val="22"/>
          <w:szCs w:val="22"/>
        </w:rPr>
        <w:t>Die islamischen Danielrezeption,</w:t>
      </w:r>
      <w:r w:rsidR="00934A11" w:rsidRPr="00B740B4">
        <w:rPr>
          <w:sz w:val="22"/>
          <w:szCs w:val="22"/>
        </w:rPr>
        <w:t>”</w:t>
      </w:r>
      <w:r w:rsidR="00815ACD" w:rsidRPr="00B740B4">
        <w:rPr>
          <w:sz w:val="22"/>
          <w:szCs w:val="22"/>
        </w:rPr>
        <w:t xml:space="preserve"> in </w:t>
      </w:r>
      <w:r w:rsidR="00381CF4" w:rsidRPr="00B740B4">
        <w:rPr>
          <w:rFonts w:eastAsiaTheme="minorHAnsi" w:cs="Times New Roman"/>
          <w:bCs/>
          <w:sz w:val="22"/>
          <w:szCs w:val="22"/>
        </w:rPr>
        <w:t>Delgado/Koch/Marsch</w:t>
      </w:r>
      <w:r w:rsidR="00A57608" w:rsidRPr="00B740B4">
        <w:rPr>
          <w:rFonts w:eastAsiaTheme="minorHAnsi" w:cs="Times New Roman"/>
          <w:bCs/>
          <w:sz w:val="22"/>
          <w:szCs w:val="22"/>
        </w:rPr>
        <w:t xml:space="preserve"> (eds.),</w:t>
      </w:r>
      <w:r w:rsidR="00815ACD" w:rsidRPr="00B740B4">
        <w:rPr>
          <w:rFonts w:eastAsiaTheme="minorHAnsi" w:cs="Times New Roman"/>
          <w:bCs/>
          <w:sz w:val="22"/>
          <w:szCs w:val="22"/>
        </w:rPr>
        <w:t xml:space="preserve"> </w:t>
      </w:r>
      <w:r w:rsidR="00815ACD" w:rsidRPr="00B740B4">
        <w:rPr>
          <w:rFonts w:eastAsiaTheme="minorHAnsi" w:cs="Times New Roman"/>
          <w:bCs/>
          <w:i/>
          <w:sz w:val="22"/>
          <w:szCs w:val="22"/>
        </w:rPr>
        <w:t>Europa, Tausendjähriges Reich und Neue Welt</w:t>
      </w:r>
      <w:r w:rsidR="00815ACD" w:rsidRPr="00B740B4">
        <w:rPr>
          <w:rFonts w:eastAsiaTheme="minorHAnsi" w:cs="Times New Roman"/>
          <w:bCs/>
          <w:sz w:val="22"/>
          <w:szCs w:val="22"/>
        </w:rPr>
        <w:t xml:space="preserve">, 159-73. </w:t>
      </w:r>
      <w:r w:rsidR="001B2642" w:rsidRPr="00B740B4">
        <w:rPr>
          <w:b/>
          <w:sz w:val="22"/>
          <w:szCs w:val="22"/>
        </w:rPr>
        <w:t>Bock, D. L.</w:t>
      </w:r>
      <w:r w:rsidR="001B2642" w:rsidRPr="00B740B4">
        <w:rPr>
          <w:sz w:val="22"/>
          <w:szCs w:val="22"/>
        </w:rPr>
        <w:t xml:space="preserve"> </w:t>
      </w:r>
      <w:r w:rsidR="00934A11" w:rsidRPr="00B740B4">
        <w:rPr>
          <w:b/>
          <w:bCs/>
          <w:sz w:val="22"/>
          <w:szCs w:val="22"/>
        </w:rPr>
        <w:t>“</w:t>
      </w:r>
      <w:r w:rsidR="00EB15B0" w:rsidRPr="00B740B4">
        <w:rPr>
          <w:bCs/>
          <w:iCs/>
          <w:sz w:val="22"/>
          <w:szCs w:val="22"/>
        </w:rPr>
        <w:t>Did Jesus Connect Son of Man to Daniel 7?</w:t>
      </w:r>
      <w:r w:rsidR="00934A11" w:rsidRPr="00B740B4">
        <w:rPr>
          <w:bCs/>
          <w:iCs/>
          <w:sz w:val="22"/>
          <w:szCs w:val="22"/>
        </w:rPr>
        <w:t>”</w:t>
      </w:r>
      <w:r w:rsidR="00EB15B0" w:rsidRPr="00B740B4">
        <w:rPr>
          <w:sz w:val="22"/>
          <w:szCs w:val="22"/>
        </w:rPr>
        <w:t xml:space="preserve"> </w:t>
      </w:r>
      <w:r w:rsidR="00EB15B0" w:rsidRPr="00B740B4">
        <w:rPr>
          <w:bCs/>
          <w:iCs/>
          <w:sz w:val="22"/>
          <w:szCs w:val="22"/>
        </w:rPr>
        <w:t>———.</w:t>
      </w:r>
      <w:r w:rsidR="00C148DD">
        <w:rPr>
          <w:bCs/>
          <w:iCs/>
          <w:sz w:val="22"/>
          <w:szCs w:val="22"/>
        </w:rPr>
        <w:t xml:space="preserve"> </w:t>
      </w:r>
      <w:r w:rsidR="001B2642" w:rsidRPr="00B740B4">
        <w:rPr>
          <w:i/>
          <w:sz w:val="22"/>
          <w:szCs w:val="22"/>
        </w:rPr>
        <w:t>Proclamation from Prophecy and Pattern</w:t>
      </w:r>
      <w:r w:rsidR="001B2642" w:rsidRPr="00B740B4">
        <w:rPr>
          <w:sz w:val="22"/>
          <w:szCs w:val="22"/>
        </w:rPr>
        <w:t xml:space="preserve">. </w:t>
      </w:r>
      <w:r w:rsidR="000463AF" w:rsidRPr="00B740B4">
        <w:rPr>
          <w:b/>
          <w:sz w:val="22"/>
          <w:szCs w:val="22"/>
        </w:rPr>
        <w:t xml:space="preserve">Bodenmann, R. </w:t>
      </w:r>
      <w:r w:rsidR="000463AF" w:rsidRPr="00B740B4">
        <w:rPr>
          <w:i/>
          <w:sz w:val="22"/>
          <w:szCs w:val="22"/>
        </w:rPr>
        <w:t>Naissance d’une exégèse</w:t>
      </w:r>
      <w:r w:rsidR="000463AF" w:rsidRPr="00B740B4">
        <w:rPr>
          <w:sz w:val="22"/>
          <w:szCs w:val="22"/>
        </w:rPr>
        <w:t>.</w:t>
      </w:r>
      <w:r w:rsidR="000463AF" w:rsidRPr="00B740B4">
        <w:rPr>
          <w:i/>
          <w:sz w:val="22"/>
          <w:szCs w:val="22"/>
        </w:rPr>
        <w:t xml:space="preserve"> </w:t>
      </w:r>
      <w:r w:rsidR="001B2642" w:rsidRPr="00B740B4">
        <w:rPr>
          <w:b/>
          <w:sz w:val="22"/>
          <w:szCs w:val="22"/>
        </w:rPr>
        <w:t>Bogaert, P.-M.</w:t>
      </w:r>
      <w:r w:rsidR="001B2642" w:rsidRPr="00B740B4">
        <w:rPr>
          <w:sz w:val="22"/>
          <w:szCs w:val="22"/>
        </w:rPr>
        <w:t xml:space="preserve"> </w:t>
      </w:r>
      <w:r w:rsidR="00934A11" w:rsidRPr="00B740B4">
        <w:rPr>
          <w:sz w:val="22"/>
          <w:szCs w:val="22"/>
        </w:rPr>
        <w:t>“</w:t>
      </w:r>
      <w:r w:rsidR="007861BE" w:rsidRPr="00B740B4">
        <w:rPr>
          <w:sz w:val="22"/>
          <w:szCs w:val="22"/>
        </w:rPr>
        <w:t>Dani</w:t>
      </w:r>
      <w:r w:rsidR="001544E6">
        <w:rPr>
          <w:sz w:val="22"/>
          <w:szCs w:val="22"/>
        </w:rPr>
        <w:t>el 3 LXX et son supplément grec,</w:t>
      </w:r>
      <w:r w:rsidR="00934A11" w:rsidRPr="00B740B4">
        <w:rPr>
          <w:sz w:val="22"/>
          <w:szCs w:val="22"/>
        </w:rPr>
        <w:t>”</w:t>
      </w:r>
      <w:r w:rsidR="001544E6">
        <w:rPr>
          <w:sz w:val="22"/>
          <w:szCs w:val="22"/>
        </w:rPr>
        <w:t xml:space="preserve"> i</w:t>
      </w:r>
      <w:r w:rsidR="001544E6" w:rsidRPr="001544E6">
        <w:rPr>
          <w:sz w:val="22"/>
          <w:szCs w:val="22"/>
        </w:rPr>
        <w:t xml:space="preserve">n van der Woude (ed.), </w:t>
      </w:r>
      <w:r w:rsidR="001544E6" w:rsidRPr="001544E6">
        <w:rPr>
          <w:i/>
          <w:sz w:val="22"/>
          <w:szCs w:val="22"/>
        </w:rPr>
        <w:t>The Book of Daniel</w:t>
      </w:r>
      <w:r w:rsidR="001544E6" w:rsidRPr="001544E6">
        <w:rPr>
          <w:sz w:val="22"/>
          <w:szCs w:val="22"/>
        </w:rPr>
        <w:t>, 13-37.</w:t>
      </w:r>
      <w:r w:rsidR="007861BE" w:rsidRPr="00B740B4">
        <w:rPr>
          <w:sz w:val="22"/>
          <w:szCs w:val="22"/>
        </w:rPr>
        <w:t xml:space="preserve"> ———. </w:t>
      </w:r>
      <w:r w:rsidR="00934A11" w:rsidRPr="00B740B4">
        <w:rPr>
          <w:sz w:val="22"/>
          <w:szCs w:val="22"/>
        </w:rPr>
        <w:t>“</w:t>
      </w:r>
      <w:r w:rsidR="001B2642" w:rsidRPr="00B740B4">
        <w:rPr>
          <w:i/>
          <w:sz w:val="22"/>
          <w:szCs w:val="22"/>
        </w:rPr>
        <w:t>Le témoinage de la Vetus Latina dans l’étude de la tradition des Septante</w:t>
      </w:r>
      <w:r w:rsidR="001B2642" w:rsidRPr="00B740B4">
        <w:rPr>
          <w:sz w:val="22"/>
          <w:szCs w:val="22"/>
        </w:rPr>
        <w:t>.</w:t>
      </w:r>
      <w:r w:rsidR="00934A11" w:rsidRPr="00B740B4">
        <w:rPr>
          <w:sz w:val="22"/>
          <w:szCs w:val="22"/>
        </w:rPr>
        <w:t>”</w:t>
      </w:r>
      <w:r w:rsidR="001B2642" w:rsidRPr="00B740B4">
        <w:rPr>
          <w:sz w:val="22"/>
          <w:szCs w:val="22"/>
        </w:rPr>
        <w:t xml:space="preserve"> </w:t>
      </w:r>
      <w:r w:rsidR="001B2642" w:rsidRPr="00B740B4">
        <w:rPr>
          <w:b/>
          <w:sz w:val="22"/>
          <w:szCs w:val="22"/>
        </w:rPr>
        <w:t>Bonwetsch, G. N.</w:t>
      </w:r>
      <w:r w:rsidR="001B2642" w:rsidRPr="00B740B4">
        <w:rPr>
          <w:sz w:val="22"/>
          <w:szCs w:val="22"/>
        </w:rPr>
        <w:t xml:space="preserve"> </w:t>
      </w:r>
      <w:r w:rsidR="001B2642" w:rsidRPr="00B740B4">
        <w:rPr>
          <w:i/>
          <w:sz w:val="22"/>
          <w:szCs w:val="22"/>
        </w:rPr>
        <w:t>Studien zu den Kommentaren Hippolyts zum Buche Daniel und Hohen Liede</w:t>
      </w:r>
      <w:r w:rsidR="001B2642" w:rsidRPr="00B740B4">
        <w:rPr>
          <w:sz w:val="22"/>
          <w:szCs w:val="22"/>
        </w:rPr>
        <w:t xml:space="preserve">. </w:t>
      </w:r>
      <w:r w:rsidR="005B405F" w:rsidRPr="00B740B4">
        <w:rPr>
          <w:b/>
          <w:sz w:val="22"/>
          <w:szCs w:val="22"/>
        </w:rPr>
        <w:t>Botha, P. J.</w:t>
      </w:r>
      <w:r w:rsidR="005B405F" w:rsidRPr="00B740B4">
        <w:rPr>
          <w:sz w:val="22"/>
          <w:szCs w:val="22"/>
        </w:rPr>
        <w:t xml:space="preserve"> </w:t>
      </w:r>
      <w:r w:rsidR="00934A11" w:rsidRPr="00B740B4">
        <w:rPr>
          <w:sz w:val="22"/>
          <w:szCs w:val="22"/>
        </w:rPr>
        <w:t>“</w:t>
      </w:r>
      <w:r w:rsidR="005B405F" w:rsidRPr="00B740B4">
        <w:rPr>
          <w:sz w:val="22"/>
          <w:szCs w:val="22"/>
        </w:rPr>
        <w:t>The Interpretation of Daniel 3.</w:t>
      </w:r>
      <w:r w:rsidR="00934A11" w:rsidRPr="00B740B4">
        <w:rPr>
          <w:sz w:val="22"/>
          <w:szCs w:val="22"/>
        </w:rPr>
        <w:t>”</w:t>
      </w:r>
      <w:r w:rsidR="00FD410A" w:rsidRPr="00B740B4">
        <w:rPr>
          <w:sz w:val="22"/>
          <w:szCs w:val="22"/>
        </w:rPr>
        <w:t xml:space="preserve"> </w:t>
      </w:r>
      <w:r w:rsidR="00B227DE" w:rsidRPr="00B740B4">
        <w:rPr>
          <w:sz w:val="22"/>
          <w:szCs w:val="22"/>
        </w:rPr>
        <w:t xml:space="preserve">———. </w:t>
      </w:r>
      <w:r w:rsidR="00934A11" w:rsidRPr="00B740B4">
        <w:rPr>
          <w:sz w:val="22"/>
          <w:szCs w:val="22"/>
        </w:rPr>
        <w:t>“</w:t>
      </w:r>
      <w:r w:rsidR="00B227DE" w:rsidRPr="00B740B4">
        <w:rPr>
          <w:sz w:val="22"/>
          <w:szCs w:val="22"/>
        </w:rPr>
        <w:t>The Relevance of the Book of Daniel for Fourth-Century Christianity Accor</w:t>
      </w:r>
      <w:r w:rsidR="00C148DD">
        <w:rPr>
          <w:sz w:val="22"/>
          <w:szCs w:val="22"/>
        </w:rPr>
        <w:t>d</w:t>
      </w:r>
      <w:r w:rsidR="00B227DE" w:rsidRPr="00B740B4">
        <w:rPr>
          <w:sz w:val="22"/>
          <w:szCs w:val="22"/>
        </w:rPr>
        <w:t>ing to the Commentary Ascribed to Ephrem the Syrian,</w:t>
      </w:r>
      <w:r w:rsidR="00934A11" w:rsidRPr="00B740B4">
        <w:rPr>
          <w:sz w:val="22"/>
          <w:szCs w:val="22"/>
        </w:rPr>
        <w:t>”</w:t>
      </w:r>
      <w:r w:rsidR="00B227DE" w:rsidRPr="00B740B4">
        <w:rPr>
          <w:sz w:val="22"/>
          <w:szCs w:val="22"/>
        </w:rPr>
        <w:t xml:space="preserve"> in </w:t>
      </w:r>
      <w:r w:rsidR="00B227DE" w:rsidRPr="00B740B4">
        <w:rPr>
          <w:bCs/>
          <w:sz w:val="22"/>
          <w:szCs w:val="22"/>
        </w:rPr>
        <w:t>Bracht/du Toit</w:t>
      </w:r>
      <w:r w:rsidR="00B227DE" w:rsidRPr="00B740B4">
        <w:rPr>
          <w:bCs/>
          <w:i/>
          <w:iCs/>
          <w:sz w:val="22"/>
          <w:szCs w:val="22"/>
        </w:rPr>
        <w:t xml:space="preserve"> </w:t>
      </w:r>
      <w:r w:rsidR="00B227DE" w:rsidRPr="00B740B4">
        <w:rPr>
          <w:bCs/>
          <w:iCs/>
          <w:sz w:val="22"/>
          <w:szCs w:val="22"/>
        </w:rPr>
        <w:t xml:space="preserve">(eds.), </w:t>
      </w:r>
      <w:r w:rsidR="00B227DE" w:rsidRPr="00B740B4">
        <w:rPr>
          <w:bCs/>
          <w:i/>
          <w:iCs/>
          <w:sz w:val="22"/>
          <w:szCs w:val="22"/>
        </w:rPr>
        <w:t>Die Ges</w:t>
      </w:r>
      <w:r w:rsidR="0074237E" w:rsidRPr="00B740B4">
        <w:rPr>
          <w:bCs/>
          <w:i/>
          <w:iCs/>
          <w:sz w:val="22"/>
          <w:szCs w:val="22"/>
        </w:rPr>
        <w:t>chichte der Daniel-</w:t>
      </w:r>
      <w:r w:rsidR="00B227DE" w:rsidRPr="00B740B4">
        <w:rPr>
          <w:bCs/>
          <w:i/>
          <w:iCs/>
          <w:sz w:val="22"/>
          <w:szCs w:val="22"/>
        </w:rPr>
        <w:t>Auslegung</w:t>
      </w:r>
      <w:r w:rsidR="00B227DE" w:rsidRPr="00B740B4">
        <w:rPr>
          <w:bCs/>
          <w:iCs/>
          <w:sz w:val="22"/>
          <w:szCs w:val="22"/>
        </w:rPr>
        <w:t xml:space="preserve">, 99-122. </w:t>
      </w:r>
      <w:r w:rsidR="00FD410A" w:rsidRPr="00B740B4">
        <w:rPr>
          <w:b/>
          <w:bCs/>
          <w:sz w:val="22"/>
          <w:szCs w:val="22"/>
        </w:rPr>
        <w:t>Boyarin, D.</w:t>
      </w:r>
      <w:r w:rsidR="00FD410A" w:rsidRPr="00B740B4">
        <w:rPr>
          <w:bCs/>
          <w:sz w:val="22"/>
          <w:szCs w:val="22"/>
        </w:rPr>
        <w:t xml:space="preserve"> </w:t>
      </w:r>
      <w:r w:rsidR="00934A11" w:rsidRPr="00B740B4">
        <w:rPr>
          <w:bCs/>
          <w:sz w:val="22"/>
          <w:szCs w:val="22"/>
        </w:rPr>
        <w:t>“</w:t>
      </w:r>
      <w:r w:rsidR="00FD410A" w:rsidRPr="00B740B4">
        <w:rPr>
          <w:bCs/>
          <w:sz w:val="22"/>
          <w:szCs w:val="22"/>
        </w:rPr>
        <w:t>Beyond Judaisms.</w:t>
      </w:r>
      <w:r w:rsidR="00934A11" w:rsidRPr="00B740B4">
        <w:rPr>
          <w:bCs/>
          <w:sz w:val="22"/>
          <w:szCs w:val="22"/>
        </w:rPr>
        <w:t>”</w:t>
      </w:r>
      <w:r w:rsidR="00FD410A" w:rsidRPr="00B740B4">
        <w:rPr>
          <w:sz w:val="22"/>
          <w:szCs w:val="22"/>
        </w:rPr>
        <w:t xml:space="preserve"> </w:t>
      </w:r>
      <w:r w:rsidR="001B2642" w:rsidRPr="00B740B4">
        <w:rPr>
          <w:b/>
          <w:sz w:val="22"/>
          <w:szCs w:val="22"/>
        </w:rPr>
        <w:t>Braverman, J.</w:t>
      </w:r>
      <w:r w:rsidR="001B2642" w:rsidRPr="00B740B4">
        <w:rPr>
          <w:sz w:val="22"/>
          <w:szCs w:val="22"/>
        </w:rPr>
        <w:t xml:space="preserve"> </w:t>
      </w:r>
      <w:r w:rsidR="001B2642" w:rsidRPr="00B740B4">
        <w:rPr>
          <w:i/>
          <w:sz w:val="22"/>
          <w:szCs w:val="22"/>
        </w:rPr>
        <w:t>Jerome’s Commentary on Daniel</w:t>
      </w:r>
      <w:r w:rsidR="001B2642" w:rsidRPr="00B740B4">
        <w:rPr>
          <w:sz w:val="22"/>
          <w:szCs w:val="22"/>
        </w:rPr>
        <w:t xml:space="preserve">. </w:t>
      </w:r>
      <w:r w:rsidR="00AE30BD" w:rsidRPr="00B740B4">
        <w:rPr>
          <w:b/>
          <w:sz w:val="22"/>
          <w:szCs w:val="22"/>
        </w:rPr>
        <w:t xml:space="preserve">Bracht, K. </w:t>
      </w:r>
      <w:r w:rsidR="00934A11" w:rsidRPr="00B740B4">
        <w:rPr>
          <w:sz w:val="22"/>
          <w:szCs w:val="22"/>
        </w:rPr>
        <w:t>“</w:t>
      </w:r>
      <w:r w:rsidR="007C2CDF" w:rsidRPr="00B740B4">
        <w:rPr>
          <w:i/>
          <w:sz w:val="22"/>
          <w:szCs w:val="22"/>
        </w:rPr>
        <w:t xml:space="preserve">Logos parainetikos: </w:t>
      </w:r>
      <w:r w:rsidR="007C2CDF" w:rsidRPr="00B740B4">
        <w:rPr>
          <w:sz w:val="22"/>
          <w:szCs w:val="22"/>
        </w:rPr>
        <w:t>Der Danielkommentar des Hippolyt,</w:t>
      </w:r>
      <w:r w:rsidR="00934A11" w:rsidRPr="00B740B4">
        <w:rPr>
          <w:sz w:val="22"/>
          <w:szCs w:val="22"/>
        </w:rPr>
        <w:t>”</w:t>
      </w:r>
      <w:r w:rsidR="007C2CDF" w:rsidRPr="00B740B4">
        <w:rPr>
          <w:sz w:val="22"/>
          <w:szCs w:val="22"/>
        </w:rPr>
        <w:t xml:space="preserve"> in </w:t>
      </w:r>
      <w:r w:rsidR="007C2CDF" w:rsidRPr="00B740B4">
        <w:rPr>
          <w:bCs/>
          <w:sz w:val="22"/>
          <w:szCs w:val="22"/>
        </w:rPr>
        <w:t>Bracht/du Toit</w:t>
      </w:r>
      <w:r w:rsidR="007C2CDF" w:rsidRPr="00B740B4">
        <w:rPr>
          <w:bCs/>
          <w:i/>
          <w:iCs/>
          <w:sz w:val="22"/>
          <w:szCs w:val="22"/>
        </w:rPr>
        <w:t xml:space="preserve"> </w:t>
      </w:r>
      <w:r w:rsidR="007C2CDF" w:rsidRPr="00B740B4">
        <w:rPr>
          <w:bCs/>
          <w:iCs/>
          <w:sz w:val="22"/>
          <w:szCs w:val="22"/>
        </w:rPr>
        <w:t xml:space="preserve">(eds.), </w:t>
      </w:r>
      <w:r w:rsidR="007C2CDF" w:rsidRPr="00B740B4">
        <w:rPr>
          <w:bCs/>
          <w:i/>
          <w:iCs/>
          <w:sz w:val="22"/>
          <w:szCs w:val="22"/>
        </w:rPr>
        <w:t>Die Geschichte der Daniel-Auslegung</w:t>
      </w:r>
      <w:r w:rsidR="007C2CDF" w:rsidRPr="00B740B4">
        <w:rPr>
          <w:bCs/>
          <w:iCs/>
          <w:sz w:val="22"/>
          <w:szCs w:val="22"/>
        </w:rPr>
        <w:t>, 79-97.</w:t>
      </w:r>
      <w:r w:rsidR="007C2CDF" w:rsidRPr="00B740B4">
        <w:rPr>
          <w:i/>
          <w:sz w:val="22"/>
          <w:szCs w:val="22"/>
        </w:rPr>
        <w:t xml:space="preserve"> ———. </w:t>
      </w:r>
      <w:r w:rsidR="00AE30BD" w:rsidRPr="00B740B4">
        <w:rPr>
          <w:i/>
          <w:sz w:val="22"/>
          <w:szCs w:val="22"/>
        </w:rPr>
        <w:t xml:space="preserve">Hippolyts Schrift </w:t>
      </w:r>
      <w:r w:rsidR="00B14BA3" w:rsidRPr="00B740B4">
        <w:rPr>
          <w:sz w:val="22"/>
          <w:szCs w:val="22"/>
        </w:rPr>
        <w:t xml:space="preserve">In Danielem. </w:t>
      </w:r>
      <w:r w:rsidR="003E7CF1" w:rsidRPr="00B740B4">
        <w:rPr>
          <w:b/>
          <w:bCs/>
          <w:iCs/>
          <w:sz w:val="22"/>
          <w:szCs w:val="22"/>
        </w:rPr>
        <w:t xml:space="preserve">Bracht, K., </w:t>
      </w:r>
      <w:r w:rsidR="003E7CF1" w:rsidRPr="00C148DD">
        <w:rPr>
          <w:bCs/>
          <w:iCs/>
          <w:sz w:val="22"/>
          <w:szCs w:val="22"/>
        </w:rPr>
        <w:t>and</w:t>
      </w:r>
      <w:r w:rsidR="003E7CF1" w:rsidRPr="00B740B4">
        <w:rPr>
          <w:b/>
          <w:bCs/>
          <w:iCs/>
          <w:sz w:val="22"/>
          <w:szCs w:val="22"/>
        </w:rPr>
        <w:t xml:space="preserve"> </w:t>
      </w:r>
      <w:r w:rsidR="008E7190" w:rsidRPr="00B740B4">
        <w:rPr>
          <w:b/>
          <w:bCs/>
          <w:iCs/>
          <w:sz w:val="22"/>
          <w:szCs w:val="22"/>
        </w:rPr>
        <w:t>du Toit</w:t>
      </w:r>
      <w:r w:rsidR="003E7CF1" w:rsidRPr="00B740B4">
        <w:rPr>
          <w:b/>
          <w:bCs/>
          <w:iCs/>
          <w:sz w:val="22"/>
          <w:szCs w:val="22"/>
        </w:rPr>
        <w:t>, D. S.</w:t>
      </w:r>
      <w:r w:rsidR="008E7190" w:rsidRPr="00B740B4">
        <w:rPr>
          <w:bCs/>
          <w:i/>
          <w:iCs/>
          <w:sz w:val="22"/>
          <w:szCs w:val="22"/>
        </w:rPr>
        <w:t xml:space="preserve"> </w:t>
      </w:r>
      <w:r w:rsidR="002D0FB2" w:rsidRPr="00B740B4">
        <w:rPr>
          <w:bCs/>
          <w:iCs/>
          <w:sz w:val="22"/>
          <w:szCs w:val="22"/>
        </w:rPr>
        <w:t xml:space="preserve">(eds.). </w:t>
      </w:r>
      <w:r w:rsidR="008C0493" w:rsidRPr="00B740B4">
        <w:rPr>
          <w:bCs/>
          <w:i/>
          <w:iCs/>
          <w:sz w:val="22"/>
          <w:szCs w:val="22"/>
        </w:rPr>
        <w:t>Die Geschichte der Daniel-</w:t>
      </w:r>
      <w:r w:rsidR="008E7190" w:rsidRPr="00B740B4">
        <w:rPr>
          <w:bCs/>
          <w:i/>
          <w:iCs/>
          <w:sz w:val="22"/>
          <w:szCs w:val="22"/>
        </w:rPr>
        <w:t>Auslegung in Judentum, Christentum und Islam</w:t>
      </w:r>
      <w:r w:rsidR="008E7190" w:rsidRPr="00B740B4">
        <w:rPr>
          <w:bCs/>
          <w:iCs/>
          <w:sz w:val="22"/>
          <w:szCs w:val="22"/>
        </w:rPr>
        <w:t xml:space="preserve">. </w:t>
      </w:r>
      <w:r w:rsidR="00C06BDD" w:rsidRPr="00B740B4">
        <w:rPr>
          <w:b/>
          <w:sz w:val="22"/>
          <w:szCs w:val="22"/>
        </w:rPr>
        <w:t xml:space="preserve">Briggs, R. S. </w:t>
      </w:r>
      <w:r w:rsidR="00934A11" w:rsidRPr="00B740B4">
        <w:rPr>
          <w:sz w:val="22"/>
          <w:szCs w:val="22"/>
        </w:rPr>
        <w:t>“</w:t>
      </w:r>
      <w:r w:rsidR="00C06BDD" w:rsidRPr="00B740B4">
        <w:rPr>
          <w:sz w:val="22"/>
          <w:szCs w:val="22"/>
        </w:rPr>
        <w:t>Reading Daniel as Children’s Literature.</w:t>
      </w:r>
      <w:r w:rsidR="00934A11" w:rsidRPr="00B740B4">
        <w:rPr>
          <w:sz w:val="22"/>
          <w:szCs w:val="22"/>
        </w:rPr>
        <w:t>”</w:t>
      </w:r>
      <w:r w:rsidR="00C06BDD" w:rsidRPr="00B740B4">
        <w:rPr>
          <w:sz w:val="22"/>
          <w:szCs w:val="22"/>
        </w:rPr>
        <w:t xml:space="preserve"> </w:t>
      </w:r>
      <w:r w:rsidR="009A78F1" w:rsidRPr="00B740B4">
        <w:rPr>
          <w:b/>
          <w:bCs/>
          <w:iCs/>
          <w:sz w:val="22"/>
          <w:szCs w:val="22"/>
        </w:rPr>
        <w:t>Brock, S. P.</w:t>
      </w:r>
      <w:r w:rsidR="009A78F1" w:rsidRPr="00B740B4">
        <w:rPr>
          <w:bCs/>
          <w:iCs/>
          <w:sz w:val="22"/>
          <w:szCs w:val="22"/>
        </w:rPr>
        <w:t xml:space="preserve"> </w:t>
      </w:r>
      <w:r w:rsidR="00934A11" w:rsidRPr="00B740B4">
        <w:rPr>
          <w:bCs/>
          <w:iCs/>
          <w:sz w:val="22"/>
          <w:szCs w:val="22"/>
        </w:rPr>
        <w:t>“</w:t>
      </w:r>
      <w:r w:rsidR="009A78F1" w:rsidRPr="00B740B4">
        <w:rPr>
          <w:bCs/>
          <w:iCs/>
          <w:sz w:val="22"/>
          <w:szCs w:val="22"/>
        </w:rPr>
        <w:t>'The Young Daniel.'</w:t>
      </w:r>
      <w:r w:rsidR="00934A11" w:rsidRPr="00B740B4">
        <w:rPr>
          <w:bCs/>
          <w:iCs/>
          <w:sz w:val="22"/>
          <w:szCs w:val="22"/>
        </w:rPr>
        <w:t>“</w:t>
      </w:r>
      <w:r w:rsidR="009A78F1" w:rsidRPr="00B740B4">
        <w:rPr>
          <w:bCs/>
          <w:iCs/>
          <w:sz w:val="22"/>
          <w:szCs w:val="22"/>
        </w:rPr>
        <w:t xml:space="preserve"> </w:t>
      </w:r>
      <w:r w:rsidR="001B2642" w:rsidRPr="00B740B4">
        <w:rPr>
          <w:b/>
          <w:sz w:val="22"/>
          <w:szCs w:val="22"/>
        </w:rPr>
        <w:t>Brownlee, W. H.</w:t>
      </w:r>
      <w:r w:rsidR="001B2642" w:rsidRPr="00B740B4">
        <w:rPr>
          <w:sz w:val="22"/>
          <w:szCs w:val="22"/>
        </w:rPr>
        <w:t xml:space="preserve"> </w:t>
      </w:r>
      <w:r w:rsidR="00934A11" w:rsidRPr="00B740B4">
        <w:rPr>
          <w:sz w:val="22"/>
          <w:szCs w:val="22"/>
        </w:rPr>
        <w:t>“</w:t>
      </w:r>
      <w:r w:rsidR="001B2642" w:rsidRPr="00B740B4">
        <w:rPr>
          <w:sz w:val="22"/>
          <w:szCs w:val="22"/>
        </w:rPr>
        <w:t>The Servant of the Lord in the Qumran Scrolls.</w:t>
      </w:r>
      <w:r w:rsidR="00934A11" w:rsidRPr="00B740B4">
        <w:rPr>
          <w:sz w:val="22"/>
          <w:szCs w:val="22"/>
        </w:rPr>
        <w:t>”</w:t>
      </w:r>
      <w:r w:rsidR="001B2642" w:rsidRPr="00B740B4">
        <w:rPr>
          <w:sz w:val="22"/>
          <w:szCs w:val="22"/>
        </w:rPr>
        <w:t xml:space="preserve"> </w:t>
      </w:r>
      <w:r w:rsidR="001B2642" w:rsidRPr="00B740B4">
        <w:rPr>
          <w:b/>
          <w:sz w:val="22"/>
          <w:szCs w:val="22"/>
        </w:rPr>
        <w:t>Bruce, F. F.</w:t>
      </w:r>
      <w:r w:rsidR="001B2642" w:rsidRPr="00B740B4">
        <w:rPr>
          <w:sz w:val="22"/>
          <w:szCs w:val="22"/>
        </w:rPr>
        <w:t xml:space="preserve"> </w:t>
      </w:r>
      <w:r w:rsidR="001B2642" w:rsidRPr="00B740B4">
        <w:rPr>
          <w:i/>
          <w:sz w:val="22"/>
          <w:szCs w:val="22"/>
        </w:rPr>
        <w:t>Biblical Exegesis in the Qumran Texts</w:t>
      </w:r>
      <w:r w:rsidR="001B2642" w:rsidRPr="00B740B4">
        <w:rPr>
          <w:sz w:val="22"/>
          <w:szCs w:val="22"/>
        </w:rPr>
        <w:t xml:space="preserve">. ———. </w:t>
      </w:r>
      <w:r w:rsidR="001B2642" w:rsidRPr="00B740B4">
        <w:rPr>
          <w:i/>
          <w:sz w:val="22"/>
          <w:szCs w:val="22"/>
        </w:rPr>
        <w:t>This Is That</w:t>
      </w:r>
      <w:r w:rsidR="001B2642" w:rsidRPr="00B740B4">
        <w:rPr>
          <w:sz w:val="22"/>
          <w:szCs w:val="22"/>
        </w:rPr>
        <w:t xml:space="preserve">. ———. </w:t>
      </w:r>
      <w:r w:rsidR="00934A11" w:rsidRPr="00B740B4">
        <w:rPr>
          <w:sz w:val="22"/>
          <w:szCs w:val="22"/>
        </w:rPr>
        <w:t>“</w:t>
      </w:r>
      <w:r w:rsidR="001B2642" w:rsidRPr="00B740B4">
        <w:rPr>
          <w:sz w:val="22"/>
          <w:szCs w:val="22"/>
        </w:rPr>
        <w:t>Josephus and Daniel.</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 xml:space="preserve">The Book of Daniel and the </w:t>
      </w:r>
      <w:r w:rsidR="001B2642" w:rsidRPr="00B740B4">
        <w:rPr>
          <w:sz w:val="22"/>
          <w:szCs w:val="22"/>
        </w:rPr>
        <w:lastRenderedPageBreak/>
        <w:t>Qumran Community.</w:t>
      </w:r>
      <w:r w:rsidR="00934A11" w:rsidRPr="00B740B4">
        <w:rPr>
          <w:sz w:val="22"/>
          <w:szCs w:val="22"/>
        </w:rPr>
        <w:t>”</w:t>
      </w:r>
      <w:r w:rsidR="001B2642" w:rsidRPr="00B740B4">
        <w:rPr>
          <w:sz w:val="22"/>
          <w:szCs w:val="22"/>
        </w:rPr>
        <w:t xml:space="preserve"> </w:t>
      </w:r>
      <w:r w:rsidR="00DC2AC1" w:rsidRPr="00B740B4">
        <w:rPr>
          <w:sz w:val="22"/>
          <w:szCs w:val="22"/>
        </w:rPr>
        <w:t xml:space="preserve">———. </w:t>
      </w:r>
      <w:r w:rsidR="00934A11" w:rsidRPr="00B740B4">
        <w:rPr>
          <w:sz w:val="22"/>
          <w:szCs w:val="22"/>
        </w:rPr>
        <w:t>“</w:t>
      </w:r>
      <w:r w:rsidR="00DC2AC1" w:rsidRPr="00B740B4">
        <w:rPr>
          <w:sz w:val="22"/>
          <w:szCs w:val="22"/>
        </w:rPr>
        <w:t>The Earliest OT</w:t>
      </w:r>
      <w:r w:rsidR="001B2642" w:rsidRPr="00B740B4">
        <w:rPr>
          <w:sz w:val="22"/>
          <w:szCs w:val="22"/>
        </w:rPr>
        <w:t xml:space="preserve"> Interpretation.</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The Oldest Greek Version of Daniel.</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Prophetic Interpretation in the Septuagint.</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The Background to the Son of Man Sayings.</w:t>
      </w:r>
      <w:r w:rsidR="00934A11" w:rsidRPr="00B740B4">
        <w:rPr>
          <w:sz w:val="22"/>
          <w:szCs w:val="22"/>
        </w:rPr>
        <w:t>”</w:t>
      </w:r>
      <w:r w:rsidR="001B2642" w:rsidRPr="00B740B4">
        <w:rPr>
          <w:sz w:val="22"/>
          <w:szCs w:val="22"/>
        </w:rPr>
        <w:t xml:space="preserve"> </w:t>
      </w:r>
      <w:r w:rsidR="001B2642" w:rsidRPr="00B740B4">
        <w:rPr>
          <w:b/>
          <w:sz w:val="22"/>
          <w:szCs w:val="22"/>
        </w:rPr>
        <w:t>Buchanan, H.</w:t>
      </w:r>
      <w:r w:rsidR="001B2642" w:rsidRPr="00B740B4">
        <w:rPr>
          <w:sz w:val="22"/>
          <w:szCs w:val="22"/>
        </w:rPr>
        <w:t xml:space="preserve"> </w:t>
      </w:r>
      <w:r w:rsidR="00934A11" w:rsidRPr="00B740B4">
        <w:rPr>
          <w:sz w:val="22"/>
          <w:szCs w:val="22"/>
        </w:rPr>
        <w:t>“</w:t>
      </w:r>
      <w:r w:rsidR="001B2642" w:rsidRPr="00B740B4">
        <w:rPr>
          <w:sz w:val="22"/>
          <w:szCs w:val="22"/>
        </w:rPr>
        <w:t>Luther and the Turks.</w:t>
      </w:r>
      <w:r w:rsidR="00934A11" w:rsidRPr="00B740B4">
        <w:rPr>
          <w:sz w:val="22"/>
          <w:szCs w:val="22"/>
        </w:rPr>
        <w:t>”</w:t>
      </w:r>
      <w:r w:rsidR="001B2642" w:rsidRPr="00B740B4">
        <w:rPr>
          <w:sz w:val="22"/>
          <w:szCs w:val="22"/>
        </w:rPr>
        <w:t xml:space="preserve"> </w:t>
      </w:r>
      <w:r w:rsidR="001B2642" w:rsidRPr="00B740B4">
        <w:rPr>
          <w:b/>
          <w:sz w:val="22"/>
          <w:szCs w:val="22"/>
        </w:rPr>
        <w:t>Burrows, E.</w:t>
      </w:r>
      <w:r w:rsidR="001B2642" w:rsidRPr="00B740B4">
        <w:rPr>
          <w:sz w:val="22"/>
          <w:szCs w:val="22"/>
        </w:rPr>
        <w:t xml:space="preserve"> </w:t>
      </w:r>
      <w:r w:rsidR="00B0714F" w:rsidRPr="00B740B4">
        <w:rPr>
          <w:i/>
          <w:sz w:val="22"/>
          <w:szCs w:val="22"/>
        </w:rPr>
        <w:t>The Gospel</w:t>
      </w:r>
      <w:r w:rsidR="001B2642" w:rsidRPr="00B740B4">
        <w:rPr>
          <w:i/>
          <w:sz w:val="22"/>
          <w:szCs w:val="22"/>
        </w:rPr>
        <w:t xml:space="preserve"> of the Infancy</w:t>
      </w:r>
      <w:r w:rsidR="001B2642" w:rsidRPr="00B740B4">
        <w:rPr>
          <w:sz w:val="22"/>
          <w:szCs w:val="22"/>
        </w:rPr>
        <w:t xml:space="preserve">. </w:t>
      </w:r>
      <w:r w:rsidR="001B2642" w:rsidRPr="00B740B4">
        <w:rPr>
          <w:b/>
          <w:sz w:val="22"/>
          <w:szCs w:val="22"/>
        </w:rPr>
        <w:t>Busto Saiz, J. R.</w:t>
      </w:r>
      <w:r w:rsidR="001B2642" w:rsidRPr="00B740B4">
        <w:rPr>
          <w:sz w:val="22"/>
          <w:szCs w:val="22"/>
        </w:rPr>
        <w:t xml:space="preserve"> </w:t>
      </w:r>
      <w:r w:rsidR="00934A11" w:rsidRPr="00B740B4">
        <w:rPr>
          <w:sz w:val="22"/>
          <w:szCs w:val="22"/>
        </w:rPr>
        <w:t>“</w:t>
      </w:r>
      <w:r w:rsidR="001B2642" w:rsidRPr="00B740B4">
        <w:rPr>
          <w:sz w:val="22"/>
          <w:szCs w:val="22"/>
        </w:rPr>
        <w:t>El texto teodociónico de Daniel y la traducción de Símaco.</w:t>
      </w:r>
      <w:r w:rsidR="00934A11" w:rsidRPr="00B740B4">
        <w:rPr>
          <w:sz w:val="22"/>
          <w:szCs w:val="22"/>
        </w:rPr>
        <w:t>”</w:t>
      </w:r>
      <w:r w:rsidR="001B2642" w:rsidRPr="00B740B4">
        <w:rPr>
          <w:sz w:val="22"/>
          <w:szCs w:val="22"/>
        </w:rPr>
        <w:t xml:space="preserve"> </w:t>
      </w:r>
      <w:r w:rsidR="001B2642" w:rsidRPr="00B740B4">
        <w:rPr>
          <w:b/>
          <w:sz w:val="22"/>
          <w:szCs w:val="22"/>
        </w:rPr>
        <w:t>Butterworth, C. C.,</w:t>
      </w:r>
      <w:r w:rsidR="001B2642" w:rsidRPr="00B740B4">
        <w:rPr>
          <w:sz w:val="22"/>
          <w:szCs w:val="22"/>
        </w:rPr>
        <w:t xml:space="preserve"> </w:t>
      </w:r>
      <w:r w:rsidR="001B2642" w:rsidRPr="00C148DD">
        <w:rPr>
          <w:sz w:val="22"/>
          <w:szCs w:val="22"/>
        </w:rPr>
        <w:t>and</w:t>
      </w:r>
      <w:r w:rsidR="001B2642" w:rsidRPr="00B740B4">
        <w:rPr>
          <w:sz w:val="22"/>
          <w:szCs w:val="22"/>
        </w:rPr>
        <w:t xml:space="preserve"> </w:t>
      </w:r>
      <w:r w:rsidR="001B2642" w:rsidRPr="00B740B4">
        <w:rPr>
          <w:b/>
          <w:sz w:val="22"/>
          <w:szCs w:val="22"/>
        </w:rPr>
        <w:t>Chester, A. G.</w:t>
      </w:r>
      <w:r w:rsidR="001B2642" w:rsidRPr="00B740B4">
        <w:rPr>
          <w:sz w:val="22"/>
          <w:szCs w:val="22"/>
        </w:rPr>
        <w:t xml:space="preserve"> </w:t>
      </w:r>
      <w:r w:rsidR="001B2642" w:rsidRPr="00B740B4">
        <w:rPr>
          <w:i/>
          <w:sz w:val="22"/>
          <w:szCs w:val="22"/>
        </w:rPr>
        <w:t>George Joye</w:t>
      </w:r>
      <w:r w:rsidR="00EA5C48" w:rsidRPr="00B740B4">
        <w:rPr>
          <w:sz w:val="22"/>
          <w:szCs w:val="22"/>
        </w:rPr>
        <w:t>,</w:t>
      </w:r>
      <w:r w:rsidR="001B2642" w:rsidRPr="00B740B4">
        <w:rPr>
          <w:sz w:val="22"/>
          <w:szCs w:val="22"/>
        </w:rPr>
        <w:t xml:space="preserve"> 235–44. </w:t>
      </w:r>
      <w:r w:rsidR="00696F9D" w:rsidRPr="00B740B4">
        <w:rPr>
          <w:b/>
          <w:sz w:val="22"/>
          <w:szCs w:val="22"/>
        </w:rPr>
        <w:t>Campi, E.</w:t>
      </w:r>
      <w:r w:rsidR="00696F9D" w:rsidRPr="00B740B4">
        <w:rPr>
          <w:sz w:val="22"/>
          <w:szCs w:val="22"/>
        </w:rPr>
        <w:t xml:space="preserve"> </w:t>
      </w:r>
      <w:r w:rsidR="00934A11" w:rsidRPr="00B740B4">
        <w:rPr>
          <w:sz w:val="22"/>
          <w:szCs w:val="22"/>
        </w:rPr>
        <w:t>“</w:t>
      </w:r>
      <w:r w:rsidR="00696F9D" w:rsidRPr="00B740B4">
        <w:rPr>
          <w:sz w:val="22"/>
          <w:szCs w:val="22"/>
        </w:rPr>
        <w:t>Über das Ende des Weltzeitalters,</w:t>
      </w:r>
      <w:r w:rsidR="00934A11" w:rsidRPr="00B740B4">
        <w:rPr>
          <w:sz w:val="22"/>
          <w:szCs w:val="22"/>
        </w:rPr>
        <w:t>”</w:t>
      </w:r>
      <w:r w:rsidR="00696F9D" w:rsidRPr="00B740B4">
        <w:rPr>
          <w:sz w:val="22"/>
          <w:szCs w:val="22"/>
        </w:rPr>
        <w:t xml:space="preserve"> in </w:t>
      </w:r>
      <w:r w:rsidR="00381CF4" w:rsidRPr="00B740B4">
        <w:rPr>
          <w:bCs/>
          <w:sz w:val="22"/>
          <w:szCs w:val="22"/>
        </w:rPr>
        <w:t>Delgado/Koch/Marsch</w:t>
      </w:r>
      <w:r w:rsidR="00696F9D" w:rsidRPr="00B740B4">
        <w:rPr>
          <w:bCs/>
          <w:sz w:val="22"/>
          <w:szCs w:val="22"/>
        </w:rPr>
        <w:t xml:space="preserve"> (eds.), </w:t>
      </w:r>
      <w:r w:rsidR="00696F9D" w:rsidRPr="00B740B4">
        <w:rPr>
          <w:bCs/>
          <w:i/>
          <w:sz w:val="22"/>
          <w:szCs w:val="22"/>
        </w:rPr>
        <w:t>Europa, Tausendjähriges Reich und Neue Welt</w:t>
      </w:r>
      <w:r w:rsidR="00696F9D" w:rsidRPr="00B740B4">
        <w:rPr>
          <w:bCs/>
          <w:sz w:val="22"/>
          <w:szCs w:val="22"/>
        </w:rPr>
        <w:t xml:space="preserve">, 225-38. </w:t>
      </w:r>
      <w:r w:rsidR="001B2642" w:rsidRPr="00B740B4">
        <w:rPr>
          <w:b/>
          <w:sz w:val="22"/>
          <w:szCs w:val="22"/>
        </w:rPr>
        <w:t>Capp, B. S.</w:t>
      </w:r>
      <w:r w:rsidR="001B2642" w:rsidRPr="00B740B4">
        <w:rPr>
          <w:sz w:val="22"/>
          <w:szCs w:val="22"/>
        </w:rPr>
        <w:t xml:space="preserve"> </w:t>
      </w:r>
      <w:r w:rsidR="00934A11" w:rsidRPr="00B740B4">
        <w:rPr>
          <w:sz w:val="22"/>
          <w:szCs w:val="22"/>
        </w:rPr>
        <w:t>“</w:t>
      </w:r>
      <w:r w:rsidR="00AD1D14" w:rsidRPr="00B740B4">
        <w:rPr>
          <w:sz w:val="22"/>
          <w:szCs w:val="22"/>
        </w:rPr>
        <w:t>The Fifth Monarchists.</w:t>
      </w:r>
      <w:r w:rsidR="00934A11" w:rsidRPr="00B740B4">
        <w:rPr>
          <w:sz w:val="22"/>
          <w:szCs w:val="22"/>
        </w:rPr>
        <w:t>”</w:t>
      </w:r>
      <w:r w:rsidR="00AD1D14" w:rsidRPr="00B740B4">
        <w:rPr>
          <w:sz w:val="22"/>
          <w:szCs w:val="22"/>
        </w:rPr>
        <w:t xml:space="preserve"> ———. </w:t>
      </w:r>
      <w:r w:rsidR="001B2642" w:rsidRPr="00B740B4">
        <w:rPr>
          <w:i/>
          <w:sz w:val="22"/>
          <w:szCs w:val="22"/>
        </w:rPr>
        <w:t>The Fifth-Monarchy Men</w:t>
      </w:r>
      <w:r w:rsidR="001B2642" w:rsidRPr="00B740B4">
        <w:rPr>
          <w:sz w:val="22"/>
          <w:szCs w:val="22"/>
        </w:rPr>
        <w:t xml:space="preserve">. </w:t>
      </w:r>
      <w:r w:rsidR="001B2642" w:rsidRPr="00B740B4">
        <w:rPr>
          <w:b/>
          <w:sz w:val="22"/>
          <w:szCs w:val="22"/>
        </w:rPr>
        <w:t>Carmignac, J.</w:t>
      </w:r>
      <w:r w:rsidR="001B2642" w:rsidRPr="00B740B4">
        <w:rPr>
          <w:sz w:val="22"/>
          <w:szCs w:val="22"/>
        </w:rPr>
        <w:t xml:space="preserve"> </w:t>
      </w:r>
      <w:r w:rsidR="00934A11" w:rsidRPr="00B740B4">
        <w:rPr>
          <w:sz w:val="22"/>
          <w:szCs w:val="22"/>
        </w:rPr>
        <w:t>“</w:t>
      </w:r>
      <w:r w:rsidR="001B2642" w:rsidRPr="00B740B4">
        <w:rPr>
          <w:sz w:val="22"/>
          <w:szCs w:val="22"/>
        </w:rPr>
        <w:t>Les citations de l’AT dans ‘La Guerre des Fils de Lumière contre les Fils de Ténèbres.’</w:t>
      </w:r>
      <w:r w:rsidR="00934A11" w:rsidRPr="00B740B4">
        <w:rPr>
          <w:sz w:val="22"/>
          <w:szCs w:val="22"/>
        </w:rPr>
        <w:t>”</w:t>
      </w:r>
      <w:r w:rsidR="001B2642" w:rsidRPr="00B740B4">
        <w:rPr>
          <w:sz w:val="22"/>
          <w:szCs w:val="22"/>
        </w:rPr>
        <w:t xml:space="preserve"> </w:t>
      </w:r>
      <w:r w:rsidR="001B2642" w:rsidRPr="00B740B4">
        <w:rPr>
          <w:b/>
          <w:sz w:val="22"/>
          <w:szCs w:val="22"/>
        </w:rPr>
        <w:t>Casey, [P.] M.</w:t>
      </w:r>
      <w:r w:rsidR="001B2642" w:rsidRPr="00B740B4">
        <w:rPr>
          <w:sz w:val="22"/>
          <w:szCs w:val="22"/>
        </w:rPr>
        <w:t xml:space="preserve"> </w:t>
      </w:r>
      <w:r w:rsidR="0083010F" w:rsidRPr="00B740B4">
        <w:rPr>
          <w:sz w:val="22"/>
          <w:szCs w:val="22"/>
        </w:rPr>
        <w:t>“The Corporate Interpretation of ‘One Like a Son of Man’ (Dan. vii 13) at the Time of Jesus.” ———. “Porphyry and the Origin of the Book of Daniel.” ———.”Porphyry and Syrian Exegesis of the Book of Daniel.” ———.</w:t>
      </w:r>
      <w:r w:rsidR="000A71BF" w:rsidRPr="00B740B4">
        <w:rPr>
          <w:i/>
          <w:sz w:val="22"/>
          <w:szCs w:val="22"/>
        </w:rPr>
        <w:t xml:space="preserve">The Solution to the </w:t>
      </w:r>
      <w:r w:rsidR="00934A11" w:rsidRPr="00B740B4">
        <w:rPr>
          <w:i/>
          <w:sz w:val="22"/>
          <w:szCs w:val="22"/>
        </w:rPr>
        <w:t>“</w:t>
      </w:r>
      <w:r w:rsidR="000A71BF" w:rsidRPr="00B740B4">
        <w:rPr>
          <w:i/>
          <w:sz w:val="22"/>
          <w:szCs w:val="22"/>
        </w:rPr>
        <w:t>Son of Man</w:t>
      </w:r>
      <w:r w:rsidR="00934A11" w:rsidRPr="00B740B4">
        <w:rPr>
          <w:i/>
          <w:sz w:val="22"/>
          <w:szCs w:val="22"/>
        </w:rPr>
        <w:t>”</w:t>
      </w:r>
      <w:r w:rsidR="000A71BF" w:rsidRPr="00B740B4">
        <w:rPr>
          <w:i/>
          <w:sz w:val="22"/>
          <w:szCs w:val="22"/>
        </w:rPr>
        <w:t xml:space="preserve"> Problem.</w:t>
      </w:r>
      <w:r w:rsidR="000A71BF" w:rsidRPr="00B740B4">
        <w:rPr>
          <w:sz w:val="22"/>
          <w:szCs w:val="22"/>
        </w:rPr>
        <w:t xml:space="preserve"> </w:t>
      </w:r>
      <w:r w:rsidR="000A71BF" w:rsidRPr="00B740B4">
        <w:rPr>
          <w:i/>
          <w:sz w:val="22"/>
          <w:szCs w:val="22"/>
        </w:rPr>
        <w:t xml:space="preserve">———.  </w:t>
      </w:r>
      <w:r w:rsidR="001B2642" w:rsidRPr="00B740B4">
        <w:rPr>
          <w:i/>
          <w:sz w:val="22"/>
          <w:szCs w:val="22"/>
        </w:rPr>
        <w:t>Son of Man</w:t>
      </w:r>
      <w:r w:rsidR="001B2642" w:rsidRPr="00B740B4">
        <w:rPr>
          <w:sz w:val="22"/>
          <w:szCs w:val="22"/>
        </w:rPr>
        <w:t xml:space="preserve">. ———. </w:t>
      </w:r>
      <w:r w:rsidR="00934A11" w:rsidRPr="00B740B4">
        <w:rPr>
          <w:sz w:val="22"/>
          <w:szCs w:val="22"/>
        </w:rPr>
        <w:t>“</w:t>
      </w:r>
      <w:r w:rsidR="001B2642" w:rsidRPr="00B740B4">
        <w:rPr>
          <w:sz w:val="22"/>
          <w:szCs w:val="22"/>
        </w:rPr>
        <w:t>The Use of the Term ‘Son of Man’ in the Similitudes of Enoch.</w:t>
      </w:r>
      <w:r w:rsidR="00934A11" w:rsidRPr="00B740B4">
        <w:rPr>
          <w:sz w:val="22"/>
          <w:szCs w:val="22"/>
        </w:rPr>
        <w:t>”</w:t>
      </w:r>
      <w:r w:rsidR="001B2642" w:rsidRPr="00B740B4">
        <w:rPr>
          <w:sz w:val="22"/>
          <w:szCs w:val="22"/>
        </w:rPr>
        <w:t xml:space="preserve"> </w:t>
      </w:r>
      <w:r w:rsidR="005B75C6" w:rsidRPr="00B740B4">
        <w:rPr>
          <w:b/>
          <w:sz w:val="22"/>
          <w:szCs w:val="22"/>
        </w:rPr>
        <w:t>Cathcart, K.</w:t>
      </w:r>
      <w:r w:rsidR="005B75C6" w:rsidRPr="00B740B4">
        <w:rPr>
          <w:sz w:val="22"/>
          <w:szCs w:val="22"/>
        </w:rPr>
        <w:t xml:space="preserve"> </w:t>
      </w:r>
      <w:r w:rsidR="00934A11" w:rsidRPr="00B740B4">
        <w:rPr>
          <w:sz w:val="22"/>
          <w:szCs w:val="22"/>
        </w:rPr>
        <w:t>“</w:t>
      </w:r>
      <w:r w:rsidR="005B75C6" w:rsidRPr="00B740B4">
        <w:rPr>
          <w:sz w:val="22"/>
          <w:szCs w:val="22"/>
        </w:rPr>
        <w:t>Daniel, especially the Additions, and Chester Beatty-Cologne Papyrus 967.</w:t>
      </w:r>
      <w:r w:rsidR="00934A11" w:rsidRPr="00B740B4">
        <w:rPr>
          <w:sz w:val="22"/>
          <w:szCs w:val="22"/>
        </w:rPr>
        <w:t>”</w:t>
      </w:r>
      <w:r w:rsidR="005B75C6" w:rsidRPr="00B740B4">
        <w:rPr>
          <w:sz w:val="22"/>
          <w:szCs w:val="22"/>
        </w:rPr>
        <w:t xml:space="preserve"> </w:t>
      </w:r>
      <w:r w:rsidR="00276EC0" w:rsidRPr="00B740B4">
        <w:rPr>
          <w:b/>
          <w:bCs/>
          <w:sz w:val="22"/>
          <w:szCs w:val="22"/>
        </w:rPr>
        <w:t xml:space="preserve">Chazan, R. </w:t>
      </w:r>
      <w:r w:rsidR="00934A11" w:rsidRPr="00B740B4">
        <w:rPr>
          <w:b/>
          <w:bCs/>
          <w:sz w:val="22"/>
          <w:szCs w:val="22"/>
        </w:rPr>
        <w:t>“</w:t>
      </w:r>
      <w:r w:rsidR="000A71BF" w:rsidRPr="00B740B4">
        <w:rPr>
          <w:bCs/>
          <w:sz w:val="22"/>
          <w:szCs w:val="22"/>
        </w:rPr>
        <w:t>Daniel 9:24-27</w:t>
      </w:r>
      <w:r w:rsidR="00276EC0" w:rsidRPr="00B740B4">
        <w:rPr>
          <w:bCs/>
          <w:sz w:val="22"/>
          <w:szCs w:val="22"/>
        </w:rPr>
        <w:t>.</w:t>
      </w:r>
      <w:r w:rsidR="00934A11" w:rsidRPr="00B740B4">
        <w:rPr>
          <w:bCs/>
          <w:sz w:val="22"/>
          <w:szCs w:val="22"/>
        </w:rPr>
        <w:t>”</w:t>
      </w:r>
      <w:r w:rsidR="00276EC0" w:rsidRPr="00B740B4">
        <w:rPr>
          <w:b/>
          <w:sz w:val="22"/>
          <w:szCs w:val="22"/>
        </w:rPr>
        <w:t xml:space="preserve"> </w:t>
      </w:r>
      <w:r w:rsidR="00236AFC" w:rsidRPr="00B740B4">
        <w:rPr>
          <w:rFonts w:eastAsiaTheme="minorHAnsi" w:cs="TimesNewRomanPS-BoldMT"/>
          <w:b/>
          <w:bCs/>
          <w:sz w:val="22"/>
          <w:szCs w:val="22"/>
        </w:rPr>
        <w:t>Cohen</w:t>
      </w:r>
      <w:r w:rsidR="00236AFC" w:rsidRPr="00B740B4">
        <w:rPr>
          <w:rFonts w:eastAsiaTheme="minorHAnsi" w:cs="TimesNewRomanPS-BoldMT"/>
          <w:bCs/>
          <w:sz w:val="22"/>
          <w:szCs w:val="22"/>
        </w:rPr>
        <w:t xml:space="preserve">, </w:t>
      </w:r>
      <w:r w:rsidR="00C148DD">
        <w:rPr>
          <w:rFonts w:eastAsiaTheme="minorHAnsi" w:cs="TimesNewRomanPS-BoldMT"/>
          <w:b/>
          <w:bCs/>
          <w:sz w:val="22"/>
          <w:szCs w:val="22"/>
        </w:rPr>
        <w:t>G. D.</w:t>
      </w:r>
      <w:r w:rsidR="00236AFC" w:rsidRPr="00B740B4">
        <w:rPr>
          <w:rFonts w:eastAsiaTheme="minorHAnsi" w:cs="TimesNewRomanPS-BoldMT"/>
          <w:bCs/>
          <w:sz w:val="22"/>
          <w:szCs w:val="22"/>
        </w:rPr>
        <w:t xml:space="preserve"> </w:t>
      </w:r>
      <w:r w:rsidR="00236AFC" w:rsidRPr="00B740B4">
        <w:rPr>
          <w:rFonts w:eastAsiaTheme="minorHAnsi" w:cs="TimesNewRomanPS-BoldMT"/>
          <w:bCs/>
          <w:i/>
          <w:sz w:val="22"/>
          <w:szCs w:val="22"/>
        </w:rPr>
        <w:t>The Book of Tradition by Abraham Ibn Daud</w:t>
      </w:r>
      <w:r w:rsidR="00236AFC" w:rsidRPr="00B740B4">
        <w:rPr>
          <w:rFonts w:eastAsiaTheme="minorHAnsi" w:cs="TimesNewRomanPS-BoldMT"/>
          <w:bCs/>
          <w:sz w:val="22"/>
          <w:szCs w:val="22"/>
        </w:rPr>
        <w:t>.</w:t>
      </w:r>
      <w:r w:rsidR="00236AFC" w:rsidRPr="00B740B4">
        <w:rPr>
          <w:rFonts w:eastAsiaTheme="minorHAnsi" w:cs="TimesNewRomanPS-BoldMT"/>
          <w:bCs/>
          <w:i/>
          <w:sz w:val="22"/>
          <w:szCs w:val="22"/>
        </w:rPr>
        <w:t xml:space="preserve"> </w:t>
      </w:r>
      <w:r w:rsidR="00236AFC" w:rsidRPr="00B740B4">
        <w:rPr>
          <w:rFonts w:eastAsiaTheme="minorHAnsi" w:cs="TimesNewRomanPS-BoldMT"/>
          <w:bCs/>
          <w:sz w:val="22"/>
          <w:szCs w:val="22"/>
        </w:rPr>
        <w:t xml:space="preserve"> </w:t>
      </w:r>
      <w:r w:rsidR="00276EC0" w:rsidRPr="00B740B4">
        <w:rPr>
          <w:rFonts w:eastAsiaTheme="minorHAnsi" w:cs="TimesNewRomanPS-BoldMT"/>
          <w:b/>
          <w:bCs/>
          <w:sz w:val="22"/>
          <w:szCs w:val="22"/>
        </w:rPr>
        <w:t>Cohn, N.</w:t>
      </w:r>
      <w:r w:rsidR="00276EC0" w:rsidRPr="00B740B4">
        <w:rPr>
          <w:rFonts w:eastAsiaTheme="minorHAnsi" w:cs="TimesNewRomanPS-BoldMT"/>
          <w:bCs/>
          <w:sz w:val="22"/>
          <w:szCs w:val="22"/>
        </w:rPr>
        <w:t xml:space="preserve"> </w:t>
      </w:r>
      <w:r w:rsidR="00276EC0" w:rsidRPr="00B740B4">
        <w:rPr>
          <w:rFonts w:eastAsiaTheme="minorHAnsi" w:cs="TimesNewRomanPS-BoldMT"/>
          <w:bCs/>
          <w:i/>
          <w:sz w:val="22"/>
          <w:szCs w:val="22"/>
        </w:rPr>
        <w:t>The Pursuit of the Millennium</w:t>
      </w:r>
      <w:r w:rsidR="00276EC0" w:rsidRPr="00B740B4">
        <w:rPr>
          <w:rFonts w:eastAsiaTheme="minorHAnsi" w:cs="TimesNewRomanPS-BoldMT"/>
          <w:bCs/>
          <w:sz w:val="22"/>
          <w:szCs w:val="22"/>
        </w:rPr>
        <w:t xml:space="preserve">. </w:t>
      </w:r>
      <w:r w:rsidR="002D0FB2" w:rsidRPr="00B740B4">
        <w:rPr>
          <w:rFonts w:eastAsiaTheme="minorHAnsi" w:cs="TimesNewRomanPS-BoldMT"/>
          <w:b/>
          <w:bCs/>
          <w:sz w:val="22"/>
          <w:szCs w:val="22"/>
        </w:rPr>
        <w:t>Collins, J. J.</w:t>
      </w:r>
      <w:r w:rsidR="00A36A66" w:rsidRPr="00B740B4">
        <w:rPr>
          <w:rFonts w:eastAsiaTheme="minorHAnsi" w:cs="TimesNewRomanPS-BoldMT"/>
          <w:bCs/>
          <w:sz w:val="22"/>
          <w:szCs w:val="22"/>
        </w:rPr>
        <w:t xml:space="preserve"> </w:t>
      </w:r>
      <w:r w:rsidR="00934A11" w:rsidRPr="00B740B4">
        <w:rPr>
          <w:rFonts w:eastAsiaTheme="minorHAnsi" w:cs="TimesNewRomanPS-BoldMT"/>
          <w:bCs/>
          <w:sz w:val="22"/>
          <w:szCs w:val="22"/>
        </w:rPr>
        <w:t>“</w:t>
      </w:r>
      <w:r w:rsidR="00A60285" w:rsidRPr="00B740B4">
        <w:rPr>
          <w:rFonts w:eastAsiaTheme="minorHAnsi" w:cs="TimesNewRomanPS-BoldMT"/>
          <w:bCs/>
          <w:sz w:val="22"/>
          <w:szCs w:val="22"/>
        </w:rPr>
        <w:t>The Book of Daniel and the Dead Sea Scrolls.</w:t>
      </w:r>
      <w:r w:rsidR="00934A11" w:rsidRPr="00B740B4">
        <w:rPr>
          <w:rFonts w:eastAsiaTheme="minorHAnsi" w:cs="TimesNewRomanPS-BoldMT"/>
          <w:bCs/>
          <w:sz w:val="22"/>
          <w:szCs w:val="22"/>
        </w:rPr>
        <w:t>”</w:t>
      </w:r>
      <w:r w:rsidR="00A60285" w:rsidRPr="00B740B4">
        <w:rPr>
          <w:rFonts w:eastAsiaTheme="minorHAnsi" w:cs="TimesNewRomanPS-BoldMT"/>
          <w:bCs/>
          <w:sz w:val="22"/>
          <w:szCs w:val="22"/>
        </w:rPr>
        <w:t xml:space="preserve"> ———. </w:t>
      </w:r>
      <w:r w:rsidR="00934A11" w:rsidRPr="00B740B4">
        <w:rPr>
          <w:rFonts w:eastAsiaTheme="minorHAnsi" w:cs="TimesNewRomanPS-BoldMT"/>
          <w:bCs/>
          <w:sz w:val="22"/>
          <w:szCs w:val="22"/>
        </w:rPr>
        <w:t>“</w:t>
      </w:r>
      <w:r w:rsidR="00A36A66" w:rsidRPr="00B740B4">
        <w:rPr>
          <w:rFonts w:eastAsiaTheme="minorHAnsi" w:cs="TimesNewRomanPS-BoldMT"/>
          <w:bCs/>
          <w:sz w:val="22"/>
          <w:szCs w:val="22"/>
        </w:rPr>
        <w:t>Current</w:t>
      </w:r>
      <w:r w:rsidR="000A71BF" w:rsidRPr="00B740B4">
        <w:rPr>
          <w:rFonts w:eastAsiaTheme="minorHAnsi" w:cs="TimesNewRomanPS-BoldMT"/>
          <w:bCs/>
          <w:sz w:val="22"/>
          <w:szCs w:val="22"/>
        </w:rPr>
        <w:t xml:space="preserve"> Issues in the Study of Daniel,</w:t>
      </w:r>
      <w:r w:rsidR="00934A11" w:rsidRPr="00B740B4">
        <w:rPr>
          <w:rFonts w:eastAsiaTheme="minorHAnsi" w:cs="TimesNewRomanPS-BoldMT"/>
          <w:bCs/>
          <w:sz w:val="22"/>
          <w:szCs w:val="22"/>
        </w:rPr>
        <w:t>”</w:t>
      </w:r>
      <w:r w:rsidR="000A71BF" w:rsidRPr="00B740B4">
        <w:rPr>
          <w:rFonts w:eastAsiaTheme="minorHAnsi" w:cs="TimesNewRomanPS-BoldMT"/>
          <w:bCs/>
          <w:sz w:val="22"/>
          <w:szCs w:val="22"/>
        </w:rPr>
        <w:t xml:space="preserve"> i</w:t>
      </w:r>
      <w:r w:rsidR="002D0FB2" w:rsidRPr="00B740B4">
        <w:rPr>
          <w:rFonts w:eastAsiaTheme="minorHAnsi" w:cs="TimesNewRomanPS-BoldMT"/>
          <w:bCs/>
          <w:sz w:val="22"/>
          <w:szCs w:val="22"/>
        </w:rPr>
        <w:t xml:space="preserve">n Collins/Flint (eds.), </w:t>
      </w:r>
      <w:r w:rsidR="002D0FB2" w:rsidRPr="00B740B4">
        <w:rPr>
          <w:rFonts w:eastAsiaTheme="minorHAnsi" w:cs="TimesNewRomanPS-BoldMT"/>
          <w:bCs/>
          <w:i/>
          <w:sz w:val="22"/>
          <w:szCs w:val="22"/>
        </w:rPr>
        <w:t xml:space="preserve">The Book of </w:t>
      </w:r>
      <w:r w:rsidR="00856F94" w:rsidRPr="00B740B4">
        <w:rPr>
          <w:rFonts w:eastAsiaTheme="minorHAnsi" w:cs="TimesNewRomanPS-BoldMT"/>
          <w:bCs/>
          <w:i/>
          <w:sz w:val="22"/>
          <w:szCs w:val="22"/>
        </w:rPr>
        <w:t>Daniel</w:t>
      </w:r>
      <w:r w:rsidR="00773E9B" w:rsidRPr="00B740B4">
        <w:rPr>
          <w:rFonts w:eastAsiaTheme="minorHAnsi" w:cs="TimesNewRomanPS-BoldMT"/>
          <w:bCs/>
          <w:sz w:val="22"/>
          <w:szCs w:val="22"/>
        </w:rPr>
        <w:t xml:space="preserve"> </w:t>
      </w:r>
      <w:r w:rsidR="00245B52" w:rsidRPr="00B740B4">
        <w:rPr>
          <w:rFonts w:eastAsiaTheme="minorHAnsi" w:cs="TimesNewRomanPS-BoldMT"/>
          <w:bCs/>
          <w:sz w:val="22"/>
          <w:szCs w:val="22"/>
        </w:rPr>
        <w:t>1:</w:t>
      </w:r>
      <w:r w:rsidR="00773E9B" w:rsidRPr="00B740B4">
        <w:rPr>
          <w:rFonts w:eastAsiaTheme="minorHAnsi" w:cs="TimesNewRomanPS-BoldMT"/>
          <w:bCs/>
          <w:sz w:val="22"/>
          <w:szCs w:val="22"/>
        </w:rPr>
        <w:t>1-15.</w:t>
      </w:r>
      <w:r w:rsidR="00A36A66" w:rsidRPr="00B740B4">
        <w:rPr>
          <w:rFonts w:eastAsiaTheme="minorHAnsi" w:cs="TimesNewRomanPS-BoldMT"/>
          <w:bCs/>
          <w:sz w:val="22"/>
          <w:szCs w:val="22"/>
        </w:rPr>
        <w:t xml:space="preserve"> ———. </w:t>
      </w:r>
      <w:r w:rsidR="00934A11" w:rsidRPr="00B740B4">
        <w:rPr>
          <w:rFonts w:eastAsiaTheme="minorHAnsi" w:cs="TimesNewRomanPS-BoldMT"/>
          <w:bCs/>
          <w:sz w:val="22"/>
          <w:szCs w:val="22"/>
        </w:rPr>
        <w:t>“</w:t>
      </w:r>
      <w:r w:rsidR="00427491" w:rsidRPr="00B740B4">
        <w:rPr>
          <w:rFonts w:eastAsiaTheme="minorHAnsi" w:cs="TimesNewRomanPS-BoldMT"/>
          <w:bCs/>
          <w:sz w:val="22"/>
          <w:szCs w:val="22"/>
        </w:rPr>
        <w:t>Daniel,</w:t>
      </w:r>
      <w:r w:rsidR="00934A11" w:rsidRPr="00B740B4">
        <w:rPr>
          <w:rFonts w:eastAsiaTheme="minorHAnsi" w:cs="TimesNewRomanPS-BoldMT"/>
          <w:bCs/>
          <w:sz w:val="22"/>
          <w:szCs w:val="22"/>
        </w:rPr>
        <w:t>”</w:t>
      </w:r>
      <w:r w:rsidR="00A36A66" w:rsidRPr="00B740B4">
        <w:rPr>
          <w:rFonts w:eastAsiaTheme="minorHAnsi" w:cs="TimesNewRomanPS-BoldMT"/>
          <w:bCs/>
          <w:sz w:val="22"/>
          <w:szCs w:val="22"/>
        </w:rPr>
        <w:t xml:space="preserve"> </w:t>
      </w:r>
      <w:r w:rsidR="000A71BF" w:rsidRPr="00B740B4">
        <w:rPr>
          <w:rFonts w:eastAsiaTheme="minorHAnsi" w:cs="TimesNewRomanPS-BoldMT"/>
          <w:bCs/>
          <w:sz w:val="22"/>
          <w:szCs w:val="22"/>
        </w:rPr>
        <w:t xml:space="preserve">in </w:t>
      </w:r>
      <w:hyperlink r:id="rId10" w:history="1">
        <w:r w:rsidR="00A36A66" w:rsidRPr="00C148DD">
          <w:rPr>
            <w:rStyle w:val="Hyperlink"/>
            <w:i/>
            <w:sz w:val="22"/>
            <w:szCs w:val="22"/>
            <w:u w:val="none"/>
          </w:rPr>
          <w:t>The Oxford Handbook of the Reception History of the Bible</w:t>
        </w:r>
        <w:r w:rsidR="008D60E7" w:rsidRPr="00C148DD">
          <w:rPr>
            <w:rStyle w:val="Hyperlink"/>
            <w:rFonts w:eastAsiaTheme="minorHAnsi" w:cs="TimesNewRomanPS-BoldMT"/>
            <w:bCs/>
            <w:sz w:val="22"/>
            <w:szCs w:val="22"/>
            <w:u w:val="none"/>
          </w:rPr>
          <w:t>.</w:t>
        </w:r>
        <w:r w:rsidR="00A36A66" w:rsidRPr="00C148DD">
          <w:rPr>
            <w:rStyle w:val="Hyperlink"/>
            <w:rFonts w:eastAsiaTheme="minorHAnsi" w:cs="TimesNewRomanPS-BoldMT"/>
            <w:bCs/>
            <w:sz w:val="22"/>
            <w:szCs w:val="22"/>
            <w:u w:val="none"/>
          </w:rPr>
          <w:t xml:space="preserve"> </w:t>
        </w:r>
        <w:r w:rsidR="008D60E7" w:rsidRPr="00C148DD">
          <w:rPr>
            <w:rStyle w:val="Hyperlink"/>
            <w:rFonts w:eastAsiaTheme="minorHAnsi" w:cs="TimesNewRomanPS-BoldMT"/>
            <w:bCs/>
            <w:sz w:val="22"/>
            <w:szCs w:val="22"/>
            <w:u w:val="none"/>
          </w:rPr>
          <w:t xml:space="preserve">———. </w:t>
        </w:r>
        <w:r w:rsidR="00934A11" w:rsidRPr="00C148DD">
          <w:rPr>
            <w:rStyle w:val="Hyperlink"/>
            <w:rFonts w:eastAsiaTheme="minorHAnsi" w:cs="TimesNewRomanPS-BoldMT"/>
            <w:bCs/>
            <w:sz w:val="22"/>
            <w:szCs w:val="22"/>
            <w:u w:val="none"/>
          </w:rPr>
          <w:t>“</w:t>
        </w:r>
        <w:r w:rsidR="00427491" w:rsidRPr="00C148DD">
          <w:rPr>
            <w:rStyle w:val="Hyperlink"/>
            <w:rFonts w:eastAsiaTheme="minorHAnsi" w:cs="TimesNewRomanPS-BoldMT"/>
            <w:bCs/>
            <w:sz w:val="22"/>
            <w:szCs w:val="22"/>
            <w:u w:val="none"/>
          </w:rPr>
          <w:t>New Light on the Book of Daniel from the Dead Sea Scrolls.</w:t>
        </w:r>
        <w:r w:rsidR="00934A11" w:rsidRPr="00C148DD">
          <w:rPr>
            <w:rStyle w:val="Hyperlink"/>
            <w:rFonts w:eastAsiaTheme="minorHAnsi" w:cs="TimesNewRomanPS-BoldMT"/>
            <w:bCs/>
            <w:sz w:val="22"/>
            <w:szCs w:val="22"/>
            <w:u w:val="none"/>
          </w:rPr>
          <w:t>”</w:t>
        </w:r>
        <w:r w:rsidR="00427491" w:rsidRPr="00C148DD">
          <w:rPr>
            <w:rStyle w:val="Hyperlink"/>
            <w:rFonts w:eastAsiaTheme="minorHAnsi" w:cs="TimesNewRomanPS-BoldMT"/>
            <w:bCs/>
            <w:sz w:val="22"/>
            <w:szCs w:val="22"/>
            <w:u w:val="none"/>
          </w:rPr>
          <w:t xml:space="preserve">  ———. </w:t>
        </w:r>
        <w:r w:rsidR="008D60E7" w:rsidRPr="00C148DD">
          <w:rPr>
            <w:rStyle w:val="Hyperlink"/>
            <w:rFonts w:eastAsiaTheme="minorHAnsi" w:cs="TimesNewRomanPS-BoldMT"/>
            <w:bCs/>
            <w:i/>
            <w:sz w:val="22"/>
            <w:szCs w:val="22"/>
            <w:u w:val="none"/>
          </w:rPr>
          <w:t>The Scepter and the Star.</w:t>
        </w:r>
        <w:r w:rsidR="00A36A66" w:rsidRPr="00C148DD">
          <w:rPr>
            <w:rStyle w:val="Hyperlink"/>
            <w:rFonts w:eastAsiaTheme="minorHAnsi" w:cs="TimesNewRomanPS-BoldMT"/>
            <w:bCs/>
            <w:sz w:val="22"/>
            <w:szCs w:val="22"/>
          </w:rPr>
          <w:t xml:space="preserve"> </w:t>
        </w:r>
      </w:hyperlink>
      <w:r w:rsidR="00773E9B" w:rsidRPr="00C148DD">
        <w:rPr>
          <w:rFonts w:eastAsiaTheme="minorHAnsi" w:cs="TimesNewRomanPS-BoldMT"/>
          <w:bCs/>
          <w:sz w:val="22"/>
          <w:szCs w:val="22"/>
        </w:rPr>
        <w:t xml:space="preserve"> </w:t>
      </w:r>
      <w:r w:rsidR="004118D4" w:rsidRPr="00C148DD">
        <w:rPr>
          <w:b/>
          <w:sz w:val="22"/>
          <w:szCs w:val="22"/>
        </w:rPr>
        <w:t>Collins, J. J. (</w:t>
      </w:r>
      <w:r w:rsidR="004118D4" w:rsidRPr="00C148DD">
        <w:rPr>
          <w:sz w:val="22"/>
          <w:szCs w:val="22"/>
        </w:rPr>
        <w:t>ed</w:t>
      </w:r>
      <w:r w:rsidR="004118D4" w:rsidRPr="00C148DD">
        <w:rPr>
          <w:b/>
          <w:sz w:val="22"/>
          <w:szCs w:val="22"/>
        </w:rPr>
        <w:t xml:space="preserve">.). </w:t>
      </w:r>
      <w:r w:rsidR="004118D4" w:rsidRPr="00C148DD">
        <w:rPr>
          <w:i/>
          <w:sz w:val="22"/>
          <w:szCs w:val="22"/>
        </w:rPr>
        <w:t>The Oxford Handbook of Apocalyptic Literature</w:t>
      </w:r>
      <w:r w:rsidR="004118D4" w:rsidRPr="00C148DD">
        <w:rPr>
          <w:sz w:val="22"/>
          <w:szCs w:val="22"/>
        </w:rPr>
        <w:t>.</w:t>
      </w:r>
      <w:r w:rsidR="004118D4" w:rsidRPr="00C148DD">
        <w:rPr>
          <w:rFonts w:eastAsiaTheme="minorHAnsi" w:cs="TimesNewRomanPS-BoldMT"/>
          <w:bCs/>
          <w:sz w:val="22"/>
          <w:szCs w:val="22"/>
        </w:rPr>
        <w:t xml:space="preserve"> </w:t>
      </w:r>
      <w:r w:rsidR="003E7CF1" w:rsidRPr="00C148DD">
        <w:rPr>
          <w:rFonts w:eastAsiaTheme="minorHAnsi" w:cs="TimesNewRomanPS-BoldMT"/>
          <w:b/>
          <w:bCs/>
          <w:sz w:val="22"/>
          <w:szCs w:val="22"/>
        </w:rPr>
        <w:t>Collins</w:t>
      </w:r>
      <w:r w:rsidR="003E7CF1" w:rsidRPr="00B740B4">
        <w:rPr>
          <w:rFonts w:eastAsiaTheme="minorHAnsi" w:cs="TimesNewRomanPS-BoldMT"/>
          <w:b/>
          <w:bCs/>
          <w:sz w:val="22"/>
          <w:szCs w:val="22"/>
        </w:rPr>
        <w:t xml:space="preserve">, J. J., </w:t>
      </w:r>
      <w:r w:rsidR="003E7CF1" w:rsidRPr="00C148DD">
        <w:rPr>
          <w:rFonts w:eastAsiaTheme="minorHAnsi" w:cs="TimesNewRomanPS-BoldMT"/>
          <w:bCs/>
          <w:sz w:val="22"/>
          <w:szCs w:val="22"/>
        </w:rPr>
        <w:t>and</w:t>
      </w:r>
      <w:r w:rsidR="003E7CF1" w:rsidRPr="00B740B4">
        <w:rPr>
          <w:rFonts w:eastAsiaTheme="minorHAnsi" w:cs="TimesNewRomanPS-BoldMT"/>
          <w:b/>
          <w:bCs/>
          <w:sz w:val="22"/>
          <w:szCs w:val="22"/>
        </w:rPr>
        <w:t xml:space="preserve"> </w:t>
      </w:r>
      <w:r w:rsidR="00773E9B" w:rsidRPr="00B740B4">
        <w:rPr>
          <w:rFonts w:eastAsiaTheme="minorHAnsi" w:cs="TimesNewRomanPS-BoldMT"/>
          <w:b/>
          <w:bCs/>
          <w:sz w:val="22"/>
          <w:szCs w:val="22"/>
        </w:rPr>
        <w:t>Flint</w:t>
      </w:r>
      <w:r w:rsidR="003E7CF1" w:rsidRPr="00B740B4">
        <w:rPr>
          <w:rFonts w:eastAsiaTheme="minorHAnsi" w:cs="TimesNewRomanPS-BoldMT"/>
          <w:b/>
          <w:bCs/>
          <w:sz w:val="22"/>
          <w:szCs w:val="22"/>
        </w:rPr>
        <w:t>, P. W</w:t>
      </w:r>
      <w:r w:rsidR="003E7CF1" w:rsidRPr="00B740B4">
        <w:rPr>
          <w:rFonts w:eastAsiaTheme="minorHAnsi" w:cs="TimesNewRomanPS-BoldMT"/>
          <w:bCs/>
          <w:sz w:val="22"/>
          <w:szCs w:val="22"/>
        </w:rPr>
        <w:t>.</w:t>
      </w:r>
      <w:r w:rsidR="00250AFF">
        <w:rPr>
          <w:rFonts w:eastAsiaTheme="minorHAnsi" w:cs="TimesNewRomanPS-BoldMT"/>
          <w:bCs/>
          <w:sz w:val="22"/>
          <w:szCs w:val="22"/>
        </w:rPr>
        <w:t xml:space="preserve"> (eds.).</w:t>
      </w:r>
      <w:r w:rsidR="00773E9B" w:rsidRPr="00B740B4">
        <w:rPr>
          <w:rFonts w:eastAsiaTheme="minorHAnsi" w:cs="TimesNewRomanPS-BoldMT"/>
          <w:b/>
          <w:bCs/>
          <w:sz w:val="22"/>
          <w:szCs w:val="22"/>
        </w:rPr>
        <w:t xml:space="preserve"> </w:t>
      </w:r>
      <w:r w:rsidR="00773E9B" w:rsidRPr="00B740B4">
        <w:rPr>
          <w:rFonts w:eastAsiaTheme="minorHAnsi" w:cs="TimesNewRomanPS-BoldMT"/>
          <w:bCs/>
          <w:i/>
          <w:sz w:val="22"/>
          <w:szCs w:val="22"/>
        </w:rPr>
        <w:t>The Book of Daniel: Composition and Reception</w:t>
      </w:r>
      <w:r w:rsidR="00762CF5" w:rsidRPr="00B740B4">
        <w:rPr>
          <w:rFonts w:eastAsiaTheme="minorHAnsi" w:cs="TimesNewRomanPS-BoldMT"/>
          <w:bCs/>
          <w:i/>
          <w:sz w:val="22"/>
          <w:szCs w:val="22"/>
        </w:rPr>
        <w:t>.</w:t>
      </w:r>
      <w:r w:rsidR="00773E9B" w:rsidRPr="00B740B4">
        <w:rPr>
          <w:rFonts w:eastAsiaTheme="minorHAnsi" w:cs="TimesNewRomanPS-BoldMT"/>
          <w:b/>
          <w:bCs/>
          <w:sz w:val="22"/>
          <w:szCs w:val="22"/>
        </w:rPr>
        <w:t xml:space="preserve"> </w:t>
      </w:r>
      <w:r w:rsidR="00981F23" w:rsidRPr="00B740B4">
        <w:rPr>
          <w:b/>
          <w:sz w:val="22"/>
          <w:szCs w:val="22"/>
        </w:rPr>
        <w:t>Courtray, R.</w:t>
      </w:r>
      <w:r w:rsidR="00981F23" w:rsidRPr="00B740B4">
        <w:rPr>
          <w:sz w:val="22"/>
          <w:szCs w:val="22"/>
        </w:rPr>
        <w:t xml:space="preserve"> </w:t>
      </w:r>
      <w:r w:rsidR="00934A11" w:rsidRPr="00B740B4">
        <w:rPr>
          <w:sz w:val="22"/>
          <w:szCs w:val="22"/>
        </w:rPr>
        <w:t>“</w:t>
      </w:r>
      <w:r w:rsidR="00981F23" w:rsidRPr="00B740B4">
        <w:rPr>
          <w:sz w:val="22"/>
          <w:szCs w:val="22"/>
        </w:rPr>
        <w:t>Der Danielkommentar des Hieronymus,</w:t>
      </w:r>
      <w:r w:rsidR="00934A11" w:rsidRPr="00B740B4">
        <w:rPr>
          <w:sz w:val="22"/>
          <w:szCs w:val="22"/>
        </w:rPr>
        <w:t>”</w:t>
      </w:r>
      <w:r w:rsidR="00981F23" w:rsidRPr="00B740B4">
        <w:rPr>
          <w:sz w:val="22"/>
          <w:szCs w:val="22"/>
        </w:rPr>
        <w:t xml:space="preserve"> in </w:t>
      </w:r>
      <w:r w:rsidR="00981F23" w:rsidRPr="00B740B4">
        <w:rPr>
          <w:bCs/>
          <w:sz w:val="22"/>
          <w:szCs w:val="22"/>
        </w:rPr>
        <w:t>Bracht/du Toit</w:t>
      </w:r>
      <w:r w:rsidR="00981F23" w:rsidRPr="00B740B4">
        <w:rPr>
          <w:bCs/>
          <w:i/>
          <w:iCs/>
          <w:sz w:val="22"/>
          <w:szCs w:val="22"/>
        </w:rPr>
        <w:t xml:space="preserve"> </w:t>
      </w:r>
      <w:r w:rsidR="00981F23" w:rsidRPr="00B740B4">
        <w:rPr>
          <w:bCs/>
          <w:iCs/>
          <w:sz w:val="22"/>
          <w:szCs w:val="22"/>
        </w:rPr>
        <w:t xml:space="preserve">(eds.), </w:t>
      </w:r>
      <w:r w:rsidR="00981F23" w:rsidRPr="00B740B4">
        <w:rPr>
          <w:bCs/>
          <w:i/>
          <w:iCs/>
          <w:sz w:val="22"/>
          <w:szCs w:val="22"/>
        </w:rPr>
        <w:t>Die Ges</w:t>
      </w:r>
      <w:r w:rsidR="0074237E" w:rsidRPr="00B740B4">
        <w:rPr>
          <w:bCs/>
          <w:i/>
          <w:iCs/>
          <w:sz w:val="22"/>
          <w:szCs w:val="22"/>
        </w:rPr>
        <w:t>chichte der Daniel-</w:t>
      </w:r>
      <w:r w:rsidR="00981F23" w:rsidRPr="00B740B4">
        <w:rPr>
          <w:bCs/>
          <w:i/>
          <w:iCs/>
          <w:sz w:val="22"/>
          <w:szCs w:val="22"/>
        </w:rPr>
        <w:t>Auslegung</w:t>
      </w:r>
      <w:r w:rsidR="00981F23" w:rsidRPr="00B740B4">
        <w:rPr>
          <w:bCs/>
          <w:iCs/>
          <w:sz w:val="22"/>
          <w:szCs w:val="22"/>
        </w:rPr>
        <w:t xml:space="preserve">, 123-50. </w:t>
      </w:r>
      <w:r w:rsidR="0074237E" w:rsidRPr="00B740B4">
        <w:rPr>
          <w:bCs/>
          <w:iCs/>
          <w:sz w:val="22"/>
          <w:szCs w:val="22"/>
        </w:rPr>
        <w:t xml:space="preserve">———. </w:t>
      </w:r>
      <w:r w:rsidR="0074237E" w:rsidRPr="00B740B4">
        <w:rPr>
          <w:rFonts w:eastAsiaTheme="minorHAnsi" w:cs="TimesNewRomanPS-BoldMT"/>
          <w:bCs/>
          <w:i/>
          <w:sz w:val="22"/>
          <w:szCs w:val="22"/>
        </w:rPr>
        <w:t xml:space="preserve">Prophète des temps derniers: Jérôme commente </w:t>
      </w:r>
      <w:r w:rsidR="005D7D74" w:rsidRPr="00B740B4">
        <w:rPr>
          <w:rFonts w:eastAsiaTheme="minorHAnsi" w:cs="TimesNewRomanPS-BoldMT"/>
          <w:bCs/>
          <w:sz w:val="22"/>
          <w:szCs w:val="22"/>
        </w:rPr>
        <w:t>Danie</w:t>
      </w:r>
      <w:r w:rsidR="0074237E" w:rsidRPr="00B740B4">
        <w:rPr>
          <w:rFonts w:eastAsiaTheme="minorHAnsi" w:cs="TimesNewRomanPS-BoldMT"/>
          <w:bCs/>
          <w:sz w:val="22"/>
          <w:szCs w:val="22"/>
        </w:rPr>
        <w:t xml:space="preserve">l. </w:t>
      </w:r>
      <w:r w:rsidR="00D42761" w:rsidRPr="00B740B4">
        <w:rPr>
          <w:rFonts w:eastAsiaTheme="minorHAnsi" w:cs="TimesNewRomanPS-BoldMT"/>
          <w:b/>
          <w:bCs/>
          <w:sz w:val="22"/>
          <w:szCs w:val="22"/>
        </w:rPr>
        <w:t xml:space="preserve">Cowe, S. P. </w:t>
      </w:r>
      <w:r w:rsidR="00D42761" w:rsidRPr="00B740B4">
        <w:rPr>
          <w:rFonts w:eastAsiaTheme="minorHAnsi" w:cs="TimesNewRomanPS-BoldMT"/>
          <w:bCs/>
          <w:i/>
          <w:sz w:val="22"/>
          <w:szCs w:val="22"/>
        </w:rPr>
        <w:t>The Armenian Version of Daniel</w:t>
      </w:r>
      <w:r w:rsidR="00D42761" w:rsidRPr="00B740B4">
        <w:rPr>
          <w:rFonts w:eastAsiaTheme="minorHAnsi" w:cs="TimesNewRomanPS-BoldMT"/>
          <w:bCs/>
          <w:sz w:val="22"/>
          <w:szCs w:val="22"/>
        </w:rPr>
        <w:t xml:space="preserve">. </w:t>
      </w:r>
      <w:r w:rsidR="00A36A66" w:rsidRPr="00B740B4">
        <w:rPr>
          <w:rFonts w:eastAsiaTheme="minorHAnsi" w:cs="TimesNewRomanPS-BoldMT"/>
          <w:bCs/>
          <w:sz w:val="22"/>
          <w:szCs w:val="22"/>
        </w:rPr>
        <w:t xml:space="preserve">———. </w:t>
      </w:r>
      <w:r w:rsidR="00934A11" w:rsidRPr="00B740B4">
        <w:rPr>
          <w:rFonts w:eastAsiaTheme="minorHAnsi" w:cs="TimesNewRomanPS-BoldMT"/>
          <w:bCs/>
          <w:sz w:val="22"/>
          <w:szCs w:val="22"/>
        </w:rPr>
        <w:t>“</w:t>
      </w:r>
      <w:r w:rsidR="00A36A66" w:rsidRPr="00B740B4">
        <w:rPr>
          <w:rFonts w:eastAsiaTheme="minorHAnsi" w:cs="TimesNewRomanPS-BoldMT"/>
          <w:bCs/>
          <w:sz w:val="22"/>
          <w:szCs w:val="22"/>
        </w:rPr>
        <w:t>The Reception of the Book of Daniel in Late Ancient and Medieval Ar</w:t>
      </w:r>
      <w:r w:rsidR="00257901" w:rsidRPr="00B740B4">
        <w:rPr>
          <w:rFonts w:eastAsiaTheme="minorHAnsi" w:cs="TimesNewRomanPS-BoldMT"/>
          <w:bCs/>
          <w:sz w:val="22"/>
          <w:szCs w:val="22"/>
        </w:rPr>
        <w:t>menian Society.</w:t>
      </w:r>
      <w:r w:rsidR="00934A11" w:rsidRPr="00B740B4">
        <w:rPr>
          <w:rFonts w:eastAsiaTheme="minorHAnsi" w:cs="TimesNewRomanPS-BoldMT"/>
          <w:bCs/>
          <w:sz w:val="22"/>
          <w:szCs w:val="22"/>
        </w:rPr>
        <w:t>”</w:t>
      </w:r>
      <w:r w:rsidR="00257901" w:rsidRPr="00B740B4">
        <w:rPr>
          <w:rFonts w:eastAsiaTheme="minorHAnsi" w:cs="TimesNewRomanPS-BoldMT"/>
          <w:bCs/>
          <w:sz w:val="22"/>
          <w:szCs w:val="22"/>
        </w:rPr>
        <w:t xml:space="preserve"> </w:t>
      </w:r>
      <w:r w:rsidR="001B2642" w:rsidRPr="00B740B4">
        <w:rPr>
          <w:b/>
          <w:sz w:val="22"/>
          <w:szCs w:val="22"/>
        </w:rPr>
        <w:t>Crafer, T. W.</w:t>
      </w:r>
      <w:r w:rsidR="001B2642" w:rsidRPr="00B740B4">
        <w:rPr>
          <w:sz w:val="22"/>
          <w:szCs w:val="22"/>
        </w:rPr>
        <w:t xml:space="preserve"> </w:t>
      </w:r>
      <w:r w:rsidR="00934A11" w:rsidRPr="00B740B4">
        <w:rPr>
          <w:sz w:val="22"/>
          <w:szCs w:val="22"/>
        </w:rPr>
        <w:t>“</w:t>
      </w:r>
      <w:r w:rsidR="001B2642" w:rsidRPr="00B740B4">
        <w:rPr>
          <w:sz w:val="22"/>
          <w:szCs w:val="22"/>
        </w:rPr>
        <w:t>The Work of Porphyry against the Christians.</w:t>
      </w:r>
      <w:r w:rsidR="007A3165" w:rsidRPr="00B740B4">
        <w:rPr>
          <w:sz w:val="22"/>
          <w:szCs w:val="22"/>
        </w:rPr>
        <w:t>”</w:t>
      </w:r>
      <w:r w:rsidR="001B2642" w:rsidRPr="00B740B4">
        <w:rPr>
          <w:sz w:val="22"/>
          <w:szCs w:val="22"/>
        </w:rPr>
        <w:t xml:space="preserve"> </w:t>
      </w:r>
      <w:r w:rsidR="001B2642" w:rsidRPr="00B740B4">
        <w:rPr>
          <w:b/>
          <w:sz w:val="22"/>
          <w:szCs w:val="22"/>
        </w:rPr>
        <w:t>Cross, F. M.</w:t>
      </w:r>
      <w:r w:rsidR="001B2642" w:rsidRPr="00B740B4">
        <w:rPr>
          <w:sz w:val="22"/>
          <w:szCs w:val="22"/>
        </w:rPr>
        <w:t xml:space="preserve"> </w:t>
      </w:r>
      <w:r w:rsidR="00934A11" w:rsidRPr="00B740B4">
        <w:rPr>
          <w:sz w:val="22"/>
          <w:szCs w:val="22"/>
        </w:rPr>
        <w:t>“</w:t>
      </w:r>
      <w:r w:rsidR="001B2642" w:rsidRPr="00B740B4">
        <w:rPr>
          <w:sz w:val="22"/>
          <w:szCs w:val="22"/>
        </w:rPr>
        <w:t>Editing the Manuscript Fr</w:t>
      </w:r>
      <w:r w:rsidR="00351D5C">
        <w:rPr>
          <w:sz w:val="22"/>
          <w:szCs w:val="22"/>
        </w:rPr>
        <w:t xml:space="preserve">agments from Qumran: Cave 4. </w:t>
      </w:r>
      <w:r w:rsidR="00351D5C" w:rsidRPr="00351D5C">
        <w:rPr>
          <w:b/>
          <w:sz w:val="22"/>
          <w:szCs w:val="22"/>
        </w:rPr>
        <w:t>Cross, F. M.</w:t>
      </w:r>
      <w:r w:rsidR="00351D5C">
        <w:rPr>
          <w:sz w:val="22"/>
          <w:szCs w:val="22"/>
        </w:rPr>
        <w:t>,</w:t>
      </w:r>
      <w:r w:rsidR="001B2642" w:rsidRPr="00B740B4">
        <w:rPr>
          <w:sz w:val="22"/>
          <w:szCs w:val="22"/>
        </w:rPr>
        <w:t xml:space="preserve"> and </w:t>
      </w:r>
      <w:r w:rsidR="000A71BF" w:rsidRPr="00B740B4">
        <w:rPr>
          <w:b/>
          <w:sz w:val="22"/>
          <w:szCs w:val="22"/>
        </w:rPr>
        <w:t>Talmon, S.</w:t>
      </w:r>
      <w:r w:rsidR="000A71BF" w:rsidRPr="00B740B4">
        <w:rPr>
          <w:sz w:val="22"/>
          <w:szCs w:val="22"/>
        </w:rPr>
        <w:t xml:space="preserve"> (ed</w:t>
      </w:r>
      <w:r w:rsidR="001B2642" w:rsidRPr="00B740B4">
        <w:rPr>
          <w:sz w:val="22"/>
          <w:szCs w:val="22"/>
        </w:rPr>
        <w:t>s</w:t>
      </w:r>
      <w:r w:rsidR="000A71BF" w:rsidRPr="00B740B4">
        <w:rPr>
          <w:sz w:val="22"/>
          <w:szCs w:val="22"/>
        </w:rPr>
        <w:t>.</w:t>
      </w:r>
      <w:r w:rsidR="001B2642" w:rsidRPr="00B740B4">
        <w:rPr>
          <w:sz w:val="22"/>
          <w:szCs w:val="22"/>
        </w:rPr>
        <w:t xml:space="preserve">). </w:t>
      </w:r>
      <w:r w:rsidR="001B2642" w:rsidRPr="00B740B4">
        <w:rPr>
          <w:i/>
          <w:sz w:val="22"/>
          <w:szCs w:val="22"/>
        </w:rPr>
        <w:t>Qumran and the History of the Biblical Text</w:t>
      </w:r>
      <w:r w:rsidR="001B2642" w:rsidRPr="00B740B4">
        <w:rPr>
          <w:sz w:val="22"/>
          <w:szCs w:val="22"/>
        </w:rPr>
        <w:t xml:space="preserve">. </w:t>
      </w:r>
      <w:r w:rsidR="001B2642" w:rsidRPr="00B740B4">
        <w:rPr>
          <w:b/>
          <w:sz w:val="22"/>
          <w:szCs w:val="22"/>
        </w:rPr>
        <w:t>Daube, D.</w:t>
      </w:r>
      <w:r w:rsidR="001B2642" w:rsidRPr="00B740B4">
        <w:rPr>
          <w:sz w:val="22"/>
          <w:szCs w:val="22"/>
        </w:rPr>
        <w:t xml:space="preserve"> </w:t>
      </w:r>
      <w:r w:rsidR="00934A11" w:rsidRPr="00B740B4">
        <w:rPr>
          <w:sz w:val="22"/>
          <w:szCs w:val="22"/>
        </w:rPr>
        <w:t>“</w:t>
      </w:r>
      <w:r w:rsidR="001B2642" w:rsidRPr="00B740B4">
        <w:rPr>
          <w:sz w:val="22"/>
          <w:szCs w:val="22"/>
        </w:rPr>
        <w:t>Typology in Josephus.</w:t>
      </w:r>
      <w:r w:rsidR="00934A11" w:rsidRPr="00B740B4">
        <w:rPr>
          <w:sz w:val="22"/>
          <w:szCs w:val="22"/>
        </w:rPr>
        <w:t>”</w:t>
      </w:r>
      <w:r w:rsidR="001B2642" w:rsidRPr="00B740B4">
        <w:rPr>
          <w:sz w:val="22"/>
          <w:szCs w:val="22"/>
        </w:rPr>
        <w:t xml:space="preserve"> </w:t>
      </w:r>
      <w:r w:rsidR="001B2642" w:rsidRPr="00B740B4">
        <w:rPr>
          <w:b/>
          <w:sz w:val="22"/>
          <w:szCs w:val="22"/>
        </w:rPr>
        <w:t>Davies, P. R.</w:t>
      </w:r>
      <w:r w:rsidR="001B2642" w:rsidRPr="00B740B4">
        <w:rPr>
          <w:sz w:val="22"/>
          <w:szCs w:val="22"/>
        </w:rPr>
        <w:t xml:space="preserve"> </w:t>
      </w:r>
      <w:r w:rsidR="001B2642" w:rsidRPr="00B740B4">
        <w:rPr>
          <w:i/>
          <w:sz w:val="22"/>
          <w:szCs w:val="22"/>
        </w:rPr>
        <w:t>Daniel</w:t>
      </w:r>
      <w:r w:rsidR="001B2642" w:rsidRPr="00B740B4">
        <w:rPr>
          <w:sz w:val="22"/>
          <w:szCs w:val="22"/>
        </w:rPr>
        <w:t xml:space="preserve">. </w:t>
      </w:r>
      <w:r w:rsidR="003E7CF1" w:rsidRPr="00B740B4">
        <w:rPr>
          <w:sz w:val="22"/>
          <w:szCs w:val="22"/>
        </w:rPr>
        <w:t xml:space="preserve">———. </w:t>
      </w:r>
      <w:r w:rsidR="00934A11" w:rsidRPr="00B740B4">
        <w:rPr>
          <w:sz w:val="22"/>
          <w:szCs w:val="22"/>
        </w:rPr>
        <w:t>“</w:t>
      </w:r>
      <w:r w:rsidR="003E7CF1" w:rsidRPr="00B740B4">
        <w:rPr>
          <w:sz w:val="22"/>
          <w:szCs w:val="22"/>
        </w:rPr>
        <w:t>Reading Daniel Sociologically,</w:t>
      </w:r>
      <w:r w:rsidR="00934A11" w:rsidRPr="00B740B4">
        <w:rPr>
          <w:sz w:val="22"/>
          <w:szCs w:val="22"/>
        </w:rPr>
        <w:t>”</w:t>
      </w:r>
      <w:r w:rsidR="003E7CF1" w:rsidRPr="00B740B4">
        <w:rPr>
          <w:sz w:val="22"/>
          <w:szCs w:val="22"/>
        </w:rPr>
        <w:t xml:space="preserve"> in van der Woude </w:t>
      </w:r>
      <w:r w:rsidR="003E7CF1" w:rsidRPr="00B740B4">
        <w:rPr>
          <w:b/>
          <w:sz w:val="22"/>
          <w:szCs w:val="22"/>
        </w:rPr>
        <w:t>(</w:t>
      </w:r>
      <w:r w:rsidR="003E7CF1" w:rsidRPr="00B740B4">
        <w:rPr>
          <w:sz w:val="22"/>
          <w:szCs w:val="22"/>
        </w:rPr>
        <w:t>ed</w:t>
      </w:r>
      <w:r w:rsidR="003E7CF1" w:rsidRPr="00B740B4">
        <w:rPr>
          <w:b/>
          <w:sz w:val="22"/>
          <w:szCs w:val="22"/>
        </w:rPr>
        <w:t xml:space="preserve">.), </w:t>
      </w:r>
      <w:r w:rsidR="003E7CF1" w:rsidRPr="00B740B4">
        <w:rPr>
          <w:i/>
          <w:sz w:val="22"/>
          <w:szCs w:val="22"/>
        </w:rPr>
        <w:t>The Book of Daniel</w:t>
      </w:r>
      <w:r w:rsidR="003E7CF1" w:rsidRPr="00B740B4">
        <w:rPr>
          <w:sz w:val="22"/>
          <w:szCs w:val="22"/>
        </w:rPr>
        <w:t>, 345-361.</w:t>
      </w:r>
      <w:r w:rsidR="003E7CF1" w:rsidRPr="00B740B4">
        <w:rPr>
          <w:bCs/>
          <w:sz w:val="22"/>
          <w:szCs w:val="22"/>
        </w:rPr>
        <w:t xml:space="preserve"> </w:t>
      </w:r>
      <w:r w:rsidR="001B2642" w:rsidRPr="00B740B4">
        <w:rPr>
          <w:b/>
          <w:sz w:val="22"/>
          <w:szCs w:val="22"/>
        </w:rPr>
        <w:t>Delcor, M.</w:t>
      </w:r>
      <w:r w:rsidR="001B2642" w:rsidRPr="00B740B4">
        <w:rPr>
          <w:sz w:val="22"/>
          <w:szCs w:val="22"/>
        </w:rPr>
        <w:t xml:space="preserve"> </w:t>
      </w:r>
      <w:r w:rsidR="00934A11" w:rsidRPr="00B740B4">
        <w:rPr>
          <w:sz w:val="22"/>
          <w:szCs w:val="22"/>
        </w:rPr>
        <w:t>“</w:t>
      </w:r>
      <w:r w:rsidR="001B2642" w:rsidRPr="00B740B4">
        <w:rPr>
          <w:sz w:val="22"/>
          <w:szCs w:val="22"/>
        </w:rPr>
        <w:t>Un cas de traduction ‘targoumique’ de la LXX.</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L’hymne à Sion.</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Le livre des Paraboles d’Hénoch Ethiopien.</w:t>
      </w:r>
      <w:r w:rsidR="00934A11" w:rsidRPr="00B740B4">
        <w:rPr>
          <w:sz w:val="22"/>
          <w:szCs w:val="22"/>
        </w:rPr>
        <w:t>”</w:t>
      </w:r>
      <w:r w:rsidR="001B2642" w:rsidRPr="00B740B4">
        <w:rPr>
          <w:sz w:val="22"/>
          <w:szCs w:val="22"/>
        </w:rPr>
        <w:t xml:space="preserve"> </w:t>
      </w:r>
      <w:r w:rsidR="006D5921" w:rsidRPr="00B740B4">
        <w:rPr>
          <w:b/>
          <w:bCs/>
          <w:sz w:val="22"/>
          <w:szCs w:val="22"/>
        </w:rPr>
        <w:t>Delgado, M.</w:t>
      </w:r>
      <w:r w:rsidR="006D5921" w:rsidRPr="00B740B4">
        <w:rPr>
          <w:bCs/>
          <w:sz w:val="22"/>
          <w:szCs w:val="22"/>
        </w:rPr>
        <w:t xml:space="preserve"> </w:t>
      </w:r>
      <w:r w:rsidR="00934A11" w:rsidRPr="00B740B4">
        <w:rPr>
          <w:bCs/>
          <w:sz w:val="22"/>
          <w:szCs w:val="22"/>
        </w:rPr>
        <w:t>“</w:t>
      </w:r>
      <w:r w:rsidR="006D5921" w:rsidRPr="00B740B4">
        <w:rPr>
          <w:bCs/>
          <w:sz w:val="22"/>
          <w:szCs w:val="22"/>
        </w:rPr>
        <w:t>Der Traum von der Universalmonarchie: Zur Danielrezeption in de</w:t>
      </w:r>
      <w:r w:rsidR="003E7CF1" w:rsidRPr="00B740B4">
        <w:rPr>
          <w:bCs/>
          <w:sz w:val="22"/>
          <w:szCs w:val="22"/>
        </w:rPr>
        <w:t>n iberischen Kulturen nach 1492,</w:t>
      </w:r>
      <w:r w:rsidR="00934A11" w:rsidRPr="00B740B4">
        <w:rPr>
          <w:bCs/>
          <w:sz w:val="22"/>
          <w:szCs w:val="22"/>
        </w:rPr>
        <w:t>”</w:t>
      </w:r>
      <w:r w:rsidR="003E7CF1" w:rsidRPr="00B740B4">
        <w:rPr>
          <w:bCs/>
          <w:sz w:val="22"/>
          <w:szCs w:val="22"/>
        </w:rPr>
        <w:t xml:space="preserve"> i</w:t>
      </w:r>
      <w:r w:rsidR="006D5921" w:rsidRPr="00B740B4">
        <w:rPr>
          <w:bCs/>
          <w:sz w:val="22"/>
          <w:szCs w:val="22"/>
        </w:rPr>
        <w:t xml:space="preserve">n </w:t>
      </w:r>
      <w:r w:rsidR="00381CF4" w:rsidRPr="00B740B4">
        <w:rPr>
          <w:bCs/>
          <w:sz w:val="22"/>
          <w:szCs w:val="22"/>
        </w:rPr>
        <w:t>Delgado/Koch/Marsch</w:t>
      </w:r>
      <w:r w:rsidR="006D5921" w:rsidRPr="00B740B4">
        <w:rPr>
          <w:bCs/>
          <w:sz w:val="22"/>
          <w:szCs w:val="22"/>
        </w:rPr>
        <w:t xml:space="preserve"> (eds.), </w:t>
      </w:r>
      <w:r w:rsidR="006D5921" w:rsidRPr="00B740B4">
        <w:rPr>
          <w:bCs/>
          <w:i/>
          <w:sz w:val="22"/>
          <w:szCs w:val="22"/>
        </w:rPr>
        <w:t>Europa, Tausendjähriges Reich und Neue Welt</w:t>
      </w:r>
      <w:r w:rsidR="006D5921" w:rsidRPr="00B740B4">
        <w:rPr>
          <w:bCs/>
          <w:sz w:val="22"/>
          <w:szCs w:val="22"/>
        </w:rPr>
        <w:t xml:space="preserve">, 252-305. </w:t>
      </w:r>
      <w:r w:rsidR="007A3165" w:rsidRPr="00B740B4">
        <w:rPr>
          <w:b/>
          <w:bCs/>
          <w:sz w:val="22"/>
          <w:szCs w:val="22"/>
        </w:rPr>
        <w:t>Delgado, M</w:t>
      </w:r>
      <w:r w:rsidR="007A3165" w:rsidRPr="00351D5C">
        <w:rPr>
          <w:bCs/>
          <w:sz w:val="22"/>
          <w:szCs w:val="22"/>
        </w:rPr>
        <w:t xml:space="preserve">., </w:t>
      </w:r>
      <w:r w:rsidR="00351D5C" w:rsidRPr="00351D5C">
        <w:rPr>
          <w:bCs/>
          <w:sz w:val="22"/>
          <w:szCs w:val="22"/>
        </w:rPr>
        <w:t>et al.</w:t>
      </w:r>
      <w:r w:rsidR="008E7190" w:rsidRPr="00B740B4">
        <w:rPr>
          <w:b/>
          <w:bCs/>
          <w:sz w:val="22"/>
          <w:szCs w:val="22"/>
        </w:rPr>
        <w:t xml:space="preserve"> </w:t>
      </w:r>
      <w:r w:rsidR="008E7190" w:rsidRPr="00B740B4">
        <w:rPr>
          <w:bCs/>
          <w:sz w:val="22"/>
          <w:szCs w:val="22"/>
        </w:rPr>
        <w:t>(eds.)</w:t>
      </w:r>
      <w:r w:rsidR="007A3165" w:rsidRPr="00B740B4">
        <w:rPr>
          <w:bCs/>
          <w:sz w:val="22"/>
          <w:szCs w:val="22"/>
        </w:rPr>
        <w:t>.</w:t>
      </w:r>
      <w:r w:rsidR="008E7190" w:rsidRPr="00B740B4">
        <w:rPr>
          <w:bCs/>
          <w:sz w:val="22"/>
          <w:szCs w:val="22"/>
        </w:rPr>
        <w:t xml:space="preserve"> </w:t>
      </w:r>
      <w:r w:rsidR="008E7190" w:rsidRPr="00B740B4">
        <w:rPr>
          <w:bCs/>
          <w:i/>
          <w:sz w:val="22"/>
          <w:szCs w:val="22"/>
        </w:rPr>
        <w:t>Europa, Tausendjähriges Reich und Neue Welt</w:t>
      </w:r>
      <w:r w:rsidR="008E7190" w:rsidRPr="00B740B4">
        <w:rPr>
          <w:bCs/>
          <w:sz w:val="22"/>
          <w:szCs w:val="22"/>
        </w:rPr>
        <w:t>.</w:t>
      </w:r>
      <w:r w:rsidR="00D50891" w:rsidRPr="00B740B4">
        <w:rPr>
          <w:sz w:val="22"/>
          <w:szCs w:val="22"/>
        </w:rPr>
        <w:t xml:space="preserve"> </w:t>
      </w:r>
      <w:r w:rsidR="001B2642" w:rsidRPr="00B740B4">
        <w:rPr>
          <w:b/>
          <w:sz w:val="22"/>
          <w:szCs w:val="22"/>
        </w:rPr>
        <w:t>Denis, A. M.</w:t>
      </w:r>
      <w:r w:rsidR="001B2642" w:rsidRPr="00B740B4">
        <w:rPr>
          <w:sz w:val="22"/>
          <w:szCs w:val="22"/>
        </w:rPr>
        <w:t xml:space="preserve"> </w:t>
      </w:r>
      <w:r w:rsidR="001B2642" w:rsidRPr="00B740B4">
        <w:rPr>
          <w:i/>
          <w:sz w:val="22"/>
          <w:szCs w:val="22"/>
        </w:rPr>
        <w:t>Introduction aux Pseudépi</w:t>
      </w:r>
      <w:r w:rsidR="00DC2AC1" w:rsidRPr="00B740B4">
        <w:rPr>
          <w:i/>
          <w:sz w:val="22"/>
          <w:szCs w:val="22"/>
        </w:rPr>
        <w:t>graphes grecs d’AT</w:t>
      </w:r>
      <w:r w:rsidR="001B2642" w:rsidRPr="00B740B4">
        <w:rPr>
          <w:sz w:val="22"/>
          <w:szCs w:val="22"/>
        </w:rPr>
        <w:t xml:space="preserve">, 309–14. </w:t>
      </w:r>
      <w:r w:rsidR="001B2642" w:rsidRPr="00B740B4">
        <w:rPr>
          <w:b/>
          <w:sz w:val="22"/>
          <w:szCs w:val="22"/>
        </w:rPr>
        <w:t>Derrett, J. D. M.</w:t>
      </w:r>
      <w:r w:rsidR="001B2642" w:rsidRPr="00B740B4">
        <w:rPr>
          <w:sz w:val="22"/>
          <w:szCs w:val="22"/>
        </w:rPr>
        <w:t xml:space="preserve"> </w:t>
      </w:r>
      <w:r w:rsidR="00934A11" w:rsidRPr="00B740B4">
        <w:rPr>
          <w:sz w:val="22"/>
          <w:szCs w:val="22"/>
        </w:rPr>
        <w:t>“</w:t>
      </w:r>
      <w:r w:rsidR="001B2642" w:rsidRPr="00B740B4">
        <w:rPr>
          <w:sz w:val="22"/>
          <w:szCs w:val="22"/>
        </w:rPr>
        <w:t>Daniel and Salvation-History.</w:t>
      </w:r>
      <w:r w:rsidR="00934A11" w:rsidRPr="00B740B4">
        <w:rPr>
          <w:sz w:val="22"/>
          <w:szCs w:val="22"/>
        </w:rPr>
        <w:t>”</w:t>
      </w:r>
      <w:r w:rsidR="001B2642" w:rsidRPr="00B740B4">
        <w:rPr>
          <w:sz w:val="22"/>
          <w:szCs w:val="22"/>
        </w:rPr>
        <w:t xml:space="preserve"> </w:t>
      </w:r>
      <w:r w:rsidR="001B2642" w:rsidRPr="00B740B4">
        <w:rPr>
          <w:b/>
          <w:sz w:val="22"/>
          <w:szCs w:val="22"/>
        </w:rPr>
        <w:t>Dexinger, F.</w:t>
      </w:r>
      <w:r w:rsidR="001B2642" w:rsidRPr="00B740B4">
        <w:rPr>
          <w:sz w:val="22"/>
          <w:szCs w:val="22"/>
        </w:rPr>
        <w:t xml:space="preserve"> </w:t>
      </w:r>
      <w:r w:rsidR="00934A11" w:rsidRPr="00B740B4">
        <w:rPr>
          <w:sz w:val="22"/>
          <w:szCs w:val="22"/>
        </w:rPr>
        <w:t>“</w:t>
      </w:r>
      <w:r w:rsidR="001B2642" w:rsidRPr="00B740B4">
        <w:rPr>
          <w:sz w:val="22"/>
          <w:szCs w:val="22"/>
        </w:rPr>
        <w:t>Ein ‘messianisches Szenarium’ als Gemeingut des Judentums in nachherodianischer Zeit?</w:t>
      </w:r>
      <w:r w:rsidR="00934A11" w:rsidRPr="00B740B4">
        <w:rPr>
          <w:sz w:val="22"/>
          <w:szCs w:val="22"/>
        </w:rPr>
        <w:t>”</w:t>
      </w:r>
      <w:r w:rsidR="001B2642" w:rsidRPr="00B740B4">
        <w:rPr>
          <w:sz w:val="22"/>
          <w:szCs w:val="22"/>
        </w:rPr>
        <w:t xml:space="preserve"> </w:t>
      </w:r>
      <w:r w:rsidR="004027F9" w:rsidRPr="0007747D">
        <w:rPr>
          <w:b/>
          <w:sz w:val="22"/>
          <w:szCs w:val="22"/>
        </w:rPr>
        <w:t>Di Lella, A.</w:t>
      </w:r>
      <w:r w:rsidR="004027F9" w:rsidRPr="0007747D">
        <w:rPr>
          <w:sz w:val="22"/>
          <w:szCs w:val="22"/>
        </w:rPr>
        <w:t xml:space="preserve"> </w:t>
      </w:r>
      <w:r w:rsidR="00934A11" w:rsidRPr="0007747D">
        <w:rPr>
          <w:sz w:val="22"/>
          <w:szCs w:val="22"/>
        </w:rPr>
        <w:t>“</w:t>
      </w:r>
      <w:r w:rsidR="004027F9" w:rsidRPr="0007747D">
        <w:rPr>
          <w:sz w:val="22"/>
          <w:szCs w:val="22"/>
        </w:rPr>
        <w:t>The Textual History of Septuagint-Daniel and Theodotion-Daniel</w:t>
      </w:r>
      <w:r w:rsidR="008C0493" w:rsidRPr="0007747D">
        <w:rPr>
          <w:sz w:val="22"/>
          <w:szCs w:val="22"/>
        </w:rPr>
        <w:t>,</w:t>
      </w:r>
      <w:r w:rsidR="00934A11" w:rsidRPr="0007747D">
        <w:rPr>
          <w:sz w:val="22"/>
          <w:szCs w:val="22"/>
        </w:rPr>
        <w:t>”</w:t>
      </w:r>
      <w:r w:rsidR="008C0493" w:rsidRPr="0007747D">
        <w:rPr>
          <w:sz w:val="22"/>
          <w:szCs w:val="22"/>
        </w:rPr>
        <w:t xml:space="preserve"> in</w:t>
      </w:r>
      <w:r w:rsidR="004027F9" w:rsidRPr="0007747D">
        <w:rPr>
          <w:sz w:val="22"/>
          <w:szCs w:val="22"/>
        </w:rPr>
        <w:t xml:space="preserve"> </w:t>
      </w:r>
      <w:r w:rsidR="004027F9" w:rsidRPr="0007747D">
        <w:rPr>
          <w:bCs/>
          <w:sz w:val="22"/>
          <w:szCs w:val="22"/>
        </w:rPr>
        <w:t xml:space="preserve">Collins/Flint (eds.), </w:t>
      </w:r>
      <w:r w:rsidR="004027F9" w:rsidRPr="0007747D">
        <w:rPr>
          <w:bCs/>
          <w:i/>
          <w:sz w:val="22"/>
          <w:szCs w:val="22"/>
        </w:rPr>
        <w:t>The Book of Daniel</w:t>
      </w:r>
      <w:r w:rsidR="004027F9" w:rsidRPr="0007747D">
        <w:rPr>
          <w:bCs/>
          <w:sz w:val="22"/>
          <w:szCs w:val="22"/>
        </w:rPr>
        <w:t xml:space="preserve"> 2:586-607.</w:t>
      </w:r>
      <w:r w:rsidR="004027F9" w:rsidRPr="0007747D">
        <w:rPr>
          <w:sz w:val="22"/>
          <w:szCs w:val="22"/>
        </w:rPr>
        <w:t xml:space="preserve"> </w:t>
      </w:r>
      <w:r w:rsidR="0007747D" w:rsidRPr="0007747D">
        <w:rPr>
          <w:rFonts w:eastAsiaTheme="minorHAnsi" w:cs="TimesNewRomanPS-BoldMT"/>
          <w:b/>
          <w:bCs/>
          <w:sz w:val="22"/>
          <w:szCs w:val="22"/>
        </w:rPr>
        <w:t>DiTommaso, L</w:t>
      </w:r>
      <w:r w:rsidR="0007747D" w:rsidRPr="00250AFF">
        <w:rPr>
          <w:rFonts w:eastAsiaTheme="minorHAnsi" w:cs="TimesNewRomanPS-BoldMT"/>
          <w:b/>
          <w:bCs/>
          <w:sz w:val="22"/>
          <w:szCs w:val="22"/>
        </w:rPr>
        <w:t>.</w:t>
      </w:r>
      <w:r w:rsidR="0007747D" w:rsidRPr="00250AFF">
        <w:rPr>
          <w:rFonts w:eastAsiaTheme="minorHAnsi" w:cs="TimesNewRomanPS-BoldMT"/>
          <w:bCs/>
          <w:sz w:val="22"/>
          <w:szCs w:val="22"/>
        </w:rPr>
        <w:t xml:space="preserve"> </w:t>
      </w:r>
      <w:r w:rsidR="00250AFF" w:rsidRPr="00250AFF">
        <w:rPr>
          <w:rFonts w:eastAsiaTheme="minorHAnsi" w:cs="TimesNewRomanPS-BoldMT"/>
          <w:bCs/>
          <w:sz w:val="22"/>
          <w:szCs w:val="22"/>
        </w:rPr>
        <w:t>“</w:t>
      </w:r>
      <w:r w:rsidR="00250AFF" w:rsidRPr="00250AFF">
        <w:rPr>
          <w:rFonts w:eastAsiaTheme="minorHAnsi"/>
          <w:iCs/>
          <w:sz w:val="22"/>
          <w:szCs w:val="22"/>
        </w:rPr>
        <w:t xml:space="preserve">Apocalypses and Apocalypticism in Antiquity.” </w:t>
      </w:r>
      <w:r w:rsidR="00250AFF" w:rsidRPr="0007747D">
        <w:rPr>
          <w:rFonts w:eastAsia="Times New Roman" w:cs="Times New Roman"/>
          <w:b/>
          <w:bCs/>
          <w:color w:val="231F20"/>
          <w:sz w:val="22"/>
          <w:szCs w:val="22"/>
        </w:rPr>
        <w:t xml:space="preserve">———. </w:t>
      </w:r>
      <w:r w:rsidR="0007747D" w:rsidRPr="00250AFF">
        <w:rPr>
          <w:rFonts w:eastAsiaTheme="minorHAnsi" w:cs="TimesNewRomanPS-BoldMT"/>
          <w:bCs/>
          <w:sz w:val="22"/>
          <w:szCs w:val="22"/>
        </w:rPr>
        <w:t>“Daniel</w:t>
      </w:r>
      <w:r w:rsidR="0007747D" w:rsidRPr="0007747D">
        <w:rPr>
          <w:rFonts w:eastAsiaTheme="minorHAnsi" w:cs="TimesNewRomanPS-BoldMT"/>
          <w:bCs/>
          <w:sz w:val="22"/>
          <w:szCs w:val="22"/>
        </w:rPr>
        <w:t>, Apocalypses of.”</w:t>
      </w:r>
      <w:r w:rsidR="0007747D" w:rsidRPr="0007747D">
        <w:rPr>
          <w:rFonts w:eastAsiaTheme="minorHAnsi" w:cs="TimesNewRomanPS-BoldMT"/>
          <w:b/>
          <w:bCs/>
          <w:sz w:val="22"/>
          <w:szCs w:val="22"/>
        </w:rPr>
        <w:t xml:space="preserve">———. </w:t>
      </w:r>
      <w:r w:rsidR="0007747D" w:rsidRPr="0007747D">
        <w:rPr>
          <w:rFonts w:eastAsiaTheme="minorHAnsi" w:cs="TimesNewRomanPS-BoldItalicMT"/>
          <w:bCs/>
          <w:i/>
          <w:iCs/>
          <w:sz w:val="22"/>
          <w:szCs w:val="22"/>
        </w:rPr>
        <w:t>The Book ofDaniel and th</w:t>
      </w:r>
      <w:r w:rsidR="00250AFF">
        <w:rPr>
          <w:rFonts w:eastAsiaTheme="minorHAnsi" w:cs="TimesNewRomanPS-BoldItalicMT"/>
          <w:bCs/>
          <w:i/>
          <w:iCs/>
          <w:sz w:val="22"/>
          <w:szCs w:val="22"/>
        </w:rPr>
        <w:t xml:space="preserve">e Apocryphal Daniel Literature. </w:t>
      </w:r>
      <w:r w:rsidR="0007747D" w:rsidRPr="0007747D">
        <w:rPr>
          <w:rFonts w:eastAsia="Times New Roman" w:cs="Times New Roman"/>
          <w:b/>
          <w:bCs/>
          <w:color w:val="231F20"/>
          <w:sz w:val="22"/>
          <w:szCs w:val="22"/>
        </w:rPr>
        <w:t>———. “</w:t>
      </w:r>
      <w:r w:rsidR="0007747D" w:rsidRPr="0007747D">
        <w:rPr>
          <w:rFonts w:eastAsia="Times New Roman" w:cs="Times New Roman"/>
          <w:color w:val="231F20"/>
          <w:sz w:val="22"/>
          <w:szCs w:val="22"/>
        </w:rPr>
        <w:t>4Q Pseudo-Daniel</w:t>
      </w:r>
      <w:r w:rsidR="0007747D" w:rsidRPr="0007747D">
        <w:rPr>
          <w:rFonts w:eastAsia="Times New Roman" w:cs="Times New Roman"/>
          <w:color w:val="231F20"/>
          <w:sz w:val="22"/>
          <w:szCs w:val="22"/>
          <w:vertAlign w:val="superscript"/>
        </w:rPr>
        <w:t>A-B</w:t>
      </w:r>
      <w:r w:rsidR="0007747D" w:rsidRPr="0007747D">
        <w:rPr>
          <w:rFonts w:eastAsia="Times New Roman" w:cs="Times New Roman"/>
          <w:sz w:val="22"/>
          <w:szCs w:val="22"/>
          <w:vertAlign w:val="superscript"/>
        </w:rPr>
        <w:t xml:space="preserve"> </w:t>
      </w:r>
      <w:r w:rsidR="0007747D" w:rsidRPr="0007747D">
        <w:rPr>
          <w:rFonts w:eastAsia="Times New Roman" w:cs="Times New Roman"/>
          <w:color w:val="231F20"/>
          <w:spacing w:val="-15"/>
          <w:sz w:val="22"/>
          <w:szCs w:val="22"/>
        </w:rPr>
        <w:t>(4Q243</w:t>
      </w:r>
      <w:r w:rsidR="0007747D" w:rsidRPr="0007747D">
        <w:rPr>
          <w:rFonts w:eastAsia="Times New Roman" w:cs="Times New Roman"/>
          <w:color w:val="231F20"/>
          <w:sz w:val="22"/>
          <w:szCs w:val="22"/>
        </w:rPr>
        <w:t xml:space="preserve"> –4Q244) and the Book of Daniel.” </w:t>
      </w:r>
      <w:r w:rsidR="003F58A9" w:rsidRPr="0007747D">
        <w:rPr>
          <w:b/>
          <w:bCs/>
          <w:sz w:val="22"/>
          <w:szCs w:val="22"/>
        </w:rPr>
        <w:t>Du Toit, D. S.</w:t>
      </w:r>
      <w:r w:rsidR="003F58A9" w:rsidRPr="0007747D">
        <w:rPr>
          <w:bCs/>
          <w:sz w:val="22"/>
          <w:szCs w:val="22"/>
        </w:rPr>
        <w:t xml:space="preserve"> </w:t>
      </w:r>
      <w:r w:rsidR="00934A11" w:rsidRPr="0007747D">
        <w:rPr>
          <w:bCs/>
          <w:sz w:val="22"/>
          <w:szCs w:val="22"/>
        </w:rPr>
        <w:t>“</w:t>
      </w:r>
      <w:r w:rsidR="003F58A9" w:rsidRPr="0007747D">
        <w:rPr>
          <w:bCs/>
          <w:sz w:val="22"/>
          <w:szCs w:val="22"/>
        </w:rPr>
        <w:t>Die Danielrezeption in Markus 13,</w:t>
      </w:r>
      <w:r w:rsidR="00934A11" w:rsidRPr="0007747D">
        <w:rPr>
          <w:bCs/>
          <w:sz w:val="22"/>
          <w:szCs w:val="22"/>
        </w:rPr>
        <w:t>”</w:t>
      </w:r>
      <w:r w:rsidR="003F58A9" w:rsidRPr="0007747D">
        <w:rPr>
          <w:bCs/>
          <w:sz w:val="22"/>
          <w:szCs w:val="22"/>
        </w:rPr>
        <w:t xml:space="preserve"> in Bracht/du Toit</w:t>
      </w:r>
      <w:r w:rsidR="003F58A9" w:rsidRPr="0007747D">
        <w:rPr>
          <w:bCs/>
          <w:i/>
          <w:iCs/>
          <w:sz w:val="22"/>
          <w:szCs w:val="22"/>
        </w:rPr>
        <w:t xml:space="preserve"> </w:t>
      </w:r>
      <w:r w:rsidR="003F58A9" w:rsidRPr="0007747D">
        <w:rPr>
          <w:bCs/>
          <w:iCs/>
          <w:sz w:val="22"/>
          <w:szCs w:val="22"/>
        </w:rPr>
        <w:t xml:space="preserve">(eds.), </w:t>
      </w:r>
      <w:r w:rsidR="003F58A9" w:rsidRPr="0007747D">
        <w:rPr>
          <w:bCs/>
          <w:i/>
          <w:iCs/>
          <w:sz w:val="22"/>
          <w:szCs w:val="22"/>
        </w:rPr>
        <w:t>Die Geschichte der Daniel-Auslegung</w:t>
      </w:r>
      <w:r w:rsidR="003F58A9" w:rsidRPr="0007747D">
        <w:rPr>
          <w:bCs/>
          <w:iCs/>
          <w:sz w:val="22"/>
          <w:szCs w:val="22"/>
        </w:rPr>
        <w:t>, 55-</w:t>
      </w:r>
      <w:r w:rsidR="003F58A9" w:rsidRPr="00B740B4">
        <w:rPr>
          <w:bCs/>
          <w:iCs/>
          <w:sz w:val="22"/>
          <w:szCs w:val="22"/>
        </w:rPr>
        <w:t xml:space="preserve">76. </w:t>
      </w:r>
      <w:r w:rsidR="00A423CD" w:rsidRPr="00B740B4">
        <w:rPr>
          <w:b/>
          <w:bCs/>
          <w:iCs/>
          <w:sz w:val="22"/>
          <w:szCs w:val="22"/>
        </w:rPr>
        <w:t xml:space="preserve">Dulaey, M. </w:t>
      </w:r>
      <w:r w:rsidR="00934A11" w:rsidRPr="00B740B4">
        <w:rPr>
          <w:bCs/>
          <w:iCs/>
          <w:sz w:val="22"/>
          <w:szCs w:val="22"/>
        </w:rPr>
        <w:t>“</w:t>
      </w:r>
      <w:r w:rsidR="002766E4" w:rsidRPr="00B740B4">
        <w:rPr>
          <w:bCs/>
          <w:iCs/>
          <w:sz w:val="22"/>
          <w:szCs w:val="22"/>
        </w:rPr>
        <w:t>Daniel dans la fosse aux lions.</w:t>
      </w:r>
      <w:r w:rsidR="00934A11" w:rsidRPr="00B740B4">
        <w:rPr>
          <w:bCs/>
          <w:iCs/>
          <w:sz w:val="22"/>
          <w:szCs w:val="22"/>
        </w:rPr>
        <w:t>”</w:t>
      </w:r>
      <w:r w:rsidR="002766E4" w:rsidRPr="00B740B4">
        <w:rPr>
          <w:b/>
          <w:bCs/>
          <w:iCs/>
          <w:sz w:val="22"/>
          <w:szCs w:val="22"/>
        </w:rPr>
        <w:t xml:space="preserve"> ——— </w:t>
      </w:r>
      <w:r w:rsidR="00934A11" w:rsidRPr="00B740B4">
        <w:rPr>
          <w:bCs/>
          <w:iCs/>
          <w:sz w:val="22"/>
          <w:szCs w:val="22"/>
        </w:rPr>
        <w:t>“</w:t>
      </w:r>
      <w:r w:rsidR="00A423CD" w:rsidRPr="00B740B4">
        <w:rPr>
          <w:bCs/>
          <w:iCs/>
          <w:sz w:val="22"/>
          <w:szCs w:val="22"/>
        </w:rPr>
        <w:t>Les trois Hébreux</w:t>
      </w:r>
      <w:r w:rsidR="00A423CD" w:rsidRPr="00B740B4">
        <w:rPr>
          <w:b/>
          <w:bCs/>
          <w:iCs/>
          <w:sz w:val="22"/>
          <w:szCs w:val="22"/>
        </w:rPr>
        <w:t xml:space="preserve"> </w:t>
      </w:r>
      <w:r w:rsidR="003E7CF1" w:rsidRPr="00B740B4">
        <w:rPr>
          <w:bCs/>
          <w:iCs/>
          <w:sz w:val="22"/>
          <w:szCs w:val="22"/>
        </w:rPr>
        <w:t>dans la fournaise</w:t>
      </w:r>
      <w:r w:rsidR="001E6C80" w:rsidRPr="00B740B4">
        <w:rPr>
          <w:bCs/>
          <w:iCs/>
          <w:sz w:val="22"/>
          <w:szCs w:val="22"/>
        </w:rPr>
        <w:t>.</w:t>
      </w:r>
      <w:r w:rsidR="00934A11" w:rsidRPr="00B740B4">
        <w:rPr>
          <w:bCs/>
          <w:iCs/>
          <w:sz w:val="22"/>
          <w:szCs w:val="22"/>
        </w:rPr>
        <w:t>”</w:t>
      </w:r>
      <w:r w:rsidR="001E6C80" w:rsidRPr="00B740B4">
        <w:rPr>
          <w:bCs/>
          <w:iCs/>
          <w:sz w:val="22"/>
          <w:szCs w:val="22"/>
        </w:rPr>
        <w:t xml:space="preserve"> </w:t>
      </w:r>
      <w:r w:rsidR="001E6C80" w:rsidRPr="00B740B4">
        <w:rPr>
          <w:b/>
          <w:bCs/>
          <w:iCs/>
          <w:sz w:val="22"/>
          <w:szCs w:val="22"/>
        </w:rPr>
        <w:t xml:space="preserve">Dunbar, D. G. </w:t>
      </w:r>
      <w:r w:rsidR="00934A11" w:rsidRPr="00B740B4">
        <w:rPr>
          <w:bCs/>
          <w:iCs/>
          <w:sz w:val="22"/>
          <w:szCs w:val="22"/>
        </w:rPr>
        <w:t>“</w:t>
      </w:r>
      <w:r w:rsidR="001E6C80" w:rsidRPr="00B740B4">
        <w:rPr>
          <w:bCs/>
          <w:iCs/>
          <w:sz w:val="22"/>
          <w:szCs w:val="22"/>
        </w:rPr>
        <w:t>Hippolytus of Rome and the Eschatological Exegesis of the Early Church.</w:t>
      </w:r>
      <w:r w:rsidR="00934A11" w:rsidRPr="00B740B4">
        <w:rPr>
          <w:bCs/>
          <w:iCs/>
          <w:sz w:val="22"/>
          <w:szCs w:val="22"/>
        </w:rPr>
        <w:t>”</w:t>
      </w:r>
      <w:r w:rsidR="001E6C80" w:rsidRPr="00B740B4">
        <w:rPr>
          <w:bCs/>
          <w:iCs/>
          <w:sz w:val="22"/>
          <w:szCs w:val="22"/>
        </w:rPr>
        <w:t xml:space="preserve"> </w:t>
      </w:r>
      <w:r w:rsidR="00DB734E" w:rsidRPr="00B740B4">
        <w:rPr>
          <w:b/>
          <w:bCs/>
          <w:iCs/>
          <w:sz w:val="22"/>
          <w:szCs w:val="22"/>
        </w:rPr>
        <w:t xml:space="preserve">Dunn, G. D. </w:t>
      </w:r>
      <w:r w:rsidR="00934A11" w:rsidRPr="00B740B4">
        <w:rPr>
          <w:bCs/>
          <w:iCs/>
          <w:sz w:val="22"/>
          <w:szCs w:val="22"/>
        </w:rPr>
        <w:t>“</w:t>
      </w:r>
      <w:r w:rsidR="00F5577F" w:rsidRPr="00B740B4">
        <w:rPr>
          <w:bCs/>
          <w:i/>
          <w:iCs/>
          <w:sz w:val="22"/>
          <w:szCs w:val="22"/>
        </w:rPr>
        <w:t>Probabimus venisse eum iam.</w:t>
      </w:r>
      <w:r w:rsidR="00934A11" w:rsidRPr="00B740B4">
        <w:rPr>
          <w:bCs/>
          <w:i/>
          <w:iCs/>
          <w:sz w:val="22"/>
          <w:szCs w:val="22"/>
        </w:rPr>
        <w:t>”</w:t>
      </w:r>
      <w:r w:rsidR="00F5577F" w:rsidRPr="00B740B4">
        <w:rPr>
          <w:bCs/>
          <w:iCs/>
          <w:sz w:val="22"/>
          <w:szCs w:val="22"/>
        </w:rPr>
        <w:t xml:space="preserve"> </w:t>
      </w:r>
      <w:r w:rsidR="00EA5C48" w:rsidRPr="00B740B4">
        <w:rPr>
          <w:b/>
          <w:bCs/>
          <w:iCs/>
          <w:sz w:val="22"/>
          <w:szCs w:val="22"/>
        </w:rPr>
        <w:t xml:space="preserve">——— </w:t>
      </w:r>
      <w:r w:rsidR="00934A11" w:rsidRPr="00B740B4">
        <w:rPr>
          <w:b/>
          <w:bCs/>
          <w:iCs/>
          <w:sz w:val="22"/>
          <w:szCs w:val="22"/>
        </w:rPr>
        <w:t>“</w:t>
      </w:r>
      <w:r w:rsidR="00DB734E" w:rsidRPr="00B740B4">
        <w:rPr>
          <w:sz w:val="22"/>
          <w:szCs w:val="22"/>
        </w:rPr>
        <w:t>Tertullian and Daniel 9:24-27.</w:t>
      </w:r>
      <w:r w:rsidR="00934A11" w:rsidRPr="00B740B4">
        <w:rPr>
          <w:sz w:val="22"/>
          <w:szCs w:val="22"/>
        </w:rPr>
        <w:t>”</w:t>
      </w:r>
      <w:r w:rsidR="00DB734E" w:rsidRPr="00B740B4">
        <w:rPr>
          <w:sz w:val="22"/>
          <w:szCs w:val="22"/>
        </w:rPr>
        <w:t xml:space="preserve"> </w:t>
      </w:r>
      <w:r w:rsidR="00856F94" w:rsidRPr="00B740B4">
        <w:rPr>
          <w:b/>
          <w:sz w:val="22"/>
          <w:szCs w:val="22"/>
        </w:rPr>
        <w:t>Dunn, J. D. G.</w:t>
      </w:r>
      <w:r w:rsidR="00856F94" w:rsidRPr="00B740B4">
        <w:rPr>
          <w:sz w:val="22"/>
          <w:szCs w:val="22"/>
        </w:rPr>
        <w:t xml:space="preserve"> </w:t>
      </w:r>
      <w:r w:rsidR="00934A11" w:rsidRPr="00B740B4">
        <w:rPr>
          <w:sz w:val="22"/>
          <w:szCs w:val="22"/>
        </w:rPr>
        <w:t>“</w:t>
      </w:r>
      <w:r w:rsidR="00856F94" w:rsidRPr="00B740B4">
        <w:rPr>
          <w:sz w:val="22"/>
          <w:szCs w:val="22"/>
        </w:rPr>
        <w:t>The</w:t>
      </w:r>
      <w:r w:rsidR="00740AB8" w:rsidRPr="00B740B4">
        <w:rPr>
          <w:sz w:val="22"/>
          <w:szCs w:val="22"/>
        </w:rPr>
        <w:t xml:space="preserve"> Danielic Son of Man in the NT</w:t>
      </w:r>
      <w:r w:rsidR="00856F94" w:rsidRPr="00B740B4">
        <w:rPr>
          <w:sz w:val="22"/>
          <w:szCs w:val="22"/>
        </w:rPr>
        <w:t>,</w:t>
      </w:r>
      <w:r w:rsidR="00934A11" w:rsidRPr="00B740B4">
        <w:rPr>
          <w:sz w:val="22"/>
          <w:szCs w:val="22"/>
        </w:rPr>
        <w:t>”</w:t>
      </w:r>
      <w:r w:rsidR="00856F94" w:rsidRPr="00B740B4">
        <w:rPr>
          <w:sz w:val="22"/>
          <w:szCs w:val="22"/>
        </w:rPr>
        <w:t xml:space="preserve"> </w:t>
      </w:r>
      <w:r w:rsidR="00856F94" w:rsidRPr="00B740B4">
        <w:rPr>
          <w:bCs/>
          <w:sz w:val="22"/>
          <w:szCs w:val="22"/>
        </w:rPr>
        <w:t xml:space="preserve">in Collins/Flint (eds.), </w:t>
      </w:r>
      <w:r w:rsidR="00856F94" w:rsidRPr="00B740B4">
        <w:rPr>
          <w:bCs/>
          <w:i/>
          <w:sz w:val="22"/>
          <w:szCs w:val="22"/>
        </w:rPr>
        <w:t>The Book of Daniel</w:t>
      </w:r>
      <w:r w:rsidR="00856F94" w:rsidRPr="00B740B4">
        <w:rPr>
          <w:b/>
          <w:sz w:val="22"/>
          <w:szCs w:val="22"/>
        </w:rPr>
        <w:t xml:space="preserve"> </w:t>
      </w:r>
      <w:r w:rsidR="00856F94" w:rsidRPr="00B740B4">
        <w:rPr>
          <w:sz w:val="22"/>
          <w:szCs w:val="22"/>
        </w:rPr>
        <w:t>2:528-49.</w:t>
      </w:r>
      <w:r w:rsidR="00856F94" w:rsidRPr="00B740B4">
        <w:rPr>
          <w:b/>
          <w:i/>
          <w:sz w:val="22"/>
          <w:szCs w:val="22"/>
        </w:rPr>
        <w:t xml:space="preserve"> </w:t>
      </w:r>
      <w:r w:rsidR="00856F94" w:rsidRPr="00B740B4">
        <w:rPr>
          <w:b/>
          <w:sz w:val="22"/>
          <w:szCs w:val="22"/>
        </w:rPr>
        <w:t xml:space="preserve"> </w:t>
      </w:r>
      <w:r w:rsidR="00C63F02" w:rsidRPr="00B740B4">
        <w:rPr>
          <w:b/>
          <w:sz w:val="22"/>
          <w:szCs w:val="22"/>
        </w:rPr>
        <w:t xml:space="preserve">Ego, B. </w:t>
      </w:r>
      <w:r w:rsidR="00934A11" w:rsidRPr="00B740B4">
        <w:rPr>
          <w:sz w:val="22"/>
          <w:szCs w:val="22"/>
        </w:rPr>
        <w:t>“</w:t>
      </w:r>
      <w:r w:rsidR="00C63F02" w:rsidRPr="00B740B4">
        <w:rPr>
          <w:sz w:val="22"/>
          <w:szCs w:val="22"/>
        </w:rPr>
        <w:t>Daniel und die Rabbinen.</w:t>
      </w:r>
      <w:r w:rsidR="00934A11" w:rsidRPr="00B740B4">
        <w:rPr>
          <w:sz w:val="22"/>
          <w:szCs w:val="22"/>
        </w:rPr>
        <w:t>”</w:t>
      </w:r>
      <w:r w:rsidR="00C63F02" w:rsidRPr="00B740B4">
        <w:rPr>
          <w:sz w:val="22"/>
          <w:szCs w:val="22"/>
        </w:rPr>
        <w:t xml:space="preserve"> </w:t>
      </w:r>
      <w:r w:rsidR="0090678A" w:rsidRPr="00B740B4">
        <w:rPr>
          <w:b/>
          <w:sz w:val="22"/>
          <w:szCs w:val="22"/>
        </w:rPr>
        <w:t>Eshel, E.</w:t>
      </w:r>
      <w:r w:rsidR="0090678A" w:rsidRPr="00B740B4">
        <w:rPr>
          <w:sz w:val="22"/>
          <w:szCs w:val="22"/>
        </w:rPr>
        <w:t xml:space="preserve"> “Possibl</w:t>
      </w:r>
      <w:r w:rsidR="00250AFF">
        <w:rPr>
          <w:sz w:val="22"/>
          <w:szCs w:val="22"/>
        </w:rPr>
        <w:t>e Sources of the Book of Daniel,</w:t>
      </w:r>
      <w:r w:rsidR="0090678A" w:rsidRPr="00B740B4">
        <w:rPr>
          <w:sz w:val="22"/>
          <w:szCs w:val="22"/>
        </w:rPr>
        <w:t xml:space="preserve">” </w:t>
      </w:r>
      <w:r w:rsidR="00250AFF">
        <w:rPr>
          <w:rFonts w:eastAsia="Times-Roman"/>
          <w:sz w:val="22"/>
          <w:szCs w:val="22"/>
        </w:rPr>
        <w:t>i</w:t>
      </w:r>
      <w:r w:rsidR="0090678A" w:rsidRPr="00B740B4">
        <w:rPr>
          <w:rFonts w:eastAsia="Times-Roman"/>
          <w:sz w:val="22"/>
          <w:szCs w:val="22"/>
        </w:rPr>
        <w:t xml:space="preserve">n </w:t>
      </w:r>
      <w:r w:rsidR="0090678A" w:rsidRPr="00B740B4">
        <w:rPr>
          <w:rFonts w:eastAsia="Times-Roman"/>
          <w:bCs/>
          <w:sz w:val="22"/>
          <w:szCs w:val="22"/>
        </w:rPr>
        <w:t xml:space="preserve">Collins/Flint (eds.), </w:t>
      </w:r>
      <w:r w:rsidR="0090678A" w:rsidRPr="00B740B4">
        <w:rPr>
          <w:rFonts w:eastAsia="Times-Roman"/>
          <w:bCs/>
          <w:i/>
          <w:sz w:val="22"/>
          <w:szCs w:val="22"/>
        </w:rPr>
        <w:t>The Book of Daniel</w:t>
      </w:r>
      <w:r w:rsidR="0090678A" w:rsidRPr="00B740B4">
        <w:rPr>
          <w:rFonts w:eastAsia="Times-Roman"/>
          <w:bCs/>
          <w:sz w:val="22"/>
          <w:szCs w:val="22"/>
        </w:rPr>
        <w:t xml:space="preserve"> 2:387-94. </w:t>
      </w:r>
      <w:r w:rsidR="00066669" w:rsidRPr="00B740B4">
        <w:rPr>
          <w:b/>
          <w:sz w:val="22"/>
          <w:szCs w:val="22"/>
        </w:rPr>
        <w:t>Evans, C. A.</w:t>
      </w:r>
      <w:r w:rsidR="00740AB8" w:rsidRPr="00B740B4">
        <w:rPr>
          <w:sz w:val="22"/>
          <w:szCs w:val="22"/>
        </w:rPr>
        <w:t xml:space="preserve"> </w:t>
      </w:r>
      <w:r w:rsidR="00934A11" w:rsidRPr="00B740B4">
        <w:rPr>
          <w:sz w:val="22"/>
          <w:szCs w:val="22"/>
        </w:rPr>
        <w:t>“</w:t>
      </w:r>
      <w:r w:rsidR="00740AB8" w:rsidRPr="00B740B4">
        <w:rPr>
          <w:sz w:val="22"/>
          <w:szCs w:val="22"/>
        </w:rPr>
        <w:t>Daniel in the NT</w:t>
      </w:r>
      <w:r w:rsidR="00066669" w:rsidRPr="00B740B4">
        <w:rPr>
          <w:sz w:val="22"/>
          <w:szCs w:val="22"/>
        </w:rPr>
        <w:t>,</w:t>
      </w:r>
      <w:r w:rsidR="00934A11" w:rsidRPr="00B740B4">
        <w:rPr>
          <w:sz w:val="22"/>
          <w:szCs w:val="22"/>
        </w:rPr>
        <w:t>”</w:t>
      </w:r>
      <w:r w:rsidR="00066669" w:rsidRPr="00B740B4">
        <w:rPr>
          <w:sz w:val="22"/>
          <w:szCs w:val="22"/>
        </w:rPr>
        <w:t xml:space="preserve"> </w:t>
      </w:r>
      <w:r w:rsidR="00066669" w:rsidRPr="00B740B4">
        <w:rPr>
          <w:bCs/>
          <w:sz w:val="22"/>
          <w:szCs w:val="22"/>
        </w:rPr>
        <w:t xml:space="preserve">in Collins/Flint (eds.), </w:t>
      </w:r>
      <w:r w:rsidR="00066669" w:rsidRPr="00B740B4">
        <w:rPr>
          <w:bCs/>
          <w:i/>
          <w:sz w:val="22"/>
          <w:szCs w:val="22"/>
        </w:rPr>
        <w:t>The Book of Daniel</w:t>
      </w:r>
      <w:r w:rsidR="00856F94" w:rsidRPr="00B740B4">
        <w:rPr>
          <w:bCs/>
          <w:sz w:val="22"/>
          <w:szCs w:val="22"/>
        </w:rPr>
        <w:t xml:space="preserve"> 2:490-527.</w:t>
      </w:r>
      <w:r w:rsidR="00066669" w:rsidRPr="00B740B4">
        <w:rPr>
          <w:bCs/>
          <w:sz w:val="22"/>
          <w:szCs w:val="22"/>
        </w:rPr>
        <w:t xml:space="preserve"> </w:t>
      </w:r>
      <w:r w:rsidR="00796A9C" w:rsidRPr="00B740B4">
        <w:rPr>
          <w:b/>
          <w:bCs/>
          <w:sz w:val="22"/>
          <w:szCs w:val="22"/>
        </w:rPr>
        <w:t xml:space="preserve">Farrell, R. T. </w:t>
      </w:r>
      <w:r w:rsidR="00796A9C" w:rsidRPr="00B740B4">
        <w:rPr>
          <w:bCs/>
          <w:i/>
          <w:sz w:val="22"/>
          <w:szCs w:val="22"/>
        </w:rPr>
        <w:t>Daniel and Azarias</w:t>
      </w:r>
      <w:r w:rsidR="00796A9C" w:rsidRPr="00B740B4">
        <w:rPr>
          <w:b/>
          <w:bCs/>
          <w:sz w:val="22"/>
          <w:szCs w:val="22"/>
        </w:rPr>
        <w:t xml:space="preserve">. </w:t>
      </w:r>
      <w:r w:rsidR="001B2642" w:rsidRPr="00B740B4">
        <w:rPr>
          <w:b/>
          <w:sz w:val="22"/>
          <w:szCs w:val="22"/>
        </w:rPr>
        <w:t>Farrer, A. M.</w:t>
      </w:r>
      <w:r w:rsidR="001B2642" w:rsidRPr="00B740B4">
        <w:rPr>
          <w:sz w:val="22"/>
          <w:szCs w:val="22"/>
        </w:rPr>
        <w:t xml:space="preserve"> </w:t>
      </w:r>
      <w:r w:rsidR="001B2642" w:rsidRPr="00B740B4">
        <w:rPr>
          <w:i/>
          <w:sz w:val="22"/>
          <w:szCs w:val="22"/>
        </w:rPr>
        <w:t>A Study in St. Mark</w:t>
      </w:r>
      <w:r w:rsidR="001B2642" w:rsidRPr="00B740B4">
        <w:rPr>
          <w:sz w:val="22"/>
          <w:szCs w:val="22"/>
        </w:rPr>
        <w:t xml:space="preserve">, 247–89. </w:t>
      </w:r>
      <w:r w:rsidR="00833833" w:rsidRPr="00B740B4">
        <w:rPr>
          <w:b/>
          <w:sz w:val="22"/>
          <w:szCs w:val="22"/>
        </w:rPr>
        <w:t xml:space="preserve">Feldman, L. H. </w:t>
      </w:r>
      <w:r w:rsidR="00934A11" w:rsidRPr="00B740B4">
        <w:rPr>
          <w:rFonts w:eastAsiaTheme="minorHAnsi" w:cs="TimesNewRomanPSMT"/>
          <w:sz w:val="22"/>
          <w:szCs w:val="22"/>
        </w:rPr>
        <w:t>“</w:t>
      </w:r>
      <w:r w:rsidR="00263B82" w:rsidRPr="00B740B4">
        <w:rPr>
          <w:rFonts w:eastAsiaTheme="minorHAnsi" w:cs="TimesNewRomanPSMT"/>
          <w:sz w:val="22"/>
          <w:szCs w:val="22"/>
        </w:rPr>
        <w:t>Josephus' Portrait of Daniel.</w:t>
      </w:r>
      <w:r w:rsidR="00934A11" w:rsidRPr="00B740B4">
        <w:rPr>
          <w:rFonts w:eastAsiaTheme="minorHAnsi" w:cs="TimesNewRomanPSMT"/>
          <w:sz w:val="22"/>
          <w:szCs w:val="22"/>
        </w:rPr>
        <w:t>”</w:t>
      </w:r>
      <w:r w:rsidR="00833833" w:rsidRPr="00B740B4">
        <w:rPr>
          <w:rFonts w:eastAsiaTheme="minorHAnsi" w:cs="TimesNewRomanPSMT"/>
          <w:sz w:val="22"/>
          <w:szCs w:val="22"/>
        </w:rPr>
        <w:t xml:space="preserve"> </w:t>
      </w:r>
      <w:r w:rsidR="001B2642" w:rsidRPr="00B740B4">
        <w:rPr>
          <w:b/>
          <w:sz w:val="22"/>
          <w:szCs w:val="22"/>
        </w:rPr>
        <w:t>Ferch, A. J.</w:t>
      </w:r>
      <w:r w:rsidR="001B2642" w:rsidRPr="00B740B4">
        <w:rPr>
          <w:sz w:val="22"/>
          <w:szCs w:val="22"/>
        </w:rPr>
        <w:t xml:space="preserve"> </w:t>
      </w:r>
      <w:r w:rsidR="001B2642" w:rsidRPr="00B740B4">
        <w:rPr>
          <w:i/>
          <w:sz w:val="22"/>
          <w:szCs w:val="22"/>
        </w:rPr>
        <w:t>The Son of Man in Daniel 7</w:t>
      </w:r>
      <w:r w:rsidR="001B2642" w:rsidRPr="00B740B4">
        <w:rPr>
          <w:sz w:val="22"/>
          <w:szCs w:val="22"/>
        </w:rPr>
        <w:t xml:space="preserve">. ———. </w:t>
      </w:r>
      <w:r w:rsidR="00934A11" w:rsidRPr="00B740B4">
        <w:rPr>
          <w:sz w:val="22"/>
          <w:szCs w:val="22"/>
        </w:rPr>
        <w:t>“</w:t>
      </w:r>
      <w:r w:rsidR="001B2642" w:rsidRPr="00B740B4">
        <w:rPr>
          <w:sz w:val="22"/>
          <w:szCs w:val="22"/>
        </w:rPr>
        <w:t>Porphyry: An Heir to Christian Exegesis?</w:t>
      </w:r>
      <w:r w:rsidR="00934A11" w:rsidRPr="00B740B4">
        <w:rPr>
          <w:sz w:val="22"/>
          <w:szCs w:val="22"/>
        </w:rPr>
        <w:t>”</w:t>
      </w:r>
      <w:r w:rsidR="001B2642" w:rsidRPr="00B740B4">
        <w:rPr>
          <w:sz w:val="22"/>
          <w:szCs w:val="22"/>
        </w:rPr>
        <w:t xml:space="preserve"> </w:t>
      </w:r>
      <w:r w:rsidR="001B2642" w:rsidRPr="00B740B4">
        <w:rPr>
          <w:b/>
          <w:sz w:val="22"/>
          <w:szCs w:val="22"/>
        </w:rPr>
        <w:t>Firth, K. R.</w:t>
      </w:r>
      <w:r w:rsidR="001B2642" w:rsidRPr="00B740B4">
        <w:rPr>
          <w:sz w:val="22"/>
          <w:szCs w:val="22"/>
        </w:rPr>
        <w:t xml:space="preserve"> </w:t>
      </w:r>
      <w:r w:rsidR="001B2642" w:rsidRPr="00B740B4">
        <w:rPr>
          <w:i/>
          <w:sz w:val="22"/>
          <w:szCs w:val="22"/>
        </w:rPr>
        <w:t>The Apocalyptic Tradition in Reformation Britain</w:t>
      </w:r>
      <w:r w:rsidR="001B2642" w:rsidRPr="00B740B4">
        <w:rPr>
          <w:sz w:val="22"/>
          <w:szCs w:val="22"/>
        </w:rPr>
        <w:t xml:space="preserve">. </w:t>
      </w:r>
      <w:r w:rsidR="001B2642" w:rsidRPr="00B740B4">
        <w:rPr>
          <w:b/>
          <w:sz w:val="22"/>
          <w:szCs w:val="22"/>
        </w:rPr>
        <w:t>Fischer, U.</w:t>
      </w:r>
      <w:r w:rsidR="001B2642" w:rsidRPr="00B740B4">
        <w:rPr>
          <w:sz w:val="22"/>
          <w:szCs w:val="22"/>
        </w:rPr>
        <w:t xml:space="preserve"> </w:t>
      </w:r>
      <w:r w:rsidR="001B2642" w:rsidRPr="00B740B4">
        <w:rPr>
          <w:i/>
          <w:sz w:val="22"/>
          <w:szCs w:val="22"/>
        </w:rPr>
        <w:t>Eschatologie und Jenseitserwartung im hellenistischen Diasporajudentum</w:t>
      </w:r>
      <w:r w:rsidR="001B2642" w:rsidRPr="00B740B4">
        <w:rPr>
          <w:sz w:val="22"/>
          <w:szCs w:val="22"/>
        </w:rPr>
        <w:t xml:space="preserve">, 157–83. </w:t>
      </w:r>
      <w:r w:rsidR="00165C72" w:rsidRPr="00B740B4">
        <w:rPr>
          <w:b/>
          <w:sz w:val="22"/>
          <w:szCs w:val="22"/>
        </w:rPr>
        <w:t>Fishbane, M.</w:t>
      </w:r>
      <w:r w:rsidR="00165C72" w:rsidRPr="00B740B4">
        <w:rPr>
          <w:sz w:val="22"/>
          <w:szCs w:val="22"/>
        </w:rPr>
        <w:t xml:space="preserve"> </w:t>
      </w:r>
      <w:r w:rsidR="00165C72" w:rsidRPr="00B740B4">
        <w:rPr>
          <w:i/>
          <w:sz w:val="22"/>
          <w:szCs w:val="22"/>
        </w:rPr>
        <w:t>Biblical Interpretation in Ancient Israel</w:t>
      </w:r>
      <w:r w:rsidR="00165C72" w:rsidRPr="00B740B4">
        <w:rPr>
          <w:sz w:val="22"/>
          <w:szCs w:val="22"/>
        </w:rPr>
        <w:t xml:space="preserve">, 441–543. </w:t>
      </w:r>
      <w:r w:rsidR="001B2642" w:rsidRPr="00B740B4">
        <w:rPr>
          <w:b/>
          <w:sz w:val="22"/>
          <w:szCs w:val="22"/>
        </w:rPr>
        <w:t>Fitzmyer, J. A.</w:t>
      </w:r>
      <w:r w:rsidR="001B2642" w:rsidRPr="00B740B4">
        <w:rPr>
          <w:sz w:val="22"/>
          <w:szCs w:val="22"/>
        </w:rPr>
        <w:t xml:space="preserve"> </w:t>
      </w:r>
      <w:r w:rsidR="00934A11" w:rsidRPr="00B740B4">
        <w:rPr>
          <w:sz w:val="22"/>
          <w:szCs w:val="22"/>
        </w:rPr>
        <w:t>“</w:t>
      </w:r>
      <w:r w:rsidR="001B2642" w:rsidRPr="00B740B4">
        <w:rPr>
          <w:sz w:val="22"/>
          <w:szCs w:val="22"/>
        </w:rPr>
        <w:t>Further Light on Melchizedek from Qumran Cave 11</w:t>
      </w:r>
      <w:r w:rsidR="001B2642" w:rsidRPr="00F72CC5">
        <w:rPr>
          <w:sz w:val="22"/>
          <w:szCs w:val="22"/>
        </w:rPr>
        <w:t>.</w:t>
      </w:r>
      <w:r w:rsidR="00934A11" w:rsidRPr="00F72CC5">
        <w:rPr>
          <w:sz w:val="22"/>
          <w:szCs w:val="22"/>
        </w:rPr>
        <w:t>”</w:t>
      </w:r>
      <w:r w:rsidR="001B2642" w:rsidRPr="00F72CC5">
        <w:rPr>
          <w:sz w:val="22"/>
          <w:szCs w:val="22"/>
        </w:rPr>
        <w:t xml:space="preserve"> </w:t>
      </w:r>
      <w:r w:rsidR="00F72CC5" w:rsidRPr="00F72CC5">
        <w:rPr>
          <w:rFonts w:eastAsiaTheme="minorHAnsi" w:cs="TimesNewRoman"/>
          <w:b/>
          <w:iCs/>
          <w:sz w:val="22"/>
          <w:szCs w:val="22"/>
        </w:rPr>
        <w:t xml:space="preserve">Flint, P. W. </w:t>
      </w:r>
      <w:r w:rsidR="00F72CC5" w:rsidRPr="00F72CC5">
        <w:rPr>
          <w:rFonts w:eastAsiaTheme="minorHAnsi" w:cs="TimesNewRoman"/>
          <w:iCs/>
          <w:sz w:val="22"/>
          <w:szCs w:val="22"/>
        </w:rPr>
        <w:t xml:space="preserve">“The Daniel Tradiiton at Qumran,” </w:t>
      </w:r>
      <w:r w:rsidR="00250AFF">
        <w:rPr>
          <w:rFonts w:eastAsiaTheme="minorHAnsi" w:cs="TimesNewRoman"/>
          <w:sz w:val="22"/>
          <w:szCs w:val="22"/>
        </w:rPr>
        <w:t>in</w:t>
      </w:r>
      <w:r w:rsidR="00F72CC5" w:rsidRPr="00F72CC5">
        <w:rPr>
          <w:rFonts w:eastAsiaTheme="minorHAnsi" w:cs="TimesNewRoman"/>
          <w:sz w:val="22"/>
          <w:szCs w:val="22"/>
        </w:rPr>
        <w:t xml:space="preserve"> </w:t>
      </w:r>
      <w:r w:rsidR="00F72CC5" w:rsidRPr="00F72CC5">
        <w:rPr>
          <w:rFonts w:eastAsiaTheme="minorHAnsi" w:cs="TimesNewRoman"/>
          <w:bCs/>
          <w:sz w:val="22"/>
          <w:szCs w:val="22"/>
        </w:rPr>
        <w:t xml:space="preserve">Collins/Flint (eds.), </w:t>
      </w:r>
      <w:r w:rsidR="00F72CC5" w:rsidRPr="00F72CC5">
        <w:rPr>
          <w:rFonts w:eastAsiaTheme="minorHAnsi" w:cs="TimesNewRoman"/>
          <w:bCs/>
          <w:i/>
          <w:sz w:val="22"/>
          <w:szCs w:val="22"/>
        </w:rPr>
        <w:t>The Book of Daniel</w:t>
      </w:r>
      <w:r w:rsidR="00F72CC5">
        <w:rPr>
          <w:rFonts w:eastAsiaTheme="minorHAnsi" w:cs="TimesNewRoman"/>
          <w:bCs/>
          <w:sz w:val="22"/>
          <w:szCs w:val="22"/>
        </w:rPr>
        <w:t xml:space="preserve"> 2:329-67. </w:t>
      </w:r>
      <w:r w:rsidR="001B2642" w:rsidRPr="00B740B4">
        <w:rPr>
          <w:b/>
          <w:sz w:val="22"/>
          <w:szCs w:val="22"/>
        </w:rPr>
        <w:t>Fraidl, F.</w:t>
      </w:r>
      <w:r w:rsidR="001B2642" w:rsidRPr="00B740B4">
        <w:rPr>
          <w:sz w:val="22"/>
          <w:szCs w:val="22"/>
        </w:rPr>
        <w:t xml:space="preserve"> </w:t>
      </w:r>
      <w:r w:rsidR="001B2642" w:rsidRPr="00B740B4">
        <w:rPr>
          <w:i/>
          <w:sz w:val="22"/>
          <w:szCs w:val="22"/>
        </w:rPr>
        <w:t>Die Exegese der siebzig Wochen Daniels</w:t>
      </w:r>
      <w:r w:rsidR="001B2642" w:rsidRPr="00B740B4">
        <w:rPr>
          <w:sz w:val="22"/>
          <w:szCs w:val="22"/>
        </w:rPr>
        <w:t xml:space="preserve">. </w:t>
      </w:r>
      <w:r w:rsidR="003662E8" w:rsidRPr="00250AFF">
        <w:rPr>
          <w:rFonts w:eastAsia="Times-Roman"/>
          <w:b/>
          <w:sz w:val="22"/>
          <w:szCs w:val="22"/>
        </w:rPr>
        <w:t xml:space="preserve">Frisch, A. </w:t>
      </w:r>
      <w:r w:rsidR="003662E8" w:rsidRPr="00250AFF">
        <w:rPr>
          <w:rFonts w:eastAsia="Times-Roman"/>
          <w:i/>
          <w:sz w:val="22"/>
          <w:szCs w:val="22"/>
        </w:rPr>
        <w:t>The</w:t>
      </w:r>
      <w:r w:rsidR="003662E8" w:rsidRPr="00250AFF">
        <w:rPr>
          <w:rFonts w:eastAsia="Times-Roman"/>
          <w:b/>
          <w:i/>
          <w:sz w:val="22"/>
          <w:szCs w:val="22"/>
        </w:rPr>
        <w:t xml:space="preserve"> </w:t>
      </w:r>
      <w:r w:rsidR="003662E8" w:rsidRPr="00250AFF">
        <w:rPr>
          <w:rFonts w:eastAsia="Times-Roman"/>
          <w:i/>
          <w:sz w:val="22"/>
          <w:szCs w:val="22"/>
        </w:rPr>
        <w:t xml:space="preserve">Danielic Discourse </w:t>
      </w:r>
      <w:r w:rsidR="003662E8" w:rsidRPr="00250AFF">
        <w:rPr>
          <w:i/>
          <w:sz w:val="22"/>
          <w:szCs w:val="22"/>
        </w:rPr>
        <w:t xml:space="preserve">on Empire in </w:t>
      </w:r>
      <w:r w:rsidR="003662E8" w:rsidRPr="00250AFF">
        <w:rPr>
          <w:i/>
          <w:sz w:val="22"/>
          <w:szCs w:val="22"/>
        </w:rPr>
        <w:lastRenderedPageBreak/>
        <w:t>Second Temple Literature.</w:t>
      </w:r>
      <w:r w:rsidR="003662E8" w:rsidRPr="00B740B4">
        <w:rPr>
          <w:b/>
          <w:sz w:val="22"/>
          <w:szCs w:val="22"/>
        </w:rPr>
        <w:t xml:space="preserve"> </w:t>
      </w:r>
      <w:r w:rsidR="001B2642" w:rsidRPr="00B740B4">
        <w:rPr>
          <w:b/>
          <w:sz w:val="22"/>
          <w:szCs w:val="22"/>
        </w:rPr>
        <w:t>Froom, L. E.</w:t>
      </w:r>
      <w:r w:rsidR="001B2642" w:rsidRPr="00B740B4">
        <w:rPr>
          <w:sz w:val="22"/>
          <w:szCs w:val="22"/>
        </w:rPr>
        <w:t xml:space="preserve"> </w:t>
      </w:r>
      <w:r w:rsidR="001B2642" w:rsidRPr="00B740B4">
        <w:rPr>
          <w:i/>
          <w:sz w:val="22"/>
          <w:szCs w:val="22"/>
        </w:rPr>
        <w:t>The Prophetic Faith of Our Fathers</w:t>
      </w:r>
      <w:r w:rsidR="001B2642" w:rsidRPr="00B740B4">
        <w:rPr>
          <w:sz w:val="22"/>
          <w:szCs w:val="22"/>
        </w:rPr>
        <w:t xml:space="preserve">. </w:t>
      </w:r>
      <w:r w:rsidR="001B2642" w:rsidRPr="00B740B4">
        <w:rPr>
          <w:b/>
          <w:sz w:val="22"/>
          <w:szCs w:val="22"/>
        </w:rPr>
        <w:t>Fruchtman, J.</w:t>
      </w:r>
      <w:r w:rsidR="001B2642" w:rsidRPr="00B740B4">
        <w:rPr>
          <w:sz w:val="22"/>
          <w:szCs w:val="22"/>
        </w:rPr>
        <w:t xml:space="preserve"> </w:t>
      </w:r>
      <w:r w:rsidR="001B2642" w:rsidRPr="00B740B4">
        <w:rPr>
          <w:i/>
          <w:sz w:val="22"/>
          <w:szCs w:val="22"/>
        </w:rPr>
        <w:t>The Apocalyptic Politics of Richard Price and Joseph Priestley</w:t>
      </w:r>
      <w:r w:rsidR="001B2642" w:rsidRPr="00B740B4">
        <w:rPr>
          <w:sz w:val="22"/>
          <w:szCs w:val="22"/>
        </w:rPr>
        <w:t xml:space="preserve">. </w:t>
      </w:r>
      <w:r w:rsidR="001B2642" w:rsidRPr="00B740B4">
        <w:rPr>
          <w:b/>
          <w:sz w:val="22"/>
          <w:szCs w:val="22"/>
        </w:rPr>
        <w:t>Gammie, J. G.</w:t>
      </w:r>
      <w:r w:rsidR="001B2642" w:rsidRPr="00B740B4">
        <w:rPr>
          <w:sz w:val="22"/>
          <w:szCs w:val="22"/>
        </w:rPr>
        <w:t xml:space="preserve"> </w:t>
      </w:r>
      <w:r w:rsidR="00934A11" w:rsidRPr="00B740B4">
        <w:rPr>
          <w:sz w:val="22"/>
          <w:szCs w:val="22"/>
        </w:rPr>
        <w:t>“</w:t>
      </w:r>
      <w:r w:rsidR="001B2642" w:rsidRPr="00B740B4">
        <w:rPr>
          <w:sz w:val="22"/>
          <w:szCs w:val="22"/>
        </w:rPr>
        <w:t>A Journey through Danielic Spaces.</w:t>
      </w:r>
      <w:r w:rsidR="00934A11" w:rsidRPr="00B740B4">
        <w:rPr>
          <w:sz w:val="22"/>
          <w:szCs w:val="22"/>
        </w:rPr>
        <w:t>”</w:t>
      </w:r>
      <w:r w:rsidR="001B2642" w:rsidRPr="00B740B4">
        <w:rPr>
          <w:sz w:val="22"/>
          <w:szCs w:val="22"/>
        </w:rPr>
        <w:t xml:space="preserve"> </w:t>
      </w:r>
      <w:r w:rsidR="00087C5E" w:rsidRPr="00B740B4">
        <w:rPr>
          <w:b/>
          <w:sz w:val="22"/>
          <w:szCs w:val="22"/>
        </w:rPr>
        <w:t xml:space="preserve">García </w:t>
      </w:r>
      <w:r w:rsidR="00087C5E" w:rsidRPr="00B740B4">
        <w:rPr>
          <w:b/>
          <w:iCs/>
          <w:sz w:val="22"/>
          <w:szCs w:val="22"/>
        </w:rPr>
        <w:t>Martínez</w:t>
      </w:r>
      <w:r w:rsidR="00087C5E" w:rsidRPr="00B740B4">
        <w:rPr>
          <w:b/>
          <w:sz w:val="22"/>
          <w:szCs w:val="22"/>
        </w:rPr>
        <w:t>, F.</w:t>
      </w:r>
      <w:r w:rsidR="00087C5E" w:rsidRPr="00B740B4">
        <w:rPr>
          <w:sz w:val="22"/>
          <w:szCs w:val="22"/>
        </w:rPr>
        <w:t xml:space="preserve"> </w:t>
      </w:r>
      <w:r w:rsidR="00934A11" w:rsidRPr="00B740B4">
        <w:rPr>
          <w:sz w:val="22"/>
          <w:szCs w:val="22"/>
        </w:rPr>
        <w:t>“</w:t>
      </w:r>
      <w:r w:rsidR="00087C5E" w:rsidRPr="00B740B4">
        <w:rPr>
          <w:iCs/>
          <w:sz w:val="22"/>
          <w:szCs w:val="22"/>
        </w:rPr>
        <w:t>Parabiblical Literature</w:t>
      </w:r>
      <w:r w:rsidR="00087C5E" w:rsidRPr="00B740B4">
        <w:rPr>
          <w:sz w:val="22"/>
          <w:szCs w:val="22"/>
        </w:rPr>
        <w:t xml:space="preserve"> from Qumran and the </w:t>
      </w:r>
      <w:r w:rsidR="00087C5E" w:rsidRPr="00B740B4">
        <w:rPr>
          <w:iCs/>
          <w:sz w:val="22"/>
          <w:szCs w:val="22"/>
        </w:rPr>
        <w:t>Canonical Process</w:t>
      </w:r>
      <w:r w:rsidR="00087C5E" w:rsidRPr="00B740B4">
        <w:rPr>
          <w:sz w:val="22"/>
          <w:szCs w:val="22"/>
        </w:rPr>
        <w:t>.</w:t>
      </w:r>
      <w:r w:rsidR="00934A11" w:rsidRPr="00B740B4">
        <w:rPr>
          <w:sz w:val="22"/>
          <w:szCs w:val="22"/>
        </w:rPr>
        <w:t>”</w:t>
      </w:r>
      <w:r w:rsidR="00087C5E" w:rsidRPr="00B740B4">
        <w:rPr>
          <w:sz w:val="22"/>
          <w:szCs w:val="22"/>
        </w:rPr>
        <w:t xml:space="preserve"> </w:t>
      </w:r>
      <w:r w:rsidR="00EA5C48" w:rsidRPr="00B740B4">
        <w:rPr>
          <w:sz w:val="22"/>
          <w:szCs w:val="22"/>
        </w:rPr>
        <w:t>———</w:t>
      </w:r>
      <w:r w:rsidR="003975EC" w:rsidRPr="00B740B4">
        <w:rPr>
          <w:sz w:val="22"/>
          <w:szCs w:val="22"/>
        </w:rPr>
        <w:t>.</w:t>
      </w:r>
      <w:r w:rsidR="00087C5E" w:rsidRPr="00B740B4">
        <w:rPr>
          <w:sz w:val="22"/>
          <w:szCs w:val="22"/>
        </w:rPr>
        <w:t xml:space="preserve"> </w:t>
      </w:r>
      <w:r w:rsidR="003975EC" w:rsidRPr="00B740B4">
        <w:rPr>
          <w:i/>
          <w:sz w:val="22"/>
          <w:szCs w:val="22"/>
        </w:rPr>
        <w:t>Qumran and Apocalyptic</w:t>
      </w:r>
      <w:r w:rsidR="003975EC" w:rsidRPr="00B740B4">
        <w:rPr>
          <w:sz w:val="22"/>
          <w:szCs w:val="22"/>
        </w:rPr>
        <w:t>.</w:t>
      </w:r>
      <w:r w:rsidR="003975EC" w:rsidRPr="00B740B4">
        <w:rPr>
          <w:i/>
          <w:sz w:val="22"/>
          <w:szCs w:val="22"/>
        </w:rPr>
        <w:t xml:space="preserve"> </w:t>
      </w:r>
      <w:r w:rsidR="00351D5C">
        <w:rPr>
          <w:sz w:val="22"/>
          <w:szCs w:val="22"/>
        </w:rPr>
        <w:t xml:space="preserve"> </w:t>
      </w:r>
      <w:r w:rsidR="00351D5C" w:rsidRPr="00351D5C">
        <w:rPr>
          <w:b/>
          <w:sz w:val="22"/>
          <w:szCs w:val="22"/>
        </w:rPr>
        <w:t xml:space="preserve">García </w:t>
      </w:r>
      <w:r w:rsidR="00351D5C" w:rsidRPr="00351D5C">
        <w:rPr>
          <w:b/>
          <w:iCs/>
          <w:sz w:val="22"/>
          <w:szCs w:val="22"/>
        </w:rPr>
        <w:t>Martínez</w:t>
      </w:r>
      <w:r w:rsidR="00351D5C" w:rsidRPr="00351D5C">
        <w:rPr>
          <w:b/>
          <w:sz w:val="22"/>
          <w:szCs w:val="22"/>
        </w:rPr>
        <w:t>, F.</w:t>
      </w:r>
      <w:r w:rsidR="00351D5C">
        <w:rPr>
          <w:sz w:val="22"/>
          <w:szCs w:val="22"/>
        </w:rPr>
        <w:t>,</w:t>
      </w:r>
      <w:r w:rsidR="003975EC" w:rsidRPr="00B740B4">
        <w:rPr>
          <w:sz w:val="22"/>
          <w:szCs w:val="22"/>
        </w:rPr>
        <w:t xml:space="preserve"> </w:t>
      </w:r>
      <w:r w:rsidR="00413D74" w:rsidRPr="00250AFF">
        <w:rPr>
          <w:sz w:val="22"/>
          <w:szCs w:val="22"/>
        </w:rPr>
        <w:t>and</w:t>
      </w:r>
      <w:r w:rsidR="00413D74" w:rsidRPr="00B740B4">
        <w:rPr>
          <w:b/>
          <w:sz w:val="22"/>
          <w:szCs w:val="22"/>
        </w:rPr>
        <w:t xml:space="preserve"> Tigchelaar</w:t>
      </w:r>
      <w:r w:rsidR="00E93091" w:rsidRPr="00B740B4">
        <w:rPr>
          <w:b/>
          <w:sz w:val="22"/>
          <w:szCs w:val="22"/>
        </w:rPr>
        <w:t>, E. J. C.</w:t>
      </w:r>
      <w:r w:rsidR="00413D74" w:rsidRPr="00B740B4">
        <w:rPr>
          <w:b/>
          <w:sz w:val="22"/>
          <w:szCs w:val="22"/>
        </w:rPr>
        <w:t xml:space="preserve"> </w:t>
      </w:r>
      <w:r w:rsidR="00413D74" w:rsidRPr="00B740B4">
        <w:rPr>
          <w:sz w:val="22"/>
          <w:szCs w:val="22"/>
        </w:rPr>
        <w:t xml:space="preserve">(eds.). </w:t>
      </w:r>
      <w:r w:rsidR="00413D74" w:rsidRPr="00B740B4">
        <w:rPr>
          <w:i/>
          <w:iCs/>
          <w:sz w:val="22"/>
          <w:szCs w:val="22"/>
        </w:rPr>
        <w:t>The Dead Sea Scrolls</w:t>
      </w:r>
      <w:r w:rsidR="00413D74" w:rsidRPr="00B740B4">
        <w:rPr>
          <w:sz w:val="22"/>
          <w:szCs w:val="22"/>
        </w:rPr>
        <w:t xml:space="preserve">. </w:t>
      </w:r>
      <w:r w:rsidR="001B2642" w:rsidRPr="00B740B4">
        <w:rPr>
          <w:b/>
          <w:sz w:val="22"/>
          <w:szCs w:val="22"/>
        </w:rPr>
        <w:t>Gaston, L.</w:t>
      </w:r>
      <w:r w:rsidR="001B2642" w:rsidRPr="00B740B4">
        <w:rPr>
          <w:sz w:val="22"/>
          <w:szCs w:val="22"/>
        </w:rPr>
        <w:t xml:space="preserve"> </w:t>
      </w:r>
      <w:r w:rsidR="00934A11" w:rsidRPr="00B740B4">
        <w:rPr>
          <w:sz w:val="22"/>
          <w:szCs w:val="22"/>
        </w:rPr>
        <w:t>“</w:t>
      </w:r>
      <w:r w:rsidR="001B2642" w:rsidRPr="00B740B4">
        <w:rPr>
          <w:sz w:val="22"/>
          <w:szCs w:val="22"/>
        </w:rPr>
        <w:t>The Son of Man.</w:t>
      </w:r>
      <w:r w:rsidR="00934A11" w:rsidRPr="00B740B4">
        <w:rPr>
          <w:sz w:val="22"/>
          <w:szCs w:val="22"/>
        </w:rPr>
        <w:t>”</w:t>
      </w:r>
      <w:r w:rsidR="001B2642" w:rsidRPr="00B740B4">
        <w:rPr>
          <w:sz w:val="22"/>
          <w:szCs w:val="22"/>
        </w:rPr>
        <w:t xml:space="preserve"> </w:t>
      </w:r>
      <w:r w:rsidR="001B2642" w:rsidRPr="00B740B4">
        <w:rPr>
          <w:b/>
          <w:sz w:val="22"/>
          <w:szCs w:val="22"/>
        </w:rPr>
        <w:t>German, H. S.</w:t>
      </w:r>
      <w:r w:rsidR="001B2642" w:rsidRPr="00B740B4">
        <w:rPr>
          <w:sz w:val="22"/>
          <w:szCs w:val="22"/>
        </w:rPr>
        <w:t xml:space="preserve"> </w:t>
      </w:r>
      <w:r w:rsidR="00934A11" w:rsidRPr="00B740B4">
        <w:rPr>
          <w:sz w:val="22"/>
          <w:szCs w:val="22"/>
        </w:rPr>
        <w:t>“</w:t>
      </w:r>
      <w:r w:rsidR="001B2642" w:rsidRPr="00B740B4">
        <w:rPr>
          <w:sz w:val="22"/>
          <w:szCs w:val="22"/>
        </w:rPr>
        <w:t>The Armenian Version of the Book of Daniel and Its Affinities.</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The Hesychian Influence in the Versions of Daniel.</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The ‘Polyglott’ Arabic Text of Daniel and Its Affinities.</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The Sahidic and the Bohairic Versions of the Book of Daniel.</w:t>
      </w:r>
      <w:r w:rsidR="00934A11" w:rsidRPr="00B740B4">
        <w:rPr>
          <w:sz w:val="22"/>
          <w:szCs w:val="22"/>
        </w:rPr>
        <w:t>”</w:t>
      </w:r>
      <w:r w:rsidR="001B2642" w:rsidRPr="00B740B4">
        <w:rPr>
          <w:sz w:val="22"/>
          <w:szCs w:val="22"/>
        </w:rPr>
        <w:t xml:space="preserve"> </w:t>
      </w:r>
      <w:r w:rsidR="001B2642" w:rsidRPr="00B740B4">
        <w:rPr>
          <w:b/>
          <w:sz w:val="22"/>
          <w:szCs w:val="22"/>
        </w:rPr>
        <w:t>Geissen, A.,</w:t>
      </w:r>
      <w:r w:rsidR="001B2642" w:rsidRPr="00B740B4">
        <w:rPr>
          <w:sz w:val="22"/>
          <w:szCs w:val="22"/>
        </w:rPr>
        <w:t xml:space="preserve"> </w:t>
      </w:r>
      <w:r w:rsidR="001B2642" w:rsidRPr="00B740B4">
        <w:rPr>
          <w:b/>
          <w:sz w:val="22"/>
          <w:szCs w:val="22"/>
        </w:rPr>
        <w:t>and</w:t>
      </w:r>
      <w:r w:rsidR="001B2642" w:rsidRPr="00B740B4">
        <w:rPr>
          <w:sz w:val="22"/>
          <w:szCs w:val="22"/>
        </w:rPr>
        <w:t xml:space="preserve"> </w:t>
      </w:r>
      <w:r w:rsidR="001B2642" w:rsidRPr="00351D5C">
        <w:rPr>
          <w:b/>
          <w:sz w:val="22"/>
          <w:szCs w:val="22"/>
        </w:rPr>
        <w:t>Hamm</w:t>
      </w:r>
      <w:r w:rsidR="001B2642" w:rsidRPr="00B740B4">
        <w:rPr>
          <w:b/>
          <w:sz w:val="22"/>
          <w:szCs w:val="22"/>
        </w:rPr>
        <w:t>, W.</w:t>
      </w:r>
      <w:r w:rsidR="001B2642" w:rsidRPr="00B740B4">
        <w:rPr>
          <w:sz w:val="22"/>
          <w:szCs w:val="22"/>
        </w:rPr>
        <w:t xml:space="preserve"> </w:t>
      </w:r>
      <w:r w:rsidR="001B2642" w:rsidRPr="00B740B4">
        <w:rPr>
          <w:i/>
          <w:sz w:val="22"/>
          <w:szCs w:val="22"/>
        </w:rPr>
        <w:t>Der Septuagi</w:t>
      </w:r>
      <w:r w:rsidR="00250AFF">
        <w:rPr>
          <w:i/>
          <w:sz w:val="22"/>
          <w:szCs w:val="22"/>
        </w:rPr>
        <w:t>nta-Text des Buches Daniel</w:t>
      </w:r>
      <w:r w:rsidR="001B2642" w:rsidRPr="00B740B4">
        <w:rPr>
          <w:i/>
          <w:sz w:val="22"/>
          <w:szCs w:val="22"/>
        </w:rPr>
        <w:t xml:space="preserve"> nach dem Kölner Teil des Papyrus 967</w:t>
      </w:r>
      <w:r w:rsidR="001B2642" w:rsidRPr="00B740B4">
        <w:rPr>
          <w:sz w:val="22"/>
          <w:szCs w:val="22"/>
        </w:rPr>
        <w:t xml:space="preserve">. </w:t>
      </w:r>
      <w:r w:rsidR="001B2642" w:rsidRPr="00B740B4">
        <w:rPr>
          <w:b/>
          <w:sz w:val="22"/>
          <w:szCs w:val="22"/>
        </w:rPr>
        <w:t>Gellinek, C.</w:t>
      </w:r>
      <w:r w:rsidR="001B2642" w:rsidRPr="00B740B4">
        <w:rPr>
          <w:sz w:val="22"/>
          <w:szCs w:val="22"/>
        </w:rPr>
        <w:t xml:space="preserve"> </w:t>
      </w:r>
      <w:r w:rsidR="00934A11" w:rsidRPr="00B740B4">
        <w:rPr>
          <w:sz w:val="22"/>
          <w:szCs w:val="22"/>
        </w:rPr>
        <w:t>“</w:t>
      </w:r>
      <w:r w:rsidR="001B2642" w:rsidRPr="00B740B4">
        <w:rPr>
          <w:sz w:val="22"/>
          <w:szCs w:val="22"/>
        </w:rPr>
        <w:t>Daniel’s Vision of Four Beasts in Twelfth-Century German Literature.</w:t>
      </w:r>
      <w:r w:rsidR="00934A11" w:rsidRPr="00B740B4">
        <w:rPr>
          <w:sz w:val="22"/>
          <w:szCs w:val="22"/>
        </w:rPr>
        <w:t>”</w:t>
      </w:r>
      <w:r w:rsidR="001B2642" w:rsidRPr="00B740B4">
        <w:rPr>
          <w:sz w:val="22"/>
          <w:szCs w:val="22"/>
        </w:rPr>
        <w:t xml:space="preserve"> </w:t>
      </w:r>
      <w:r w:rsidR="002571DA" w:rsidRPr="002571DA">
        <w:rPr>
          <w:b/>
          <w:bCs/>
          <w:sz w:val="22"/>
          <w:szCs w:val="22"/>
        </w:rPr>
        <w:t xml:space="preserve">Ginzberg, L. </w:t>
      </w:r>
      <w:r w:rsidR="002571DA" w:rsidRPr="002571DA">
        <w:rPr>
          <w:bCs/>
          <w:i/>
          <w:sz w:val="22"/>
          <w:szCs w:val="22"/>
        </w:rPr>
        <w:t>The</w:t>
      </w:r>
      <w:r w:rsidR="002571DA" w:rsidRPr="002571DA">
        <w:rPr>
          <w:b/>
          <w:bCs/>
          <w:i/>
          <w:sz w:val="22"/>
          <w:szCs w:val="22"/>
        </w:rPr>
        <w:t xml:space="preserve"> </w:t>
      </w:r>
      <w:r w:rsidR="002571DA" w:rsidRPr="002571DA">
        <w:rPr>
          <w:bCs/>
          <w:i/>
          <w:sz w:val="22"/>
          <w:szCs w:val="22"/>
        </w:rPr>
        <w:t>Legends of the Jews</w:t>
      </w:r>
      <w:r w:rsidR="002571DA">
        <w:rPr>
          <w:bCs/>
          <w:i/>
          <w:sz w:val="22"/>
          <w:szCs w:val="22"/>
        </w:rPr>
        <w:t xml:space="preserve"> </w:t>
      </w:r>
      <w:r w:rsidR="002571DA">
        <w:rPr>
          <w:bCs/>
          <w:sz w:val="22"/>
          <w:szCs w:val="22"/>
        </w:rPr>
        <w:t>4:326-50</w:t>
      </w:r>
      <w:r w:rsidR="00D34E14">
        <w:rPr>
          <w:bCs/>
          <w:sz w:val="22"/>
          <w:szCs w:val="22"/>
        </w:rPr>
        <w:t>; 6:413-37.</w:t>
      </w:r>
      <w:r w:rsidR="002571DA">
        <w:rPr>
          <w:bCs/>
        </w:rPr>
        <w:t xml:space="preserve"> </w:t>
      </w:r>
      <w:r w:rsidR="001B2642" w:rsidRPr="00B740B4">
        <w:rPr>
          <w:b/>
          <w:sz w:val="22"/>
          <w:szCs w:val="22"/>
        </w:rPr>
        <w:t>Glasson, T. F.</w:t>
      </w:r>
      <w:r w:rsidR="001B2642" w:rsidRPr="00B740B4">
        <w:rPr>
          <w:sz w:val="22"/>
          <w:szCs w:val="22"/>
        </w:rPr>
        <w:t xml:space="preserve"> </w:t>
      </w:r>
      <w:r w:rsidR="00934A11" w:rsidRPr="00B740B4">
        <w:rPr>
          <w:sz w:val="22"/>
          <w:szCs w:val="22"/>
        </w:rPr>
        <w:t>“</w:t>
      </w:r>
      <w:r w:rsidR="001B2642" w:rsidRPr="00B740B4">
        <w:rPr>
          <w:sz w:val="22"/>
          <w:szCs w:val="22"/>
        </w:rPr>
        <w:t>Mark x</w:t>
      </w:r>
      <w:r w:rsidR="00DC2AC1" w:rsidRPr="00B740B4">
        <w:rPr>
          <w:sz w:val="22"/>
          <w:szCs w:val="22"/>
        </w:rPr>
        <w:t>iii. and the Greek OT</w:t>
      </w:r>
      <w:r w:rsidR="001B2642" w:rsidRPr="00B740B4">
        <w:rPr>
          <w:sz w:val="22"/>
          <w:szCs w:val="22"/>
        </w:rPr>
        <w:t>.</w:t>
      </w:r>
      <w:r w:rsidR="00934A11" w:rsidRPr="00B740B4">
        <w:rPr>
          <w:sz w:val="22"/>
          <w:szCs w:val="22"/>
        </w:rPr>
        <w:t>”</w:t>
      </w:r>
      <w:r w:rsidR="001B2642" w:rsidRPr="00B740B4">
        <w:rPr>
          <w:sz w:val="22"/>
          <w:szCs w:val="22"/>
        </w:rPr>
        <w:t xml:space="preserve"> </w:t>
      </w:r>
      <w:r w:rsidR="00C91F6B" w:rsidRPr="00B740B4">
        <w:rPr>
          <w:b/>
          <w:sz w:val="22"/>
          <w:szCs w:val="22"/>
        </w:rPr>
        <w:t>Glessmer</w:t>
      </w:r>
      <w:r w:rsidR="00C91F6B" w:rsidRPr="00B740B4">
        <w:rPr>
          <w:sz w:val="22"/>
          <w:szCs w:val="22"/>
        </w:rPr>
        <w:t xml:space="preserve">, U. </w:t>
      </w:r>
      <w:r w:rsidR="00934A11" w:rsidRPr="00B740B4">
        <w:rPr>
          <w:sz w:val="22"/>
          <w:szCs w:val="22"/>
        </w:rPr>
        <w:t>“</w:t>
      </w:r>
      <w:r w:rsidR="00C91F6B" w:rsidRPr="00B740B4">
        <w:rPr>
          <w:sz w:val="22"/>
          <w:szCs w:val="22"/>
        </w:rPr>
        <w:t>Die ‘Vier Reiche’ aus Daniel in der targumische Literatur,</w:t>
      </w:r>
      <w:r w:rsidR="00934A11" w:rsidRPr="00B740B4">
        <w:rPr>
          <w:sz w:val="22"/>
          <w:szCs w:val="22"/>
        </w:rPr>
        <w:t>”</w:t>
      </w:r>
      <w:r w:rsidR="00C91F6B" w:rsidRPr="00B740B4">
        <w:rPr>
          <w:bCs/>
          <w:sz w:val="22"/>
          <w:szCs w:val="22"/>
        </w:rPr>
        <w:t xml:space="preserve"> in Collins/Flint (eds.), </w:t>
      </w:r>
      <w:r w:rsidR="00C91F6B" w:rsidRPr="00B740B4">
        <w:rPr>
          <w:bCs/>
          <w:i/>
          <w:sz w:val="22"/>
          <w:szCs w:val="22"/>
        </w:rPr>
        <w:t xml:space="preserve">The Book of </w:t>
      </w:r>
      <w:r w:rsidR="00856F94" w:rsidRPr="00B740B4">
        <w:rPr>
          <w:bCs/>
          <w:i/>
          <w:sz w:val="22"/>
          <w:szCs w:val="22"/>
        </w:rPr>
        <w:t>Daniel</w:t>
      </w:r>
      <w:r w:rsidR="00C91F6B" w:rsidRPr="00B740B4">
        <w:rPr>
          <w:bCs/>
          <w:sz w:val="22"/>
          <w:szCs w:val="22"/>
        </w:rPr>
        <w:t xml:space="preserve"> 2:468-89. </w:t>
      </w:r>
      <w:r w:rsidR="00276B59" w:rsidRPr="00B740B4">
        <w:rPr>
          <w:b/>
          <w:bCs/>
          <w:sz w:val="22"/>
          <w:szCs w:val="22"/>
        </w:rPr>
        <w:t xml:space="preserve">Gnuse, R. </w:t>
      </w:r>
      <w:r w:rsidR="00934A11" w:rsidRPr="00B740B4">
        <w:rPr>
          <w:bCs/>
          <w:sz w:val="22"/>
          <w:szCs w:val="22"/>
        </w:rPr>
        <w:t>“</w:t>
      </w:r>
      <w:r w:rsidR="00276B59" w:rsidRPr="00B740B4">
        <w:rPr>
          <w:bCs/>
          <w:sz w:val="22"/>
          <w:szCs w:val="22"/>
        </w:rPr>
        <w:t>The Jewish Dream Interpreter in a Foreign Court.</w:t>
      </w:r>
      <w:r w:rsidR="00934A11" w:rsidRPr="00B740B4">
        <w:rPr>
          <w:bCs/>
          <w:sz w:val="22"/>
          <w:szCs w:val="22"/>
        </w:rPr>
        <w:t>”</w:t>
      </w:r>
      <w:r w:rsidR="00412F70" w:rsidRPr="00B740B4">
        <w:rPr>
          <w:bCs/>
          <w:sz w:val="22"/>
          <w:szCs w:val="22"/>
        </w:rPr>
        <w:t xml:space="preserve"> </w:t>
      </w:r>
      <w:r w:rsidR="00412F70" w:rsidRPr="00B740B4">
        <w:rPr>
          <w:b/>
          <w:bCs/>
          <w:sz w:val="22"/>
          <w:szCs w:val="22"/>
        </w:rPr>
        <w:t>Goez, W</w:t>
      </w:r>
      <w:r w:rsidR="00412F70" w:rsidRPr="00B740B4">
        <w:rPr>
          <w:bCs/>
          <w:sz w:val="22"/>
          <w:szCs w:val="22"/>
        </w:rPr>
        <w:t xml:space="preserve">. </w:t>
      </w:r>
      <w:r w:rsidR="00934A11" w:rsidRPr="00B740B4">
        <w:rPr>
          <w:bCs/>
          <w:sz w:val="22"/>
          <w:szCs w:val="22"/>
        </w:rPr>
        <w:t>“</w:t>
      </w:r>
      <w:r w:rsidR="00412F70" w:rsidRPr="00B740B4">
        <w:rPr>
          <w:bCs/>
          <w:sz w:val="22"/>
          <w:szCs w:val="22"/>
        </w:rPr>
        <w:t>Die Danielrezeption im Abendland,</w:t>
      </w:r>
      <w:r w:rsidR="00934A11" w:rsidRPr="00B740B4">
        <w:rPr>
          <w:bCs/>
          <w:sz w:val="22"/>
          <w:szCs w:val="22"/>
        </w:rPr>
        <w:t>”</w:t>
      </w:r>
      <w:r w:rsidR="00412F70" w:rsidRPr="00B740B4">
        <w:rPr>
          <w:bCs/>
          <w:sz w:val="22"/>
          <w:szCs w:val="22"/>
        </w:rPr>
        <w:t xml:space="preserve"> </w:t>
      </w:r>
      <w:r w:rsidR="00A57608" w:rsidRPr="00B740B4">
        <w:rPr>
          <w:bCs/>
          <w:sz w:val="22"/>
          <w:szCs w:val="22"/>
        </w:rPr>
        <w:t xml:space="preserve">in </w:t>
      </w:r>
      <w:r w:rsidR="00381CF4" w:rsidRPr="00B740B4">
        <w:rPr>
          <w:bCs/>
          <w:sz w:val="22"/>
          <w:szCs w:val="22"/>
        </w:rPr>
        <w:t>Delgado/Koch/Marsch</w:t>
      </w:r>
      <w:r w:rsidR="00A57608" w:rsidRPr="00B740B4">
        <w:rPr>
          <w:bCs/>
          <w:sz w:val="22"/>
          <w:szCs w:val="22"/>
        </w:rPr>
        <w:t xml:space="preserve"> (eds.),</w:t>
      </w:r>
      <w:r w:rsidR="00412F70" w:rsidRPr="00B740B4">
        <w:rPr>
          <w:bCs/>
          <w:sz w:val="22"/>
          <w:szCs w:val="22"/>
        </w:rPr>
        <w:t xml:space="preserve"> </w:t>
      </w:r>
      <w:r w:rsidR="00412F70" w:rsidRPr="00B740B4">
        <w:rPr>
          <w:bCs/>
          <w:i/>
          <w:sz w:val="22"/>
          <w:szCs w:val="22"/>
        </w:rPr>
        <w:t>Europa, Tausendjähriges Reich und Neue Welt</w:t>
      </w:r>
      <w:r w:rsidR="00412F70" w:rsidRPr="00B740B4">
        <w:rPr>
          <w:bCs/>
          <w:sz w:val="22"/>
          <w:szCs w:val="22"/>
        </w:rPr>
        <w:t xml:space="preserve">, </w:t>
      </w:r>
      <w:r w:rsidR="008D3871" w:rsidRPr="00B740B4">
        <w:rPr>
          <w:bCs/>
          <w:sz w:val="22"/>
          <w:szCs w:val="22"/>
        </w:rPr>
        <w:t>176-96.</w:t>
      </w:r>
      <w:r w:rsidR="00276B59" w:rsidRPr="00B740B4">
        <w:rPr>
          <w:bCs/>
          <w:sz w:val="22"/>
          <w:szCs w:val="22"/>
        </w:rPr>
        <w:t xml:space="preserve"> </w:t>
      </w:r>
      <w:r w:rsidR="00324BCE" w:rsidRPr="00B740B4">
        <w:rPr>
          <w:b/>
          <w:iCs/>
          <w:sz w:val="22"/>
          <w:szCs w:val="22"/>
        </w:rPr>
        <w:t>Goldingay</w:t>
      </w:r>
      <w:r w:rsidR="00324BCE" w:rsidRPr="00B740B4">
        <w:rPr>
          <w:b/>
          <w:sz w:val="22"/>
          <w:szCs w:val="22"/>
        </w:rPr>
        <w:t>, J.</w:t>
      </w:r>
      <w:r w:rsidR="00324BCE" w:rsidRPr="00B740B4">
        <w:rPr>
          <w:sz w:val="22"/>
          <w:szCs w:val="22"/>
        </w:rPr>
        <w:t xml:space="preserve">  </w:t>
      </w:r>
      <w:r w:rsidR="00934A11" w:rsidRPr="00B740B4">
        <w:rPr>
          <w:sz w:val="22"/>
          <w:szCs w:val="22"/>
        </w:rPr>
        <w:t>“</w:t>
      </w:r>
      <w:r w:rsidR="009D3B28" w:rsidRPr="00B740B4">
        <w:rPr>
          <w:sz w:val="22"/>
          <w:szCs w:val="22"/>
        </w:rPr>
        <w:t>Daniel in the Context of OT Theology,</w:t>
      </w:r>
      <w:r w:rsidR="00934A11" w:rsidRPr="00B740B4">
        <w:rPr>
          <w:sz w:val="22"/>
          <w:szCs w:val="22"/>
        </w:rPr>
        <w:t>”</w:t>
      </w:r>
      <w:r w:rsidR="009D3B28" w:rsidRPr="00B740B4">
        <w:rPr>
          <w:sz w:val="22"/>
          <w:szCs w:val="22"/>
        </w:rPr>
        <w:t xml:space="preserve"> </w:t>
      </w:r>
      <w:r w:rsidR="009D3B28" w:rsidRPr="00B740B4">
        <w:rPr>
          <w:bCs/>
          <w:sz w:val="22"/>
          <w:szCs w:val="22"/>
        </w:rPr>
        <w:t xml:space="preserve">in Collins/Flint (eds.), </w:t>
      </w:r>
      <w:r w:rsidR="009D3B28" w:rsidRPr="00B740B4">
        <w:rPr>
          <w:bCs/>
          <w:i/>
          <w:sz w:val="22"/>
          <w:szCs w:val="22"/>
        </w:rPr>
        <w:t>The Book of Daniel</w:t>
      </w:r>
      <w:r w:rsidR="009D3B28" w:rsidRPr="00B740B4">
        <w:rPr>
          <w:bCs/>
          <w:sz w:val="22"/>
          <w:szCs w:val="22"/>
        </w:rPr>
        <w:t xml:space="preserve">, </w:t>
      </w:r>
      <w:r w:rsidR="00E93091" w:rsidRPr="00B740B4">
        <w:rPr>
          <w:bCs/>
          <w:sz w:val="22"/>
          <w:szCs w:val="22"/>
        </w:rPr>
        <w:t>2:</w:t>
      </w:r>
      <w:r w:rsidR="009D3B28" w:rsidRPr="00B740B4">
        <w:rPr>
          <w:bCs/>
          <w:sz w:val="22"/>
          <w:szCs w:val="22"/>
        </w:rPr>
        <w:t xml:space="preserve">639-60. ———. </w:t>
      </w:r>
      <w:r w:rsidR="00934A11" w:rsidRPr="00B740B4">
        <w:rPr>
          <w:sz w:val="22"/>
          <w:szCs w:val="22"/>
        </w:rPr>
        <w:t>“</w:t>
      </w:r>
      <w:r w:rsidR="00324BCE" w:rsidRPr="00B740B4">
        <w:rPr>
          <w:sz w:val="22"/>
          <w:szCs w:val="22"/>
        </w:rPr>
        <w:t>Story, Vision, Interpretation,</w:t>
      </w:r>
      <w:r w:rsidR="00934A11" w:rsidRPr="00B740B4">
        <w:rPr>
          <w:sz w:val="22"/>
          <w:szCs w:val="22"/>
        </w:rPr>
        <w:t>”</w:t>
      </w:r>
      <w:r w:rsidR="00324BCE" w:rsidRPr="00B740B4">
        <w:rPr>
          <w:sz w:val="22"/>
          <w:szCs w:val="22"/>
        </w:rPr>
        <w:t xml:space="preserve"> in van der Woude </w:t>
      </w:r>
      <w:r w:rsidR="00324BCE" w:rsidRPr="00B740B4">
        <w:rPr>
          <w:b/>
          <w:sz w:val="22"/>
          <w:szCs w:val="22"/>
        </w:rPr>
        <w:t>(</w:t>
      </w:r>
      <w:r w:rsidR="00324BCE" w:rsidRPr="00B740B4">
        <w:rPr>
          <w:sz w:val="22"/>
          <w:szCs w:val="22"/>
        </w:rPr>
        <w:t>ed</w:t>
      </w:r>
      <w:r w:rsidR="00324BCE" w:rsidRPr="00B740B4">
        <w:rPr>
          <w:b/>
          <w:sz w:val="22"/>
          <w:szCs w:val="22"/>
        </w:rPr>
        <w:t xml:space="preserve">.), </w:t>
      </w:r>
      <w:r w:rsidR="00324BCE" w:rsidRPr="00B740B4">
        <w:rPr>
          <w:i/>
          <w:sz w:val="22"/>
          <w:szCs w:val="22"/>
        </w:rPr>
        <w:t>The Book of Daniel</w:t>
      </w:r>
      <w:r w:rsidR="00324BCE" w:rsidRPr="00B740B4">
        <w:rPr>
          <w:sz w:val="22"/>
          <w:szCs w:val="22"/>
        </w:rPr>
        <w:t xml:space="preserve">, 295-313. </w:t>
      </w:r>
      <w:r w:rsidR="005D6927" w:rsidRPr="00B740B4">
        <w:rPr>
          <w:rFonts w:eastAsiaTheme="minorHAnsi" w:cs="TimesNewRomanPSMT"/>
          <w:b/>
          <w:sz w:val="22"/>
          <w:szCs w:val="22"/>
        </w:rPr>
        <w:t xml:space="preserve">Goeing, A.-S. </w:t>
      </w:r>
      <w:r w:rsidR="005D6927" w:rsidRPr="00B740B4">
        <w:rPr>
          <w:rFonts w:eastAsiaTheme="minorHAnsi" w:cs="TimesNewRomanPSMT"/>
          <w:i/>
          <w:sz w:val="22"/>
          <w:szCs w:val="22"/>
        </w:rPr>
        <w:t>Storing, Archiving, Organizing</w:t>
      </w:r>
      <w:r w:rsidR="005D6927" w:rsidRPr="00B740B4">
        <w:rPr>
          <w:rFonts w:eastAsiaTheme="minorHAnsi" w:cs="TimesNewRomanPSMT"/>
          <w:sz w:val="22"/>
          <w:szCs w:val="22"/>
        </w:rPr>
        <w:t xml:space="preserve">. </w:t>
      </w:r>
      <w:r w:rsidR="001B2642" w:rsidRPr="00B740B4">
        <w:rPr>
          <w:b/>
          <w:sz w:val="22"/>
          <w:szCs w:val="22"/>
        </w:rPr>
        <w:t>Goldstein, J. A.</w:t>
      </w:r>
      <w:r w:rsidR="001B2642" w:rsidRPr="00B740B4">
        <w:rPr>
          <w:sz w:val="22"/>
          <w:szCs w:val="22"/>
        </w:rPr>
        <w:t xml:space="preserve"> </w:t>
      </w:r>
      <w:r w:rsidR="001B2642" w:rsidRPr="00B740B4">
        <w:rPr>
          <w:i/>
          <w:sz w:val="22"/>
          <w:szCs w:val="22"/>
        </w:rPr>
        <w:t>I Maccabees</w:t>
      </w:r>
      <w:r w:rsidR="001B2642" w:rsidRPr="00B740B4">
        <w:rPr>
          <w:sz w:val="22"/>
          <w:szCs w:val="22"/>
        </w:rPr>
        <w:t xml:space="preserve">. </w:t>
      </w:r>
      <w:r w:rsidR="001B2642" w:rsidRPr="00B740B4">
        <w:rPr>
          <w:b/>
          <w:sz w:val="22"/>
          <w:szCs w:val="22"/>
        </w:rPr>
        <w:t>Goodenough, E. R.</w:t>
      </w:r>
      <w:r w:rsidR="001B2642" w:rsidRPr="00B740B4">
        <w:rPr>
          <w:sz w:val="22"/>
          <w:szCs w:val="22"/>
        </w:rPr>
        <w:t xml:space="preserve"> </w:t>
      </w:r>
      <w:r w:rsidR="00EA5C48" w:rsidRPr="00B740B4">
        <w:rPr>
          <w:rStyle w:val="i"/>
          <w:color w:val="auto"/>
          <w:sz w:val="22"/>
          <w:szCs w:val="22"/>
        </w:rPr>
        <w:t>Jewish Symbols in the Greco-Roman Period</w:t>
      </w:r>
      <w:r w:rsidR="001B2642" w:rsidRPr="00B740B4">
        <w:rPr>
          <w:sz w:val="22"/>
          <w:szCs w:val="22"/>
        </w:rPr>
        <w:t xml:space="preserve">. </w:t>
      </w:r>
      <w:r w:rsidR="004C01AC" w:rsidRPr="00B740B4">
        <w:rPr>
          <w:b/>
          <w:sz w:val="22"/>
          <w:szCs w:val="22"/>
        </w:rPr>
        <w:t>Grabbe, L. L.</w:t>
      </w:r>
      <w:r w:rsidR="004C01AC" w:rsidRPr="00B740B4">
        <w:rPr>
          <w:sz w:val="22"/>
          <w:szCs w:val="22"/>
        </w:rPr>
        <w:t xml:space="preserve"> </w:t>
      </w:r>
      <w:r w:rsidR="00934A11" w:rsidRPr="00B740B4">
        <w:rPr>
          <w:sz w:val="22"/>
          <w:szCs w:val="22"/>
        </w:rPr>
        <w:t>“</w:t>
      </w:r>
      <w:r w:rsidR="004C01AC" w:rsidRPr="00B740B4">
        <w:rPr>
          <w:sz w:val="22"/>
          <w:szCs w:val="22"/>
        </w:rPr>
        <w:t>Chronography in Hellenistic Jewish Historiography.</w:t>
      </w:r>
      <w:r w:rsidR="00934A11" w:rsidRPr="00B740B4">
        <w:rPr>
          <w:sz w:val="22"/>
          <w:szCs w:val="22"/>
        </w:rPr>
        <w:t>”</w:t>
      </w:r>
      <w:r w:rsidR="004C01AC" w:rsidRPr="00B740B4">
        <w:rPr>
          <w:sz w:val="22"/>
          <w:szCs w:val="22"/>
        </w:rPr>
        <w:t xml:space="preserve"> </w:t>
      </w:r>
      <w:r w:rsidR="000442F5" w:rsidRPr="00B740B4">
        <w:rPr>
          <w:sz w:val="22"/>
          <w:szCs w:val="22"/>
        </w:rPr>
        <w:t xml:space="preserve">———. </w:t>
      </w:r>
      <w:r w:rsidR="00934A11" w:rsidRPr="00B740B4">
        <w:rPr>
          <w:sz w:val="22"/>
          <w:szCs w:val="22"/>
        </w:rPr>
        <w:t>“</w:t>
      </w:r>
      <w:r w:rsidR="004C01AC" w:rsidRPr="00B740B4">
        <w:rPr>
          <w:sz w:val="22"/>
          <w:szCs w:val="22"/>
        </w:rPr>
        <w:t>The Seventy</w:t>
      </w:r>
      <w:r w:rsidR="00250AFF">
        <w:rPr>
          <w:sz w:val="22"/>
          <w:szCs w:val="22"/>
        </w:rPr>
        <w:t>-Weeks Prophecy</w:t>
      </w:r>
      <w:r w:rsidR="004C01AC" w:rsidRPr="00B740B4">
        <w:rPr>
          <w:sz w:val="22"/>
          <w:szCs w:val="22"/>
        </w:rPr>
        <w:t xml:space="preserve"> i</w:t>
      </w:r>
      <w:r w:rsidR="000442F5" w:rsidRPr="00B740B4">
        <w:rPr>
          <w:sz w:val="22"/>
          <w:szCs w:val="22"/>
        </w:rPr>
        <w:t>n Early Jewish Interpret</w:t>
      </w:r>
      <w:r w:rsidR="004C01AC" w:rsidRPr="00B740B4">
        <w:rPr>
          <w:sz w:val="22"/>
          <w:szCs w:val="22"/>
        </w:rPr>
        <w:t>a</w:t>
      </w:r>
      <w:r w:rsidR="000442F5" w:rsidRPr="00B740B4">
        <w:rPr>
          <w:sz w:val="22"/>
          <w:szCs w:val="22"/>
        </w:rPr>
        <w:t>t</w:t>
      </w:r>
      <w:r w:rsidR="009D3B28" w:rsidRPr="00B740B4">
        <w:rPr>
          <w:sz w:val="22"/>
          <w:szCs w:val="22"/>
        </w:rPr>
        <w:t>ion,</w:t>
      </w:r>
      <w:r w:rsidR="00934A11" w:rsidRPr="00B740B4">
        <w:rPr>
          <w:sz w:val="22"/>
          <w:szCs w:val="22"/>
        </w:rPr>
        <w:t>”</w:t>
      </w:r>
      <w:r w:rsidR="004C01AC" w:rsidRPr="00B740B4">
        <w:rPr>
          <w:sz w:val="22"/>
          <w:szCs w:val="22"/>
        </w:rPr>
        <w:t xml:space="preserve"> </w:t>
      </w:r>
      <w:r w:rsidR="009D3B28" w:rsidRPr="00B740B4">
        <w:rPr>
          <w:sz w:val="22"/>
          <w:szCs w:val="22"/>
        </w:rPr>
        <w:t>i</w:t>
      </w:r>
      <w:r w:rsidR="000442F5" w:rsidRPr="00B740B4">
        <w:rPr>
          <w:sz w:val="22"/>
          <w:szCs w:val="22"/>
        </w:rPr>
        <w:t xml:space="preserve">n Evans/Talmon (eds.), </w:t>
      </w:r>
      <w:r w:rsidR="000442F5" w:rsidRPr="00B740B4">
        <w:rPr>
          <w:i/>
          <w:sz w:val="22"/>
          <w:szCs w:val="22"/>
        </w:rPr>
        <w:t>The Quest for Context and Meaning</w:t>
      </w:r>
      <w:r w:rsidR="000442F5" w:rsidRPr="00B740B4">
        <w:rPr>
          <w:sz w:val="22"/>
          <w:szCs w:val="22"/>
        </w:rPr>
        <w:t xml:space="preserve">, 595-611. </w:t>
      </w:r>
      <w:r w:rsidR="009B5AA1" w:rsidRPr="00B740B4">
        <w:rPr>
          <w:b/>
          <w:sz w:val="22"/>
          <w:szCs w:val="22"/>
        </w:rPr>
        <w:t xml:space="preserve">Gradon, P., </w:t>
      </w:r>
      <w:r w:rsidR="009B5AA1" w:rsidRPr="009B5AA1">
        <w:rPr>
          <w:sz w:val="22"/>
          <w:szCs w:val="22"/>
        </w:rPr>
        <w:t>and</w:t>
      </w:r>
      <w:r w:rsidR="009B5AA1" w:rsidRPr="00B740B4">
        <w:rPr>
          <w:b/>
          <w:sz w:val="22"/>
          <w:szCs w:val="22"/>
        </w:rPr>
        <w:t xml:space="preserve"> Hudson, A.</w:t>
      </w:r>
      <w:r w:rsidR="009B5AA1">
        <w:rPr>
          <w:sz w:val="22"/>
          <w:szCs w:val="22"/>
        </w:rPr>
        <w:t xml:space="preserve"> (eds.).</w:t>
      </w:r>
      <w:r w:rsidR="009B5AA1" w:rsidRPr="00B740B4">
        <w:rPr>
          <w:sz w:val="22"/>
          <w:szCs w:val="22"/>
        </w:rPr>
        <w:t xml:space="preserve"> </w:t>
      </w:r>
      <w:r w:rsidR="009B5AA1" w:rsidRPr="00B740B4">
        <w:rPr>
          <w:i/>
          <w:iCs/>
          <w:sz w:val="22"/>
          <w:szCs w:val="22"/>
        </w:rPr>
        <w:t>English Wycliffite Sermons.</w:t>
      </w:r>
      <w:r w:rsidR="009B5AA1" w:rsidRPr="00B740B4">
        <w:rPr>
          <w:b/>
          <w:sz w:val="22"/>
          <w:szCs w:val="22"/>
        </w:rPr>
        <w:t xml:space="preserve"> </w:t>
      </w:r>
      <w:r w:rsidR="002706C3" w:rsidRPr="00B740B4">
        <w:rPr>
          <w:b/>
          <w:sz w:val="22"/>
          <w:szCs w:val="22"/>
        </w:rPr>
        <w:t xml:space="preserve">Graham, D. </w:t>
      </w:r>
      <w:r w:rsidR="00934A11" w:rsidRPr="00B740B4">
        <w:rPr>
          <w:sz w:val="22"/>
          <w:szCs w:val="22"/>
        </w:rPr>
        <w:t>“</w:t>
      </w:r>
      <w:r w:rsidR="002706C3" w:rsidRPr="00B740B4">
        <w:rPr>
          <w:sz w:val="22"/>
          <w:szCs w:val="22"/>
        </w:rPr>
        <w:t>Early Christian Understandings of the ‘Abomination that Causes Desolation.’</w:t>
      </w:r>
      <w:r w:rsidR="00934A11" w:rsidRPr="00B740B4">
        <w:rPr>
          <w:sz w:val="22"/>
          <w:szCs w:val="22"/>
        </w:rPr>
        <w:t>”</w:t>
      </w:r>
      <w:r w:rsidR="002706C3" w:rsidRPr="00B740B4">
        <w:rPr>
          <w:sz w:val="22"/>
          <w:szCs w:val="22"/>
        </w:rPr>
        <w:t xml:space="preserve"> </w:t>
      </w:r>
      <w:r w:rsidR="00E27F7F" w:rsidRPr="00B740B4">
        <w:rPr>
          <w:b/>
          <w:sz w:val="22"/>
          <w:szCs w:val="22"/>
        </w:rPr>
        <w:t xml:space="preserve">Greenberg, N. </w:t>
      </w:r>
      <w:r w:rsidR="00E27F7F" w:rsidRPr="00B740B4">
        <w:rPr>
          <w:i/>
          <w:sz w:val="22"/>
          <w:szCs w:val="22"/>
        </w:rPr>
        <w:t>The Play of Daniel.</w:t>
      </w:r>
      <w:r w:rsidR="00E27F7F" w:rsidRPr="00B740B4">
        <w:rPr>
          <w:sz w:val="22"/>
          <w:szCs w:val="22"/>
        </w:rPr>
        <w:t xml:space="preserve"> </w:t>
      </w:r>
      <w:r w:rsidR="00856D9C" w:rsidRPr="00B740B4">
        <w:rPr>
          <w:b/>
          <w:sz w:val="22"/>
          <w:szCs w:val="22"/>
        </w:rPr>
        <w:t xml:space="preserve">Greidanus, S.  </w:t>
      </w:r>
      <w:r w:rsidR="00856D9C" w:rsidRPr="00B740B4">
        <w:rPr>
          <w:i/>
          <w:sz w:val="22"/>
          <w:szCs w:val="22"/>
        </w:rPr>
        <w:t>Preaching Christ from Daniel.</w:t>
      </w:r>
      <w:r w:rsidR="00856D9C" w:rsidRPr="00B740B4">
        <w:rPr>
          <w:b/>
          <w:sz w:val="22"/>
          <w:szCs w:val="22"/>
        </w:rPr>
        <w:t xml:space="preserve"> </w:t>
      </w:r>
      <w:r w:rsidR="001B2642" w:rsidRPr="00B740B4">
        <w:rPr>
          <w:b/>
          <w:sz w:val="22"/>
          <w:szCs w:val="22"/>
        </w:rPr>
        <w:t>Grelot, P.</w:t>
      </w:r>
      <w:r w:rsidR="001B2642" w:rsidRPr="00B740B4">
        <w:rPr>
          <w:sz w:val="22"/>
          <w:szCs w:val="22"/>
        </w:rPr>
        <w:t xml:space="preserve"> </w:t>
      </w:r>
      <w:r w:rsidR="00934A11" w:rsidRPr="00B740B4">
        <w:rPr>
          <w:sz w:val="22"/>
          <w:szCs w:val="22"/>
        </w:rPr>
        <w:t>“</w:t>
      </w:r>
      <w:r w:rsidR="001B2642" w:rsidRPr="00B740B4">
        <w:rPr>
          <w:sz w:val="22"/>
          <w:szCs w:val="22"/>
        </w:rPr>
        <w:t xml:space="preserve">Le chapitre v de </w:t>
      </w:r>
      <w:r w:rsidR="001B2642" w:rsidRPr="00B740B4">
        <w:rPr>
          <w:i/>
          <w:sz w:val="22"/>
          <w:szCs w:val="22"/>
        </w:rPr>
        <w:t>Daniel</w:t>
      </w:r>
      <w:r w:rsidR="001B2642" w:rsidRPr="00B740B4">
        <w:rPr>
          <w:sz w:val="22"/>
          <w:szCs w:val="22"/>
        </w:rPr>
        <w:t xml:space="preserve"> dans la Septante.</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 xml:space="preserve">Rudolph Meyer, </w:t>
      </w:r>
      <w:r w:rsidR="001B2642" w:rsidRPr="00B740B4">
        <w:rPr>
          <w:i/>
          <w:sz w:val="22"/>
          <w:szCs w:val="22"/>
        </w:rPr>
        <w:t>Das Gebet des Nabonid</w:t>
      </w:r>
      <w:r w:rsidR="001B2642" w:rsidRPr="00B740B4">
        <w:rPr>
          <w:sz w:val="22"/>
          <w:szCs w:val="22"/>
        </w:rPr>
        <w:t>.</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Les versions grecques de Daniel.</w:t>
      </w:r>
      <w:r w:rsidR="00934A11" w:rsidRPr="00B740B4">
        <w:rPr>
          <w:sz w:val="22"/>
          <w:szCs w:val="22"/>
        </w:rPr>
        <w:t>”</w:t>
      </w:r>
      <w:r w:rsidR="001B2642" w:rsidRPr="00B740B4">
        <w:rPr>
          <w:sz w:val="22"/>
          <w:szCs w:val="22"/>
        </w:rPr>
        <w:t xml:space="preserve"> </w:t>
      </w:r>
      <w:r w:rsidR="00923B2E" w:rsidRPr="00B740B4">
        <w:rPr>
          <w:rFonts w:eastAsiaTheme="minorHAnsi" w:cs="TimesNewRomanPS-BoldMT"/>
          <w:b/>
          <w:bCs/>
          <w:sz w:val="22"/>
          <w:szCs w:val="22"/>
        </w:rPr>
        <w:t xml:space="preserve">Gribben, C. </w:t>
      </w:r>
      <w:r w:rsidR="00923B2E" w:rsidRPr="00B740B4">
        <w:rPr>
          <w:rFonts w:eastAsiaTheme="minorHAnsi" w:cs="TimesNewRomanPS-BoldMT"/>
          <w:bCs/>
          <w:i/>
          <w:sz w:val="22"/>
          <w:szCs w:val="22"/>
        </w:rPr>
        <w:t>The Puritan Milllennium</w:t>
      </w:r>
      <w:r w:rsidR="00923B2E" w:rsidRPr="00B740B4">
        <w:rPr>
          <w:rFonts w:eastAsiaTheme="minorHAnsi" w:cs="TimesNewRomanPS-BoldMT"/>
          <w:bCs/>
          <w:sz w:val="22"/>
          <w:szCs w:val="22"/>
        </w:rPr>
        <w:t xml:space="preserve">. </w:t>
      </w:r>
      <w:r w:rsidR="001B2642" w:rsidRPr="00B740B4">
        <w:rPr>
          <w:b/>
          <w:sz w:val="22"/>
          <w:szCs w:val="22"/>
        </w:rPr>
        <w:t>Grimm, W.</w:t>
      </w:r>
      <w:r w:rsidR="001B2642" w:rsidRPr="00B740B4">
        <w:rPr>
          <w:sz w:val="22"/>
          <w:szCs w:val="22"/>
        </w:rPr>
        <w:t xml:space="preserve"> [See under Betz.] </w:t>
      </w:r>
      <w:r w:rsidR="001B2642" w:rsidRPr="00B740B4">
        <w:rPr>
          <w:b/>
          <w:sz w:val="22"/>
          <w:szCs w:val="22"/>
        </w:rPr>
        <w:t>Gundry, R. H.</w:t>
      </w:r>
      <w:r w:rsidR="001B2642" w:rsidRPr="00B740B4">
        <w:rPr>
          <w:sz w:val="22"/>
          <w:szCs w:val="22"/>
        </w:rPr>
        <w:t xml:space="preserve"> </w:t>
      </w:r>
      <w:r w:rsidR="00DC2AC1" w:rsidRPr="00B740B4">
        <w:rPr>
          <w:i/>
          <w:sz w:val="22"/>
          <w:szCs w:val="22"/>
        </w:rPr>
        <w:t xml:space="preserve">The Use of the OT </w:t>
      </w:r>
      <w:r w:rsidR="001B2642" w:rsidRPr="00B740B4">
        <w:rPr>
          <w:i/>
          <w:sz w:val="22"/>
          <w:szCs w:val="22"/>
        </w:rPr>
        <w:t>in St. Matthew’s Gospel</w:t>
      </w:r>
      <w:r w:rsidR="001B2642" w:rsidRPr="00B740B4">
        <w:rPr>
          <w:sz w:val="22"/>
          <w:szCs w:val="22"/>
        </w:rPr>
        <w:t xml:space="preserve">. </w:t>
      </w:r>
      <w:r w:rsidR="001B2642" w:rsidRPr="00B740B4">
        <w:rPr>
          <w:b/>
          <w:sz w:val="22"/>
          <w:szCs w:val="22"/>
        </w:rPr>
        <w:t>Hanhart, R.</w:t>
      </w:r>
      <w:r w:rsidR="001B2642" w:rsidRPr="00B740B4">
        <w:rPr>
          <w:sz w:val="22"/>
          <w:szCs w:val="22"/>
        </w:rPr>
        <w:t xml:space="preserve"> </w:t>
      </w:r>
      <w:r w:rsidR="00934A11" w:rsidRPr="00B740B4">
        <w:rPr>
          <w:sz w:val="22"/>
          <w:szCs w:val="22"/>
        </w:rPr>
        <w:t>“</w:t>
      </w:r>
      <w:r w:rsidR="001B2642" w:rsidRPr="00B740B4">
        <w:rPr>
          <w:sz w:val="22"/>
          <w:szCs w:val="22"/>
        </w:rPr>
        <w:t>Die Übersetzungstechnik der Septuaginta als Interpretation (Daniel 11, 29 und die Aegyptenzüge des Antiochus Epiphanes).</w:t>
      </w:r>
      <w:r w:rsidR="00934A11" w:rsidRPr="00B740B4">
        <w:rPr>
          <w:sz w:val="22"/>
          <w:szCs w:val="22"/>
        </w:rPr>
        <w:t>”</w:t>
      </w:r>
      <w:r w:rsidR="001B2642" w:rsidRPr="00B740B4">
        <w:rPr>
          <w:sz w:val="22"/>
          <w:szCs w:val="22"/>
        </w:rPr>
        <w:t xml:space="preserve"> </w:t>
      </w:r>
      <w:r w:rsidR="001B2642" w:rsidRPr="00B740B4">
        <w:rPr>
          <w:b/>
          <w:sz w:val="22"/>
          <w:szCs w:val="22"/>
        </w:rPr>
        <w:t>Hartman, L.</w:t>
      </w:r>
      <w:r w:rsidR="001B2642" w:rsidRPr="00B740B4">
        <w:rPr>
          <w:sz w:val="22"/>
          <w:szCs w:val="22"/>
        </w:rPr>
        <w:t xml:space="preserve"> </w:t>
      </w:r>
      <w:r w:rsidR="001B2642" w:rsidRPr="00B740B4">
        <w:rPr>
          <w:i/>
          <w:sz w:val="22"/>
          <w:szCs w:val="22"/>
        </w:rPr>
        <w:t>Prophecy Interpreted</w:t>
      </w:r>
      <w:r w:rsidR="001B2642" w:rsidRPr="00B740B4">
        <w:rPr>
          <w:sz w:val="22"/>
          <w:szCs w:val="22"/>
        </w:rPr>
        <w:t xml:space="preserve">. ———. </w:t>
      </w:r>
      <w:r w:rsidR="00934A11" w:rsidRPr="00B740B4">
        <w:rPr>
          <w:sz w:val="22"/>
          <w:szCs w:val="22"/>
        </w:rPr>
        <w:t>“</w:t>
      </w:r>
      <w:r w:rsidR="001B2642" w:rsidRPr="00B740B4">
        <w:rPr>
          <w:sz w:val="22"/>
          <w:szCs w:val="22"/>
        </w:rPr>
        <w:t>The Functions of Some So-called Apocalyptic Timetables.</w:t>
      </w:r>
      <w:r w:rsidR="00934A11" w:rsidRPr="00B740B4">
        <w:rPr>
          <w:sz w:val="22"/>
          <w:szCs w:val="22"/>
        </w:rPr>
        <w:t>”</w:t>
      </w:r>
      <w:r w:rsidR="001B2642" w:rsidRPr="00B740B4">
        <w:rPr>
          <w:sz w:val="22"/>
          <w:szCs w:val="22"/>
        </w:rPr>
        <w:t xml:space="preserve"> </w:t>
      </w:r>
      <w:r w:rsidR="00F735F4" w:rsidRPr="00B740B4">
        <w:rPr>
          <w:b/>
          <w:bCs/>
          <w:sz w:val="22"/>
          <w:szCs w:val="22"/>
        </w:rPr>
        <w:t xml:space="preserve">Hebbard, A. B. </w:t>
      </w:r>
      <w:r w:rsidR="00F735F4" w:rsidRPr="00B740B4">
        <w:rPr>
          <w:bCs/>
          <w:i/>
          <w:sz w:val="22"/>
          <w:szCs w:val="22"/>
        </w:rPr>
        <w:t>Reading Daniel as a Text in Theological Hermeneutics</w:t>
      </w:r>
      <w:r w:rsidR="00F735F4" w:rsidRPr="00B740B4">
        <w:rPr>
          <w:bCs/>
          <w:sz w:val="22"/>
          <w:szCs w:val="22"/>
        </w:rPr>
        <w:t>.</w:t>
      </w:r>
      <w:r w:rsidR="00F735F4" w:rsidRPr="00B740B4">
        <w:rPr>
          <w:b/>
          <w:bCs/>
          <w:sz w:val="22"/>
          <w:szCs w:val="22"/>
        </w:rPr>
        <w:t xml:space="preserve"> </w:t>
      </w:r>
      <w:r w:rsidR="00C1179B" w:rsidRPr="00B740B4">
        <w:rPr>
          <w:b/>
          <w:bCs/>
          <w:sz w:val="22"/>
          <w:szCs w:val="22"/>
        </w:rPr>
        <w:t xml:space="preserve">Hendel, </w:t>
      </w:r>
      <w:r w:rsidR="00D95B90">
        <w:rPr>
          <w:b/>
          <w:bCs/>
          <w:sz w:val="22"/>
          <w:szCs w:val="22"/>
        </w:rPr>
        <w:t xml:space="preserve">R. </w:t>
      </w:r>
      <w:r w:rsidR="00C1179B" w:rsidRPr="00B740B4">
        <w:rPr>
          <w:bCs/>
          <w:i/>
          <w:sz w:val="22"/>
          <w:szCs w:val="22"/>
        </w:rPr>
        <w:t>Steps to a New Edition of the Hebrew Bible</w:t>
      </w:r>
      <w:r w:rsidR="00C1179B" w:rsidRPr="00B740B4">
        <w:rPr>
          <w:bCs/>
          <w:sz w:val="22"/>
          <w:szCs w:val="22"/>
        </w:rPr>
        <w:t xml:space="preserve">. </w:t>
      </w:r>
      <w:r w:rsidR="003A2D6E" w:rsidRPr="00B740B4">
        <w:rPr>
          <w:b/>
          <w:bCs/>
          <w:sz w:val="22"/>
          <w:szCs w:val="22"/>
        </w:rPr>
        <w:t xml:space="preserve">Henze, M. </w:t>
      </w:r>
      <w:r w:rsidR="008E6EBB" w:rsidRPr="00B740B4">
        <w:rPr>
          <w:i/>
          <w:sz w:val="22"/>
          <w:szCs w:val="22"/>
        </w:rPr>
        <w:t>The Madness of King Nebuchadnezzzar</w:t>
      </w:r>
      <w:r w:rsidR="008E6EBB" w:rsidRPr="00B740B4">
        <w:rPr>
          <w:bCs/>
          <w:sz w:val="22"/>
          <w:szCs w:val="22"/>
        </w:rPr>
        <w:t xml:space="preserve"> ———. </w:t>
      </w:r>
      <w:r w:rsidR="00934A11" w:rsidRPr="00B740B4">
        <w:rPr>
          <w:bCs/>
          <w:sz w:val="22"/>
          <w:szCs w:val="22"/>
        </w:rPr>
        <w:t>“</w:t>
      </w:r>
      <w:r w:rsidR="003A2D6E" w:rsidRPr="00B740B4">
        <w:rPr>
          <w:bCs/>
          <w:sz w:val="22"/>
          <w:szCs w:val="22"/>
        </w:rPr>
        <w:t xml:space="preserve">Nebuchadnezzar’s Madness </w:t>
      </w:r>
      <w:r w:rsidR="003A1F68" w:rsidRPr="00B740B4">
        <w:rPr>
          <w:bCs/>
          <w:sz w:val="22"/>
          <w:szCs w:val="22"/>
        </w:rPr>
        <w:t>in Syriac Literature,</w:t>
      </w:r>
      <w:r w:rsidR="00934A11" w:rsidRPr="00B740B4">
        <w:rPr>
          <w:bCs/>
          <w:sz w:val="22"/>
          <w:szCs w:val="22"/>
        </w:rPr>
        <w:t>”</w:t>
      </w:r>
      <w:r w:rsidR="00AC674E" w:rsidRPr="00B740B4">
        <w:rPr>
          <w:bCs/>
          <w:sz w:val="22"/>
          <w:szCs w:val="22"/>
        </w:rPr>
        <w:t xml:space="preserve"> i</w:t>
      </w:r>
      <w:r w:rsidR="003A2D6E" w:rsidRPr="00B740B4">
        <w:rPr>
          <w:bCs/>
          <w:sz w:val="22"/>
          <w:szCs w:val="22"/>
        </w:rPr>
        <w:t xml:space="preserve">n Collins/Flint (eds.), </w:t>
      </w:r>
      <w:r w:rsidR="003A2D6E" w:rsidRPr="00B740B4">
        <w:rPr>
          <w:bCs/>
          <w:i/>
          <w:sz w:val="22"/>
          <w:szCs w:val="22"/>
        </w:rPr>
        <w:t>The Book of Daniel</w:t>
      </w:r>
      <w:r w:rsidR="003A2D6E" w:rsidRPr="00B740B4">
        <w:rPr>
          <w:b/>
          <w:bCs/>
          <w:sz w:val="22"/>
          <w:szCs w:val="22"/>
        </w:rPr>
        <w:t xml:space="preserve"> </w:t>
      </w:r>
      <w:r w:rsidR="003A2D6E" w:rsidRPr="00B740B4">
        <w:rPr>
          <w:bCs/>
          <w:sz w:val="22"/>
          <w:szCs w:val="22"/>
        </w:rPr>
        <w:t>2:550-71.</w:t>
      </w:r>
      <w:r w:rsidR="00B61572" w:rsidRPr="00B740B4">
        <w:rPr>
          <w:bCs/>
          <w:sz w:val="22"/>
          <w:szCs w:val="22"/>
        </w:rPr>
        <w:t xml:space="preserve"> ———. </w:t>
      </w:r>
      <w:r w:rsidR="00B61572" w:rsidRPr="00B740B4">
        <w:rPr>
          <w:bCs/>
          <w:i/>
          <w:sz w:val="22"/>
          <w:szCs w:val="22"/>
        </w:rPr>
        <w:t>The Syriac Apocalypse of Daniel</w:t>
      </w:r>
      <w:r w:rsidR="00B61572" w:rsidRPr="00B740B4">
        <w:rPr>
          <w:bCs/>
          <w:sz w:val="22"/>
          <w:szCs w:val="22"/>
        </w:rPr>
        <w:t>.</w:t>
      </w:r>
      <w:r w:rsidR="003A2D6E" w:rsidRPr="00B740B4">
        <w:rPr>
          <w:b/>
          <w:bCs/>
          <w:i/>
          <w:sz w:val="22"/>
          <w:szCs w:val="22"/>
        </w:rPr>
        <w:t xml:space="preserve"> </w:t>
      </w:r>
      <w:r w:rsidR="002A52F5" w:rsidRPr="00B740B4">
        <w:rPr>
          <w:b/>
          <w:bCs/>
          <w:i/>
          <w:sz w:val="22"/>
          <w:szCs w:val="22"/>
        </w:rPr>
        <w:t xml:space="preserve">———. </w:t>
      </w:r>
      <w:r w:rsidR="00934A11" w:rsidRPr="00B740B4">
        <w:rPr>
          <w:b/>
          <w:bCs/>
          <w:sz w:val="22"/>
          <w:szCs w:val="22"/>
        </w:rPr>
        <w:t>“</w:t>
      </w:r>
      <w:r w:rsidR="002A52F5" w:rsidRPr="00B740B4">
        <w:rPr>
          <w:rFonts w:eastAsiaTheme="minorHAnsi" w:cs="Times New Roman"/>
          <w:sz w:val="22"/>
          <w:szCs w:val="22"/>
        </w:rPr>
        <w:t>The Use of Scripture in the Book of Daniel.</w:t>
      </w:r>
      <w:r w:rsidR="00934A11" w:rsidRPr="00B740B4">
        <w:rPr>
          <w:rFonts w:eastAsiaTheme="minorHAnsi" w:cs="Times New Roman"/>
          <w:sz w:val="22"/>
          <w:szCs w:val="22"/>
        </w:rPr>
        <w:t>”</w:t>
      </w:r>
      <w:r w:rsidR="002A52F5" w:rsidRPr="00B740B4">
        <w:rPr>
          <w:rFonts w:eastAsiaTheme="minorHAnsi" w:cs="Times New Roman"/>
          <w:sz w:val="22"/>
          <w:szCs w:val="22"/>
        </w:rPr>
        <w:t xml:space="preserve"> </w:t>
      </w:r>
      <w:r w:rsidR="0097148C" w:rsidRPr="00B740B4">
        <w:rPr>
          <w:b/>
          <w:bCs/>
          <w:sz w:val="22"/>
          <w:szCs w:val="22"/>
        </w:rPr>
        <w:t xml:space="preserve">Hieke, T. </w:t>
      </w:r>
      <w:r w:rsidR="00934A11" w:rsidRPr="00B740B4">
        <w:rPr>
          <w:bCs/>
          <w:sz w:val="22"/>
          <w:szCs w:val="22"/>
        </w:rPr>
        <w:t>“</w:t>
      </w:r>
      <w:r w:rsidR="0097148C" w:rsidRPr="00B740B4">
        <w:rPr>
          <w:bCs/>
          <w:sz w:val="22"/>
          <w:szCs w:val="22"/>
        </w:rPr>
        <w:t>The Reception of Dan</w:t>
      </w:r>
      <w:r w:rsidR="00E04C46">
        <w:rPr>
          <w:bCs/>
          <w:sz w:val="22"/>
          <w:szCs w:val="22"/>
        </w:rPr>
        <w:t>iel</w:t>
      </w:r>
      <w:r w:rsidR="0097148C" w:rsidRPr="00B740B4">
        <w:rPr>
          <w:bCs/>
          <w:sz w:val="22"/>
          <w:szCs w:val="22"/>
        </w:rPr>
        <w:t xml:space="preserve"> 7 in the Revelation to John.</w:t>
      </w:r>
      <w:r w:rsidR="00934A11" w:rsidRPr="00B740B4">
        <w:rPr>
          <w:bCs/>
          <w:sz w:val="22"/>
          <w:szCs w:val="22"/>
        </w:rPr>
        <w:t>”</w:t>
      </w:r>
      <w:r w:rsidR="00C63F02" w:rsidRPr="00B740B4">
        <w:rPr>
          <w:b/>
          <w:bCs/>
          <w:i/>
          <w:sz w:val="22"/>
          <w:szCs w:val="22"/>
        </w:rPr>
        <w:t xml:space="preserve"> </w:t>
      </w:r>
      <w:r w:rsidR="00C76818" w:rsidRPr="00B740B4">
        <w:rPr>
          <w:b/>
          <w:bCs/>
          <w:sz w:val="22"/>
          <w:szCs w:val="22"/>
        </w:rPr>
        <w:t xml:space="preserve">Hill, B. V. </w:t>
      </w:r>
      <w:r w:rsidR="00934A11" w:rsidRPr="00B740B4">
        <w:rPr>
          <w:bCs/>
          <w:sz w:val="22"/>
          <w:szCs w:val="22"/>
        </w:rPr>
        <w:t>“</w:t>
      </w:r>
      <w:r w:rsidR="00C76818" w:rsidRPr="00B740B4">
        <w:rPr>
          <w:bCs/>
          <w:sz w:val="22"/>
          <w:szCs w:val="22"/>
        </w:rPr>
        <w:t>Apocalyptic Lollards?</w:t>
      </w:r>
      <w:r w:rsidR="00934A11" w:rsidRPr="00B740B4">
        <w:rPr>
          <w:bCs/>
          <w:sz w:val="22"/>
          <w:szCs w:val="22"/>
        </w:rPr>
        <w:t>”</w:t>
      </w:r>
      <w:r w:rsidR="00C76818" w:rsidRPr="00B740B4">
        <w:rPr>
          <w:bCs/>
          <w:sz w:val="22"/>
          <w:szCs w:val="22"/>
        </w:rPr>
        <w:t xml:space="preserve"> </w:t>
      </w:r>
      <w:r w:rsidR="001B2642" w:rsidRPr="00B740B4">
        <w:rPr>
          <w:b/>
          <w:sz w:val="22"/>
          <w:szCs w:val="22"/>
        </w:rPr>
        <w:t>Hill, C.</w:t>
      </w:r>
      <w:r w:rsidR="001B2642" w:rsidRPr="00B740B4">
        <w:rPr>
          <w:sz w:val="22"/>
          <w:szCs w:val="22"/>
        </w:rPr>
        <w:t xml:space="preserve"> </w:t>
      </w:r>
      <w:r w:rsidR="001B2642" w:rsidRPr="00B740B4">
        <w:rPr>
          <w:i/>
          <w:sz w:val="22"/>
          <w:szCs w:val="22"/>
        </w:rPr>
        <w:t>Antichrist in Seventeenth-Century England</w:t>
      </w:r>
      <w:r w:rsidR="001B2642" w:rsidRPr="00B740B4">
        <w:rPr>
          <w:sz w:val="22"/>
          <w:szCs w:val="22"/>
        </w:rPr>
        <w:t xml:space="preserve">. </w:t>
      </w:r>
      <w:r w:rsidR="00374F52" w:rsidRPr="00B740B4">
        <w:rPr>
          <w:b/>
          <w:sz w:val="22"/>
          <w:szCs w:val="22"/>
        </w:rPr>
        <w:t>Hill, R. C.</w:t>
      </w:r>
      <w:r w:rsidR="00374F52" w:rsidRPr="00B740B4">
        <w:rPr>
          <w:sz w:val="22"/>
          <w:szCs w:val="22"/>
        </w:rPr>
        <w:t xml:space="preserve"> </w:t>
      </w:r>
      <w:r w:rsidR="00934A11" w:rsidRPr="00B740B4">
        <w:rPr>
          <w:sz w:val="22"/>
          <w:szCs w:val="22"/>
        </w:rPr>
        <w:t>“</w:t>
      </w:r>
      <w:r w:rsidR="00374F52" w:rsidRPr="00B740B4">
        <w:rPr>
          <w:sz w:val="22"/>
          <w:szCs w:val="22"/>
        </w:rPr>
        <w:t>The Commentary on Daniel by Theodoret of Cyrus,</w:t>
      </w:r>
      <w:r w:rsidR="00934A11" w:rsidRPr="00B740B4">
        <w:rPr>
          <w:sz w:val="22"/>
          <w:szCs w:val="22"/>
        </w:rPr>
        <w:t>”</w:t>
      </w:r>
      <w:r w:rsidR="00374F52" w:rsidRPr="00B740B4">
        <w:rPr>
          <w:sz w:val="22"/>
          <w:szCs w:val="22"/>
        </w:rPr>
        <w:t xml:space="preserve"> in </w:t>
      </w:r>
      <w:r w:rsidR="00374F52" w:rsidRPr="00B740B4">
        <w:rPr>
          <w:bCs/>
          <w:sz w:val="22"/>
          <w:szCs w:val="22"/>
        </w:rPr>
        <w:t>Bracht/du Toit</w:t>
      </w:r>
      <w:r w:rsidR="00374F52" w:rsidRPr="00B740B4">
        <w:rPr>
          <w:bCs/>
          <w:i/>
          <w:iCs/>
          <w:sz w:val="22"/>
          <w:szCs w:val="22"/>
        </w:rPr>
        <w:t xml:space="preserve"> </w:t>
      </w:r>
      <w:r w:rsidR="00374F52" w:rsidRPr="00B740B4">
        <w:rPr>
          <w:bCs/>
          <w:iCs/>
          <w:sz w:val="22"/>
          <w:szCs w:val="22"/>
        </w:rPr>
        <w:t xml:space="preserve">(eds.), </w:t>
      </w:r>
      <w:r w:rsidR="00374F52" w:rsidRPr="00B740B4">
        <w:rPr>
          <w:bCs/>
          <w:i/>
          <w:iCs/>
          <w:sz w:val="22"/>
          <w:szCs w:val="22"/>
        </w:rPr>
        <w:t>Die Ges</w:t>
      </w:r>
      <w:r w:rsidR="0074237E" w:rsidRPr="00B740B4">
        <w:rPr>
          <w:bCs/>
          <w:i/>
          <w:iCs/>
          <w:sz w:val="22"/>
          <w:szCs w:val="22"/>
        </w:rPr>
        <w:t>chichte der Daniel-</w:t>
      </w:r>
      <w:r w:rsidR="00374F52" w:rsidRPr="00B740B4">
        <w:rPr>
          <w:bCs/>
          <w:i/>
          <w:iCs/>
          <w:sz w:val="22"/>
          <w:szCs w:val="22"/>
        </w:rPr>
        <w:t>Auslegung</w:t>
      </w:r>
      <w:r w:rsidR="00374F52" w:rsidRPr="00B740B4">
        <w:rPr>
          <w:bCs/>
          <w:iCs/>
          <w:sz w:val="22"/>
          <w:szCs w:val="22"/>
        </w:rPr>
        <w:t xml:space="preserve">, 151-63. </w:t>
      </w:r>
      <w:r w:rsidR="004B437C">
        <w:rPr>
          <w:b/>
          <w:bCs/>
          <w:i/>
          <w:iCs/>
          <w:sz w:val="22"/>
          <w:szCs w:val="22"/>
        </w:rPr>
        <w:t>———</w:t>
      </w:r>
      <w:r w:rsidR="009B5AA1">
        <w:rPr>
          <w:b/>
          <w:bCs/>
          <w:i/>
          <w:iCs/>
          <w:sz w:val="22"/>
          <w:szCs w:val="22"/>
        </w:rPr>
        <w:t>.</w:t>
      </w:r>
      <w:r w:rsidR="004B437C">
        <w:rPr>
          <w:b/>
          <w:bCs/>
          <w:i/>
          <w:iCs/>
          <w:sz w:val="22"/>
          <w:szCs w:val="22"/>
        </w:rPr>
        <w:t xml:space="preserve"> </w:t>
      </w:r>
      <w:r w:rsidR="004B437C">
        <w:rPr>
          <w:bCs/>
          <w:i/>
          <w:iCs/>
          <w:sz w:val="22"/>
          <w:szCs w:val="22"/>
        </w:rPr>
        <w:t>Reading the OT in Antio</w:t>
      </w:r>
      <w:r w:rsidR="004B437C" w:rsidRPr="004B437C">
        <w:rPr>
          <w:bCs/>
          <w:i/>
          <w:iCs/>
          <w:sz w:val="22"/>
          <w:szCs w:val="22"/>
        </w:rPr>
        <w:t>ch</w:t>
      </w:r>
      <w:r w:rsidR="004B437C">
        <w:rPr>
          <w:b/>
          <w:bCs/>
          <w:i/>
          <w:iCs/>
          <w:sz w:val="22"/>
          <w:szCs w:val="22"/>
        </w:rPr>
        <w:t xml:space="preserve">. </w:t>
      </w:r>
      <w:r w:rsidR="00D6214B" w:rsidRPr="00D6214B">
        <w:rPr>
          <w:b/>
          <w:sz w:val="22"/>
          <w:szCs w:val="22"/>
        </w:rPr>
        <w:t>Hobbins, J.</w:t>
      </w:r>
      <w:r w:rsidR="00D6214B" w:rsidRPr="00D6214B">
        <w:rPr>
          <w:sz w:val="22"/>
          <w:szCs w:val="22"/>
        </w:rPr>
        <w:t xml:space="preserve"> F. “Resurrection in the Daniel Tradition and Other Writings at Qumran,” in </w:t>
      </w:r>
      <w:r w:rsidR="00D6214B" w:rsidRPr="00D6214B">
        <w:rPr>
          <w:bCs/>
          <w:sz w:val="22"/>
          <w:szCs w:val="22"/>
        </w:rPr>
        <w:t xml:space="preserve">Collins/Flint (eds.), </w:t>
      </w:r>
      <w:r w:rsidR="00D6214B" w:rsidRPr="00D6214B">
        <w:rPr>
          <w:bCs/>
          <w:i/>
          <w:sz w:val="22"/>
          <w:szCs w:val="22"/>
        </w:rPr>
        <w:t>The Book of Daniel</w:t>
      </w:r>
      <w:r w:rsidR="00D6214B" w:rsidRPr="00D6214B">
        <w:rPr>
          <w:bCs/>
          <w:sz w:val="22"/>
          <w:szCs w:val="22"/>
        </w:rPr>
        <w:t xml:space="preserve"> 2:395-420.</w:t>
      </w:r>
      <w:r w:rsidR="00D6214B" w:rsidRPr="00D6214B">
        <w:rPr>
          <w:sz w:val="22"/>
          <w:szCs w:val="22"/>
        </w:rPr>
        <w:t xml:space="preserve"> </w:t>
      </w:r>
      <w:r w:rsidR="005C61AB" w:rsidRPr="00D6214B">
        <w:rPr>
          <w:rFonts w:eastAsiaTheme="minorHAnsi" w:cs="TimesNewRomanPSMT"/>
          <w:b/>
          <w:sz w:val="22"/>
          <w:szCs w:val="22"/>
        </w:rPr>
        <w:t>Höffken</w:t>
      </w:r>
      <w:r w:rsidR="005C61AB" w:rsidRPr="00B740B4">
        <w:rPr>
          <w:rFonts w:eastAsiaTheme="minorHAnsi" w:cs="TimesNewRomanPSMT"/>
          <w:b/>
          <w:sz w:val="22"/>
          <w:szCs w:val="22"/>
        </w:rPr>
        <w:t>, P.</w:t>
      </w:r>
      <w:r w:rsidR="005C61AB" w:rsidRPr="00B740B4">
        <w:rPr>
          <w:rFonts w:eastAsiaTheme="minorHAnsi" w:cs="TimesNewRomanPSMT"/>
          <w:sz w:val="22"/>
          <w:szCs w:val="22"/>
        </w:rPr>
        <w:t xml:space="preserve"> </w:t>
      </w:r>
      <w:r w:rsidR="00934A11" w:rsidRPr="00B740B4">
        <w:rPr>
          <w:rFonts w:eastAsiaTheme="minorHAnsi" w:cs="TimesNewRomanPSMT"/>
          <w:sz w:val="22"/>
          <w:szCs w:val="22"/>
        </w:rPr>
        <w:t>“</w:t>
      </w:r>
      <w:r w:rsidR="005C61AB" w:rsidRPr="00B740B4">
        <w:rPr>
          <w:rFonts w:eastAsiaTheme="minorHAnsi" w:cs="TimesNewRomanPSMT"/>
          <w:sz w:val="22"/>
          <w:szCs w:val="22"/>
        </w:rPr>
        <w:t>Eine Reichsteilung bei Josephus Flavius: Beobachtungen zu s</w:t>
      </w:r>
      <w:r w:rsidR="00AC674E" w:rsidRPr="00B740B4">
        <w:rPr>
          <w:rFonts w:eastAsiaTheme="minorHAnsi" w:cs="TimesNewRomanPSMT"/>
          <w:sz w:val="22"/>
          <w:szCs w:val="22"/>
        </w:rPr>
        <w:t>einer Auffassung v</w:t>
      </w:r>
      <w:r w:rsidR="005C61AB" w:rsidRPr="00B740B4">
        <w:rPr>
          <w:rFonts w:eastAsiaTheme="minorHAnsi" w:cs="TimesNewRomanPSMT"/>
          <w:sz w:val="22"/>
          <w:szCs w:val="22"/>
        </w:rPr>
        <w:t>on Daniel 5.</w:t>
      </w:r>
      <w:r w:rsidR="00934A11" w:rsidRPr="00B740B4">
        <w:rPr>
          <w:rFonts w:eastAsiaTheme="minorHAnsi" w:cs="TimesNewRomanPSMT"/>
          <w:sz w:val="22"/>
          <w:szCs w:val="22"/>
        </w:rPr>
        <w:t>”</w:t>
      </w:r>
      <w:r w:rsidR="005C61AB" w:rsidRPr="00B740B4">
        <w:rPr>
          <w:rFonts w:eastAsiaTheme="minorHAnsi" w:cs="TimesNewRomanPSMT"/>
          <w:sz w:val="22"/>
          <w:szCs w:val="22"/>
        </w:rPr>
        <w:t xml:space="preserve"> </w:t>
      </w:r>
      <w:r w:rsidR="00233A5E" w:rsidRPr="00B740B4">
        <w:rPr>
          <w:b/>
          <w:sz w:val="22"/>
          <w:szCs w:val="22"/>
        </w:rPr>
        <w:t xml:space="preserve">Hofius, O. </w:t>
      </w:r>
      <w:r w:rsidR="00934A11" w:rsidRPr="00B740B4">
        <w:rPr>
          <w:sz w:val="22"/>
          <w:szCs w:val="22"/>
        </w:rPr>
        <w:t>“</w:t>
      </w:r>
      <w:r w:rsidR="00233A5E" w:rsidRPr="00B740B4">
        <w:rPr>
          <w:sz w:val="22"/>
          <w:szCs w:val="22"/>
        </w:rPr>
        <w:t>Der Septuaginta-Text von Daniel 7, 13-14.</w:t>
      </w:r>
      <w:r w:rsidR="00934A11" w:rsidRPr="00B740B4">
        <w:rPr>
          <w:sz w:val="22"/>
          <w:szCs w:val="22"/>
        </w:rPr>
        <w:t>”</w:t>
      </w:r>
      <w:r w:rsidR="00233A5E" w:rsidRPr="00B740B4">
        <w:rPr>
          <w:sz w:val="22"/>
          <w:szCs w:val="22"/>
        </w:rPr>
        <w:t xml:space="preserve"> </w:t>
      </w:r>
      <w:r w:rsidR="003A1F68" w:rsidRPr="00B740B4">
        <w:rPr>
          <w:b/>
          <w:sz w:val="22"/>
          <w:szCs w:val="22"/>
        </w:rPr>
        <w:t>Hogeterp, A. L. A.</w:t>
      </w:r>
      <w:r w:rsidR="003A1F68" w:rsidRPr="00B740B4">
        <w:rPr>
          <w:sz w:val="22"/>
          <w:szCs w:val="22"/>
        </w:rPr>
        <w:t xml:space="preserve"> </w:t>
      </w:r>
      <w:r w:rsidR="00934A11" w:rsidRPr="00B740B4">
        <w:rPr>
          <w:sz w:val="22"/>
          <w:szCs w:val="22"/>
        </w:rPr>
        <w:t>“</w:t>
      </w:r>
      <w:r w:rsidR="003A1F68" w:rsidRPr="00B740B4">
        <w:rPr>
          <w:sz w:val="22"/>
          <w:szCs w:val="22"/>
        </w:rPr>
        <w:t>Daniel and the Qumran Daniel Cycle.</w:t>
      </w:r>
      <w:r w:rsidR="00934A11" w:rsidRPr="00B740B4">
        <w:rPr>
          <w:sz w:val="22"/>
          <w:szCs w:val="22"/>
        </w:rPr>
        <w:t>”</w:t>
      </w:r>
      <w:r w:rsidR="003A1F68" w:rsidRPr="00B740B4">
        <w:rPr>
          <w:sz w:val="22"/>
          <w:szCs w:val="22"/>
        </w:rPr>
        <w:t xml:space="preserve"> </w:t>
      </w:r>
      <w:r w:rsidR="001B2642" w:rsidRPr="00B740B4">
        <w:rPr>
          <w:b/>
          <w:sz w:val="22"/>
          <w:szCs w:val="22"/>
        </w:rPr>
        <w:t>Horbury, W.</w:t>
      </w:r>
      <w:r w:rsidR="001B2642" w:rsidRPr="00B740B4">
        <w:rPr>
          <w:sz w:val="22"/>
          <w:szCs w:val="22"/>
        </w:rPr>
        <w:t xml:space="preserve"> </w:t>
      </w:r>
      <w:r w:rsidR="00934A11" w:rsidRPr="00B740B4">
        <w:rPr>
          <w:sz w:val="22"/>
          <w:szCs w:val="22"/>
        </w:rPr>
        <w:t>“</w:t>
      </w:r>
      <w:r w:rsidR="001B2642" w:rsidRPr="00B740B4">
        <w:rPr>
          <w:sz w:val="22"/>
          <w:szCs w:val="22"/>
        </w:rPr>
        <w:t>The Messianic Associations of ‘the Son of Man.’</w:t>
      </w:r>
      <w:r w:rsidR="00934A11" w:rsidRPr="00B740B4">
        <w:rPr>
          <w:sz w:val="22"/>
          <w:szCs w:val="22"/>
        </w:rPr>
        <w:t>”</w:t>
      </w:r>
      <w:r w:rsidR="001B2642" w:rsidRPr="00B740B4">
        <w:rPr>
          <w:sz w:val="22"/>
          <w:szCs w:val="22"/>
        </w:rPr>
        <w:t xml:space="preserve"> </w:t>
      </w:r>
      <w:r w:rsidR="00AC674E" w:rsidRPr="00B740B4">
        <w:rPr>
          <w:b/>
          <w:sz w:val="22"/>
          <w:szCs w:val="22"/>
        </w:rPr>
        <w:t xml:space="preserve">Hurtado, L. W., </w:t>
      </w:r>
      <w:r w:rsidR="00AC674E" w:rsidRPr="009B5AA1">
        <w:rPr>
          <w:sz w:val="22"/>
          <w:szCs w:val="22"/>
        </w:rPr>
        <w:t>and</w:t>
      </w:r>
      <w:r w:rsidR="00AC674E" w:rsidRPr="00B740B4">
        <w:rPr>
          <w:b/>
          <w:sz w:val="22"/>
          <w:szCs w:val="22"/>
        </w:rPr>
        <w:t xml:space="preserve"> </w:t>
      </w:r>
      <w:r w:rsidR="001F5BD1" w:rsidRPr="00B740B4">
        <w:rPr>
          <w:b/>
          <w:sz w:val="22"/>
          <w:szCs w:val="22"/>
        </w:rPr>
        <w:t>Owen</w:t>
      </w:r>
      <w:r w:rsidR="00AC674E" w:rsidRPr="00B740B4">
        <w:rPr>
          <w:b/>
          <w:sz w:val="22"/>
          <w:szCs w:val="22"/>
        </w:rPr>
        <w:t>, P.</w:t>
      </w:r>
      <w:r w:rsidR="001F5BD1" w:rsidRPr="00B740B4">
        <w:rPr>
          <w:b/>
          <w:sz w:val="22"/>
          <w:szCs w:val="22"/>
        </w:rPr>
        <w:t xml:space="preserve"> </w:t>
      </w:r>
      <w:r w:rsidR="001F5BD1" w:rsidRPr="00B740B4">
        <w:rPr>
          <w:sz w:val="22"/>
          <w:szCs w:val="22"/>
        </w:rPr>
        <w:t xml:space="preserve">(eds.). </w:t>
      </w:r>
      <w:r w:rsidR="001F5BD1" w:rsidRPr="00B740B4">
        <w:rPr>
          <w:i/>
          <w:sz w:val="22"/>
          <w:szCs w:val="22"/>
        </w:rPr>
        <w:t xml:space="preserve">Who Is This Son of Man? </w:t>
      </w:r>
      <w:r w:rsidR="001B2642" w:rsidRPr="00B740B4">
        <w:rPr>
          <w:b/>
          <w:sz w:val="22"/>
          <w:szCs w:val="22"/>
        </w:rPr>
        <w:t>Jahn, G.</w:t>
      </w:r>
      <w:r w:rsidR="001B2642" w:rsidRPr="00B740B4">
        <w:rPr>
          <w:sz w:val="22"/>
          <w:szCs w:val="22"/>
        </w:rPr>
        <w:t xml:space="preserve"> </w:t>
      </w:r>
      <w:r w:rsidR="001B2642" w:rsidRPr="00B740B4">
        <w:rPr>
          <w:i/>
          <w:sz w:val="22"/>
          <w:szCs w:val="22"/>
        </w:rPr>
        <w:t>Das Buch Daniel nach der Septuaginta</w:t>
      </w:r>
      <w:r w:rsidR="001B2642" w:rsidRPr="00B740B4">
        <w:rPr>
          <w:sz w:val="22"/>
          <w:szCs w:val="22"/>
        </w:rPr>
        <w:t xml:space="preserve">. </w:t>
      </w:r>
      <w:r w:rsidR="001B2642" w:rsidRPr="00B740B4">
        <w:rPr>
          <w:b/>
          <w:sz w:val="22"/>
          <w:szCs w:val="22"/>
        </w:rPr>
        <w:t>Jellicoe, S.</w:t>
      </w:r>
      <w:r w:rsidR="001B2642" w:rsidRPr="00B740B4">
        <w:rPr>
          <w:sz w:val="22"/>
          <w:szCs w:val="22"/>
        </w:rPr>
        <w:t xml:space="preserve"> </w:t>
      </w:r>
      <w:r w:rsidR="00934A11" w:rsidRPr="00B740B4">
        <w:rPr>
          <w:sz w:val="22"/>
          <w:szCs w:val="22"/>
        </w:rPr>
        <w:t>“</w:t>
      </w:r>
      <w:r w:rsidR="001B2642" w:rsidRPr="00B740B4">
        <w:rPr>
          <w:sz w:val="22"/>
          <w:szCs w:val="22"/>
        </w:rPr>
        <w:t>Reflections on</w:t>
      </w:r>
      <w:r w:rsidR="00D3105A" w:rsidRPr="00B740B4">
        <w:rPr>
          <w:sz w:val="22"/>
          <w:szCs w:val="22"/>
        </w:rPr>
        <w:t xml:space="preserve"> the </w:t>
      </w:r>
      <w:r w:rsidR="00D3105A" w:rsidRPr="00B740B4">
        <w:rPr>
          <w:sz w:val="22"/>
          <w:szCs w:val="22"/>
          <w:lang w:val="el-GR"/>
        </w:rPr>
        <w:t>κ</w:t>
      </w:r>
      <w:r w:rsidR="00D3105A" w:rsidRPr="00B740B4">
        <w:rPr>
          <w:sz w:val="22"/>
          <w:szCs w:val="22"/>
        </w:rPr>
        <w:t>αι</w:t>
      </w:r>
      <w:r w:rsidR="00D3105A" w:rsidRPr="00B740B4">
        <w:rPr>
          <w:sz w:val="22"/>
          <w:szCs w:val="22"/>
          <w:lang w:val="el-GR"/>
        </w:rPr>
        <w:t>γ</w:t>
      </w:r>
      <w:r w:rsidR="00D3105A" w:rsidRPr="00B740B4">
        <w:rPr>
          <w:sz w:val="22"/>
          <w:szCs w:val="22"/>
        </w:rPr>
        <w:t xml:space="preserve">ε </w:t>
      </w:r>
      <w:r w:rsidR="001B2642" w:rsidRPr="00B740B4">
        <w:rPr>
          <w:sz w:val="22"/>
          <w:szCs w:val="22"/>
        </w:rPr>
        <w:t>Recension.</w:t>
      </w:r>
      <w:r w:rsidR="00934A11" w:rsidRPr="00B740B4">
        <w:rPr>
          <w:sz w:val="22"/>
          <w:szCs w:val="22"/>
        </w:rPr>
        <w:t>”</w:t>
      </w:r>
      <w:r w:rsidR="001B2642" w:rsidRPr="00B740B4">
        <w:rPr>
          <w:sz w:val="22"/>
          <w:szCs w:val="22"/>
        </w:rPr>
        <w:t xml:space="preserve"> </w:t>
      </w:r>
      <w:r w:rsidR="0031542F" w:rsidRPr="00B740B4">
        <w:rPr>
          <w:b/>
          <w:sz w:val="22"/>
          <w:szCs w:val="22"/>
        </w:rPr>
        <w:t>Jenner, K.</w:t>
      </w:r>
      <w:r w:rsidR="0031542F" w:rsidRPr="00B740B4">
        <w:rPr>
          <w:sz w:val="22"/>
          <w:szCs w:val="22"/>
        </w:rPr>
        <w:t xml:space="preserve"> </w:t>
      </w:r>
      <w:r w:rsidR="00934A11" w:rsidRPr="00B740B4">
        <w:rPr>
          <w:sz w:val="22"/>
          <w:szCs w:val="22"/>
        </w:rPr>
        <w:t>“</w:t>
      </w:r>
      <w:r w:rsidR="0031542F" w:rsidRPr="00B740B4">
        <w:rPr>
          <w:sz w:val="22"/>
          <w:szCs w:val="22"/>
        </w:rPr>
        <w:t>Syriac Daniel</w:t>
      </w:r>
      <w:r w:rsidR="008C0493" w:rsidRPr="00B740B4">
        <w:rPr>
          <w:sz w:val="22"/>
          <w:szCs w:val="22"/>
        </w:rPr>
        <w:t>,</w:t>
      </w:r>
      <w:r w:rsidR="00934A11" w:rsidRPr="00B740B4">
        <w:rPr>
          <w:sz w:val="22"/>
          <w:szCs w:val="22"/>
        </w:rPr>
        <w:t>”</w:t>
      </w:r>
      <w:r w:rsidR="008C0493" w:rsidRPr="00B740B4">
        <w:rPr>
          <w:sz w:val="22"/>
          <w:szCs w:val="22"/>
        </w:rPr>
        <w:t xml:space="preserve"> in</w:t>
      </w:r>
      <w:r w:rsidR="0031542F" w:rsidRPr="00B740B4">
        <w:rPr>
          <w:sz w:val="22"/>
          <w:szCs w:val="22"/>
        </w:rPr>
        <w:t xml:space="preserve"> </w:t>
      </w:r>
      <w:r w:rsidR="0031542F" w:rsidRPr="00B740B4">
        <w:rPr>
          <w:bCs/>
          <w:sz w:val="22"/>
          <w:szCs w:val="22"/>
        </w:rPr>
        <w:t xml:space="preserve">Collins/Flint (eds.), </w:t>
      </w:r>
      <w:r w:rsidR="0031542F" w:rsidRPr="00B740B4">
        <w:rPr>
          <w:bCs/>
          <w:i/>
          <w:sz w:val="22"/>
          <w:szCs w:val="22"/>
        </w:rPr>
        <w:t>The Book of Daniel</w:t>
      </w:r>
      <w:r w:rsidR="0031542F" w:rsidRPr="00B740B4">
        <w:rPr>
          <w:bCs/>
          <w:sz w:val="22"/>
          <w:szCs w:val="22"/>
        </w:rPr>
        <w:t xml:space="preserve"> 2:608-37.</w:t>
      </w:r>
      <w:r w:rsidR="0031542F" w:rsidRPr="00B740B4">
        <w:rPr>
          <w:sz w:val="22"/>
          <w:szCs w:val="22"/>
        </w:rPr>
        <w:t xml:space="preserve"> </w:t>
      </w:r>
      <w:r w:rsidR="005B75C6" w:rsidRPr="00B740B4">
        <w:rPr>
          <w:b/>
          <w:sz w:val="22"/>
          <w:szCs w:val="22"/>
        </w:rPr>
        <w:t>Jobes, K. H.</w:t>
      </w:r>
      <w:r w:rsidR="005B75C6" w:rsidRPr="00B740B4">
        <w:rPr>
          <w:sz w:val="22"/>
          <w:szCs w:val="22"/>
        </w:rPr>
        <w:t xml:space="preserve"> </w:t>
      </w:r>
      <w:r w:rsidR="00934A11" w:rsidRPr="00B740B4">
        <w:rPr>
          <w:sz w:val="22"/>
          <w:szCs w:val="22"/>
        </w:rPr>
        <w:t>“</w:t>
      </w:r>
      <w:r w:rsidR="005B75C6" w:rsidRPr="00B740B4">
        <w:rPr>
          <w:sz w:val="22"/>
          <w:szCs w:val="22"/>
        </w:rPr>
        <w:t>Comparative Syntactic Analysis.</w:t>
      </w:r>
      <w:r w:rsidR="00934A11" w:rsidRPr="00B740B4">
        <w:rPr>
          <w:sz w:val="22"/>
          <w:szCs w:val="22"/>
        </w:rPr>
        <w:t>”</w:t>
      </w:r>
      <w:r w:rsidR="005B75C6" w:rsidRPr="00B740B4">
        <w:rPr>
          <w:sz w:val="22"/>
          <w:szCs w:val="22"/>
        </w:rPr>
        <w:t xml:space="preserve"> ———.</w:t>
      </w:r>
      <w:r w:rsidR="005B75C6" w:rsidRPr="00B740B4">
        <w:rPr>
          <w:b/>
          <w:i/>
          <w:sz w:val="22"/>
          <w:szCs w:val="22"/>
        </w:rPr>
        <w:t xml:space="preserve"> </w:t>
      </w:r>
      <w:r w:rsidR="00934A11" w:rsidRPr="00B740B4">
        <w:rPr>
          <w:sz w:val="22"/>
          <w:szCs w:val="22"/>
        </w:rPr>
        <w:t>“</w:t>
      </w:r>
      <w:r w:rsidR="005B75C6" w:rsidRPr="00B740B4">
        <w:rPr>
          <w:sz w:val="22"/>
          <w:szCs w:val="22"/>
        </w:rPr>
        <w:t>Karen Jobes Responds to Tim McLay</w:t>
      </w:r>
      <w:r w:rsidR="005B75C6" w:rsidRPr="009B5AA1">
        <w:rPr>
          <w:sz w:val="22"/>
          <w:szCs w:val="22"/>
        </w:rPr>
        <w:t>.</w:t>
      </w:r>
      <w:r w:rsidR="00934A11" w:rsidRPr="009B5AA1">
        <w:rPr>
          <w:sz w:val="22"/>
          <w:szCs w:val="22"/>
        </w:rPr>
        <w:t>”</w:t>
      </w:r>
      <w:r w:rsidR="003E3C5D" w:rsidRPr="009B5AA1">
        <w:rPr>
          <w:sz w:val="22"/>
          <w:szCs w:val="22"/>
        </w:rPr>
        <w:t xml:space="preserve"> </w:t>
      </w:r>
      <w:r w:rsidR="003E3C5D" w:rsidRPr="009B5AA1">
        <w:rPr>
          <w:b/>
          <w:sz w:val="22"/>
          <w:szCs w:val="22"/>
        </w:rPr>
        <w:t>Jones, B.</w:t>
      </w:r>
      <w:r w:rsidR="003E3C5D" w:rsidRPr="009B5AA1">
        <w:rPr>
          <w:sz w:val="22"/>
          <w:szCs w:val="22"/>
        </w:rPr>
        <w:t xml:space="preserve"> </w:t>
      </w:r>
      <w:r w:rsidR="003E3C5D" w:rsidRPr="009B5AA1">
        <w:rPr>
          <w:b/>
          <w:sz w:val="22"/>
          <w:szCs w:val="22"/>
        </w:rPr>
        <w:t>A.</w:t>
      </w:r>
      <w:r w:rsidR="003E3C5D" w:rsidRPr="009B5AA1">
        <w:rPr>
          <w:sz w:val="22"/>
          <w:szCs w:val="22"/>
        </w:rPr>
        <w:t xml:space="preserve"> “Resisting the Power of Empire</w:t>
      </w:r>
      <w:r w:rsidR="00D95B90">
        <w:rPr>
          <w:sz w:val="22"/>
          <w:szCs w:val="22"/>
        </w:rPr>
        <w:t xml:space="preserve">.” </w:t>
      </w:r>
      <w:r w:rsidR="001B2642" w:rsidRPr="00B740B4">
        <w:rPr>
          <w:b/>
          <w:sz w:val="22"/>
          <w:szCs w:val="22"/>
        </w:rPr>
        <w:t>Jones, D. R.</w:t>
      </w:r>
      <w:r w:rsidR="001B2642" w:rsidRPr="00B740B4">
        <w:rPr>
          <w:sz w:val="22"/>
          <w:szCs w:val="22"/>
        </w:rPr>
        <w:t xml:space="preserve"> </w:t>
      </w:r>
      <w:r w:rsidR="00934A11" w:rsidRPr="00B740B4">
        <w:rPr>
          <w:sz w:val="22"/>
          <w:szCs w:val="22"/>
        </w:rPr>
        <w:t>“</w:t>
      </w:r>
      <w:r w:rsidR="001B2642" w:rsidRPr="00B740B4">
        <w:rPr>
          <w:sz w:val="22"/>
          <w:szCs w:val="22"/>
        </w:rPr>
        <w:t>Commentaries on Daniel.</w:t>
      </w:r>
      <w:r w:rsidR="00934A11" w:rsidRPr="00B740B4">
        <w:rPr>
          <w:sz w:val="22"/>
          <w:szCs w:val="22"/>
        </w:rPr>
        <w:t>”</w:t>
      </w:r>
      <w:r w:rsidR="001B2642" w:rsidRPr="00B740B4">
        <w:rPr>
          <w:sz w:val="22"/>
          <w:szCs w:val="22"/>
        </w:rPr>
        <w:t xml:space="preserve"> </w:t>
      </w:r>
      <w:r w:rsidR="001B2642" w:rsidRPr="00B740B4">
        <w:rPr>
          <w:b/>
          <w:sz w:val="22"/>
          <w:szCs w:val="22"/>
        </w:rPr>
        <w:t>Kallarakkal A. G.</w:t>
      </w:r>
      <w:r w:rsidR="001B2642" w:rsidRPr="00B740B4">
        <w:rPr>
          <w:sz w:val="22"/>
          <w:szCs w:val="22"/>
        </w:rPr>
        <w:t xml:space="preserve"> </w:t>
      </w:r>
      <w:r w:rsidR="001B2642" w:rsidRPr="00B740B4">
        <w:rPr>
          <w:i/>
          <w:sz w:val="22"/>
          <w:szCs w:val="22"/>
        </w:rPr>
        <w:t>The Peshitto Version of Daniel</w:t>
      </w:r>
      <w:r w:rsidR="001B2642" w:rsidRPr="00B740B4">
        <w:rPr>
          <w:sz w:val="22"/>
          <w:szCs w:val="22"/>
        </w:rPr>
        <w:t xml:space="preserve">. </w:t>
      </w:r>
      <w:r w:rsidR="001B2642" w:rsidRPr="00B740B4">
        <w:rPr>
          <w:b/>
          <w:sz w:val="22"/>
          <w:szCs w:val="22"/>
        </w:rPr>
        <w:t>Käser, W.</w:t>
      </w:r>
      <w:r w:rsidR="001B2642" w:rsidRPr="00B740B4">
        <w:rPr>
          <w:sz w:val="22"/>
          <w:szCs w:val="22"/>
        </w:rPr>
        <w:t xml:space="preserve"> </w:t>
      </w:r>
      <w:r w:rsidR="00934A11" w:rsidRPr="00B740B4">
        <w:rPr>
          <w:sz w:val="22"/>
          <w:szCs w:val="22"/>
        </w:rPr>
        <w:t>“</w:t>
      </w:r>
      <w:r w:rsidR="001B2642" w:rsidRPr="00B740B4">
        <w:rPr>
          <w:sz w:val="22"/>
          <w:szCs w:val="22"/>
        </w:rPr>
        <w:t>Die Monarchie im Spiegel von Calvins Daniel-Kommentar.</w:t>
      </w:r>
      <w:r w:rsidR="00934A11" w:rsidRPr="00B740B4">
        <w:rPr>
          <w:sz w:val="22"/>
          <w:szCs w:val="22"/>
        </w:rPr>
        <w:t>”</w:t>
      </w:r>
      <w:r w:rsidR="001B2642" w:rsidRPr="00B740B4">
        <w:rPr>
          <w:sz w:val="22"/>
          <w:szCs w:val="22"/>
        </w:rPr>
        <w:t xml:space="preserve"> </w:t>
      </w:r>
      <w:r w:rsidR="001B2642" w:rsidRPr="00B740B4">
        <w:rPr>
          <w:b/>
          <w:sz w:val="22"/>
          <w:szCs w:val="22"/>
        </w:rPr>
        <w:t>Kee, H. C.</w:t>
      </w:r>
      <w:r w:rsidR="001B2642" w:rsidRPr="00B740B4">
        <w:rPr>
          <w:sz w:val="22"/>
          <w:szCs w:val="22"/>
        </w:rPr>
        <w:t xml:space="preserve"> </w:t>
      </w:r>
      <w:r w:rsidR="00934A11" w:rsidRPr="00B740B4">
        <w:rPr>
          <w:sz w:val="22"/>
          <w:szCs w:val="22"/>
        </w:rPr>
        <w:t>“</w:t>
      </w:r>
      <w:r w:rsidR="001B2642" w:rsidRPr="00B740B4">
        <w:rPr>
          <w:sz w:val="22"/>
          <w:szCs w:val="22"/>
        </w:rPr>
        <w:t>‘The Man’ in Fourth Ezra.</w:t>
      </w:r>
      <w:r w:rsidR="00934A11" w:rsidRPr="00B740B4">
        <w:rPr>
          <w:sz w:val="22"/>
          <w:szCs w:val="22"/>
        </w:rPr>
        <w:t>”</w:t>
      </w:r>
      <w:r w:rsidR="001B2642" w:rsidRPr="00B740B4">
        <w:rPr>
          <w:sz w:val="22"/>
          <w:szCs w:val="22"/>
        </w:rPr>
        <w:t xml:space="preserve"> </w:t>
      </w:r>
      <w:r w:rsidR="00DD07C7" w:rsidRPr="00B740B4">
        <w:rPr>
          <w:b/>
          <w:sz w:val="22"/>
          <w:szCs w:val="22"/>
        </w:rPr>
        <w:t xml:space="preserve">Kim, D. </w:t>
      </w:r>
      <w:r w:rsidR="00DD07C7" w:rsidRPr="00B740B4">
        <w:rPr>
          <w:i/>
          <w:sz w:val="22"/>
          <w:szCs w:val="22"/>
        </w:rPr>
        <w:t>Biblical Interpretation in the Book of Daniel</w:t>
      </w:r>
      <w:r w:rsidR="00DD07C7" w:rsidRPr="00B740B4">
        <w:rPr>
          <w:sz w:val="22"/>
          <w:szCs w:val="22"/>
        </w:rPr>
        <w:t xml:space="preserve">. </w:t>
      </w:r>
      <w:r w:rsidR="001B2642" w:rsidRPr="00B740B4">
        <w:rPr>
          <w:b/>
          <w:sz w:val="22"/>
          <w:szCs w:val="22"/>
        </w:rPr>
        <w:t>Kim, S.</w:t>
      </w:r>
      <w:r w:rsidR="001B2642" w:rsidRPr="00B740B4">
        <w:rPr>
          <w:sz w:val="22"/>
          <w:szCs w:val="22"/>
        </w:rPr>
        <w:t xml:space="preserve"> </w:t>
      </w:r>
      <w:r w:rsidR="00934A11" w:rsidRPr="00B740B4">
        <w:rPr>
          <w:sz w:val="22"/>
          <w:szCs w:val="22"/>
        </w:rPr>
        <w:t>“</w:t>
      </w:r>
      <w:r w:rsidR="001B2642" w:rsidRPr="00B740B4">
        <w:rPr>
          <w:i/>
          <w:sz w:val="22"/>
          <w:szCs w:val="22"/>
        </w:rPr>
        <w:t>The</w:t>
      </w:r>
      <w:r w:rsidR="001B2642" w:rsidRPr="00B740B4">
        <w:rPr>
          <w:sz w:val="22"/>
          <w:szCs w:val="22"/>
        </w:rPr>
        <w:t xml:space="preserve"> ‘</w:t>
      </w:r>
      <w:r w:rsidR="001B2642" w:rsidRPr="00B740B4">
        <w:rPr>
          <w:i/>
          <w:sz w:val="22"/>
          <w:szCs w:val="22"/>
        </w:rPr>
        <w:t>Son of Man</w:t>
      </w:r>
      <w:r w:rsidR="001B2642" w:rsidRPr="00B740B4">
        <w:rPr>
          <w:sz w:val="22"/>
          <w:szCs w:val="22"/>
        </w:rPr>
        <w:t xml:space="preserve">’ </w:t>
      </w:r>
      <w:r w:rsidR="00934A11" w:rsidRPr="00B740B4">
        <w:rPr>
          <w:sz w:val="22"/>
          <w:szCs w:val="22"/>
        </w:rPr>
        <w:t>“</w:t>
      </w:r>
      <w:r w:rsidR="001B2642" w:rsidRPr="00B740B4">
        <w:rPr>
          <w:i/>
          <w:sz w:val="22"/>
          <w:szCs w:val="22"/>
        </w:rPr>
        <w:t>as the Son of God</w:t>
      </w:r>
      <w:r w:rsidR="001B2642" w:rsidRPr="00B740B4">
        <w:rPr>
          <w:sz w:val="22"/>
          <w:szCs w:val="22"/>
        </w:rPr>
        <w:t xml:space="preserve">. </w:t>
      </w:r>
      <w:r w:rsidR="0035333C" w:rsidRPr="00B740B4">
        <w:rPr>
          <w:b/>
          <w:sz w:val="22"/>
          <w:szCs w:val="22"/>
        </w:rPr>
        <w:t>Kirkpatrick, S.</w:t>
      </w:r>
      <w:r w:rsidR="0035333C" w:rsidRPr="00B740B4">
        <w:rPr>
          <w:sz w:val="22"/>
          <w:szCs w:val="22"/>
        </w:rPr>
        <w:t xml:space="preserve"> </w:t>
      </w:r>
      <w:r w:rsidR="0035333C" w:rsidRPr="00B740B4">
        <w:rPr>
          <w:i/>
          <w:sz w:val="22"/>
          <w:szCs w:val="22"/>
        </w:rPr>
        <w:t xml:space="preserve">Competing for Honor. </w:t>
      </w:r>
      <w:r w:rsidR="004500DB" w:rsidRPr="004500DB">
        <w:rPr>
          <w:b/>
          <w:sz w:val="22"/>
          <w:szCs w:val="22"/>
        </w:rPr>
        <w:t>Knibb, M.</w:t>
      </w:r>
      <w:r w:rsidR="004500DB" w:rsidRPr="004500DB">
        <w:rPr>
          <w:rFonts w:cs="OJGFIJ+TimesNewRomanPSMT"/>
          <w:bCs/>
          <w:sz w:val="22"/>
          <w:szCs w:val="22"/>
        </w:rPr>
        <w:t xml:space="preserve"> </w:t>
      </w:r>
      <w:r w:rsidR="004500DB" w:rsidRPr="004500DB">
        <w:rPr>
          <w:rFonts w:cs="OJGFIJ+TimesNewRomanPSMT"/>
          <w:b/>
          <w:bCs/>
          <w:sz w:val="22"/>
          <w:szCs w:val="22"/>
        </w:rPr>
        <w:t>A</w:t>
      </w:r>
      <w:r w:rsidR="004500DB" w:rsidRPr="004500DB">
        <w:rPr>
          <w:rFonts w:cs="OJGFIJ+TimesNewRomanPSMT"/>
          <w:bCs/>
          <w:sz w:val="22"/>
          <w:szCs w:val="22"/>
        </w:rPr>
        <w:t>. “Th</w:t>
      </w:r>
      <w:r w:rsidR="004500DB">
        <w:rPr>
          <w:rFonts w:cs="OJGFIJ+TimesNewRomanPSMT"/>
          <w:bCs/>
          <w:sz w:val="22"/>
          <w:szCs w:val="22"/>
        </w:rPr>
        <w:t>e Book of Daniel in Its Context,</w:t>
      </w:r>
      <w:r w:rsidR="004500DB" w:rsidRPr="004500DB">
        <w:rPr>
          <w:rFonts w:cs="OJGFIJ+TimesNewRomanPSMT"/>
          <w:bCs/>
          <w:sz w:val="22"/>
          <w:szCs w:val="22"/>
        </w:rPr>
        <w:t>”</w:t>
      </w:r>
      <w:r w:rsidR="004500DB">
        <w:rPr>
          <w:rFonts w:cs="OJGFIJ+TimesNewRomanPSMT"/>
          <w:bCs/>
          <w:sz w:val="22"/>
          <w:szCs w:val="22"/>
        </w:rPr>
        <w:t xml:space="preserve"> i</w:t>
      </w:r>
      <w:r w:rsidR="004500DB" w:rsidRPr="004500DB">
        <w:rPr>
          <w:rFonts w:cs="OJGFIJ+TimesNewRomanPSMT"/>
          <w:bCs/>
          <w:sz w:val="22"/>
          <w:szCs w:val="22"/>
        </w:rPr>
        <w:t xml:space="preserve">n Collins/Flint (eds.), </w:t>
      </w:r>
      <w:r w:rsidR="004500DB" w:rsidRPr="004500DB">
        <w:rPr>
          <w:rFonts w:cs="OJGFIJ+TimesNewRomanPSMT"/>
          <w:bCs/>
          <w:i/>
          <w:sz w:val="22"/>
          <w:szCs w:val="22"/>
        </w:rPr>
        <w:t>The Book of Daniel</w:t>
      </w:r>
      <w:r w:rsidR="004500DB" w:rsidRPr="004500DB">
        <w:rPr>
          <w:rFonts w:cs="OJGFIJ+TimesNewRomanPSMT"/>
          <w:bCs/>
          <w:sz w:val="22"/>
          <w:szCs w:val="22"/>
        </w:rPr>
        <w:t xml:space="preserve"> 1:16-35.</w:t>
      </w:r>
      <w:r w:rsidR="004500DB">
        <w:rPr>
          <w:rFonts w:cs="OJGFIJ+TimesNewRomanPSMT"/>
          <w:bCs/>
          <w:sz w:val="22"/>
          <w:szCs w:val="22"/>
        </w:rPr>
        <w:t xml:space="preserve"> </w:t>
      </w:r>
      <w:r w:rsidR="001B2642" w:rsidRPr="00B740B4">
        <w:rPr>
          <w:b/>
          <w:sz w:val="22"/>
          <w:szCs w:val="22"/>
        </w:rPr>
        <w:t>Knowles, L. E.</w:t>
      </w:r>
      <w:r w:rsidR="001B2642" w:rsidRPr="00B740B4">
        <w:rPr>
          <w:sz w:val="22"/>
          <w:szCs w:val="22"/>
        </w:rPr>
        <w:t xml:space="preserve"> </w:t>
      </w:r>
      <w:r w:rsidR="00934A11" w:rsidRPr="00B740B4">
        <w:rPr>
          <w:sz w:val="22"/>
          <w:szCs w:val="22"/>
        </w:rPr>
        <w:t>“</w:t>
      </w:r>
      <w:r w:rsidR="001B2642" w:rsidRPr="00B740B4">
        <w:rPr>
          <w:sz w:val="22"/>
          <w:szCs w:val="22"/>
        </w:rPr>
        <w:t>The Interpretation of the Seventy Weeks of Daniel in the Early Fathers.</w:t>
      </w:r>
      <w:r w:rsidR="00934A11" w:rsidRPr="00B740B4">
        <w:rPr>
          <w:sz w:val="22"/>
          <w:szCs w:val="22"/>
        </w:rPr>
        <w:t>”</w:t>
      </w:r>
      <w:r w:rsidR="001B2642" w:rsidRPr="00B740B4">
        <w:rPr>
          <w:sz w:val="22"/>
          <w:szCs w:val="22"/>
        </w:rPr>
        <w:t xml:space="preserve"> </w:t>
      </w:r>
      <w:r w:rsidR="00EE0BF9" w:rsidRPr="00B740B4">
        <w:rPr>
          <w:b/>
          <w:sz w:val="22"/>
          <w:szCs w:val="22"/>
        </w:rPr>
        <w:t xml:space="preserve">Knox, Z. </w:t>
      </w:r>
      <w:r w:rsidR="00934A11" w:rsidRPr="00B740B4">
        <w:rPr>
          <w:sz w:val="22"/>
          <w:szCs w:val="22"/>
        </w:rPr>
        <w:t>“</w:t>
      </w:r>
      <w:r w:rsidR="00EE0BF9" w:rsidRPr="00B740B4">
        <w:rPr>
          <w:sz w:val="22"/>
          <w:szCs w:val="22"/>
        </w:rPr>
        <w:t>The Watch Tower Society and the End of the Cold War.</w:t>
      </w:r>
      <w:r w:rsidR="00934A11" w:rsidRPr="00B740B4">
        <w:rPr>
          <w:sz w:val="22"/>
          <w:szCs w:val="22"/>
        </w:rPr>
        <w:t>”</w:t>
      </w:r>
      <w:r w:rsidR="00EE0BF9" w:rsidRPr="00B740B4">
        <w:rPr>
          <w:sz w:val="22"/>
          <w:szCs w:val="22"/>
        </w:rPr>
        <w:t xml:space="preserve"> </w:t>
      </w:r>
      <w:r w:rsidR="001B2642" w:rsidRPr="00B740B4">
        <w:rPr>
          <w:b/>
          <w:sz w:val="22"/>
          <w:szCs w:val="22"/>
        </w:rPr>
        <w:t>Koch, K.</w:t>
      </w:r>
      <w:r w:rsidR="001B2642" w:rsidRPr="00B740B4">
        <w:rPr>
          <w:sz w:val="22"/>
          <w:szCs w:val="22"/>
        </w:rPr>
        <w:t xml:space="preserve"> </w:t>
      </w:r>
      <w:r w:rsidR="001B2642" w:rsidRPr="00B740B4">
        <w:rPr>
          <w:i/>
          <w:sz w:val="22"/>
          <w:szCs w:val="22"/>
        </w:rPr>
        <w:t>Daniel</w:t>
      </w:r>
      <w:r w:rsidR="001B2642" w:rsidRPr="00B740B4">
        <w:rPr>
          <w:sz w:val="22"/>
          <w:szCs w:val="22"/>
        </w:rPr>
        <w:t xml:space="preserve">. </w:t>
      </w:r>
      <w:r w:rsidR="007C3DA8" w:rsidRPr="00B740B4">
        <w:rPr>
          <w:sz w:val="22"/>
          <w:szCs w:val="22"/>
        </w:rPr>
        <w:t>———.</w:t>
      </w:r>
      <w:r w:rsidR="00934A11" w:rsidRPr="00B740B4">
        <w:rPr>
          <w:sz w:val="22"/>
          <w:szCs w:val="22"/>
        </w:rPr>
        <w:t>”</w:t>
      </w:r>
      <w:r w:rsidR="005C61AB" w:rsidRPr="00B740B4">
        <w:rPr>
          <w:sz w:val="22"/>
          <w:szCs w:val="22"/>
        </w:rPr>
        <w:t>Daniel in der Ik</w:t>
      </w:r>
      <w:r w:rsidR="007C3DA8" w:rsidRPr="00B740B4">
        <w:rPr>
          <w:sz w:val="22"/>
          <w:szCs w:val="22"/>
        </w:rPr>
        <w:t>onografie des Reformationszeitalters,</w:t>
      </w:r>
      <w:r w:rsidR="00934A11" w:rsidRPr="00B740B4">
        <w:rPr>
          <w:sz w:val="22"/>
          <w:szCs w:val="22"/>
        </w:rPr>
        <w:t>”</w:t>
      </w:r>
      <w:r w:rsidR="007C3DA8" w:rsidRPr="00B740B4">
        <w:rPr>
          <w:sz w:val="22"/>
          <w:szCs w:val="22"/>
        </w:rPr>
        <w:t xml:space="preserve"> in </w:t>
      </w:r>
      <w:r w:rsidR="007C3DA8" w:rsidRPr="00B740B4">
        <w:rPr>
          <w:bCs/>
          <w:sz w:val="22"/>
          <w:szCs w:val="22"/>
        </w:rPr>
        <w:t>Bracht/du Toit</w:t>
      </w:r>
      <w:r w:rsidR="007C3DA8" w:rsidRPr="00B740B4">
        <w:rPr>
          <w:bCs/>
          <w:i/>
          <w:iCs/>
          <w:sz w:val="22"/>
          <w:szCs w:val="22"/>
        </w:rPr>
        <w:t xml:space="preserve"> </w:t>
      </w:r>
      <w:r w:rsidR="007C3DA8" w:rsidRPr="00B740B4">
        <w:rPr>
          <w:bCs/>
          <w:iCs/>
          <w:sz w:val="22"/>
          <w:szCs w:val="22"/>
        </w:rPr>
        <w:t xml:space="preserve">(eds.), </w:t>
      </w:r>
      <w:r w:rsidR="007C3DA8" w:rsidRPr="00B740B4">
        <w:rPr>
          <w:bCs/>
          <w:i/>
          <w:iCs/>
          <w:sz w:val="22"/>
          <w:szCs w:val="22"/>
        </w:rPr>
        <w:t>Die Geschichte der Daniel-Auslegung</w:t>
      </w:r>
      <w:r w:rsidR="007C3DA8" w:rsidRPr="00B740B4">
        <w:rPr>
          <w:bCs/>
          <w:iCs/>
          <w:sz w:val="22"/>
          <w:szCs w:val="22"/>
        </w:rPr>
        <w:t>, 269-91.</w:t>
      </w:r>
      <w:r w:rsidR="00DB6D6B" w:rsidRPr="00B740B4">
        <w:rPr>
          <w:sz w:val="22"/>
          <w:szCs w:val="22"/>
        </w:rPr>
        <w:t xml:space="preserve"> </w:t>
      </w:r>
      <w:r w:rsidR="00DB6D6B" w:rsidRPr="00B740B4">
        <w:rPr>
          <w:bCs/>
          <w:iCs/>
          <w:sz w:val="22"/>
          <w:szCs w:val="22"/>
        </w:rPr>
        <w:t xml:space="preserve">———. </w:t>
      </w:r>
      <w:r w:rsidR="00DB6D6B" w:rsidRPr="00B740B4">
        <w:rPr>
          <w:bCs/>
          <w:i/>
          <w:iCs/>
          <w:sz w:val="22"/>
          <w:szCs w:val="22"/>
        </w:rPr>
        <w:t xml:space="preserve">Europa, Rom und der Kaiser vor dem Hintergrund von </w:t>
      </w:r>
      <w:r w:rsidR="00DB6D6B" w:rsidRPr="00B740B4">
        <w:rPr>
          <w:bCs/>
          <w:i/>
          <w:iCs/>
          <w:sz w:val="22"/>
          <w:szCs w:val="22"/>
        </w:rPr>
        <w:lastRenderedPageBreak/>
        <w:t>zwei Jahrtausenden Rezeption des Buches Daniel</w:t>
      </w:r>
      <w:r w:rsidR="00DB6D6B" w:rsidRPr="00B740B4">
        <w:rPr>
          <w:b/>
          <w:bCs/>
          <w:iCs/>
          <w:sz w:val="22"/>
          <w:szCs w:val="22"/>
        </w:rPr>
        <w:t xml:space="preserve">. </w:t>
      </w:r>
      <w:r w:rsidR="007C3DA8" w:rsidRPr="00B740B4">
        <w:rPr>
          <w:bCs/>
          <w:iCs/>
          <w:sz w:val="22"/>
          <w:szCs w:val="22"/>
        </w:rPr>
        <w:t xml:space="preserve"> </w:t>
      </w:r>
      <w:r w:rsidR="00DB6D6B" w:rsidRPr="00B740B4">
        <w:rPr>
          <w:b/>
          <w:i/>
          <w:sz w:val="22"/>
          <w:szCs w:val="22"/>
        </w:rPr>
        <w:t xml:space="preserve">———. </w:t>
      </w:r>
      <w:r w:rsidR="00934A11" w:rsidRPr="00B740B4">
        <w:rPr>
          <w:bCs/>
          <w:sz w:val="22"/>
          <w:szCs w:val="22"/>
        </w:rPr>
        <w:t>“</w:t>
      </w:r>
      <w:r w:rsidR="00DB6D6B" w:rsidRPr="00B740B4">
        <w:rPr>
          <w:bCs/>
          <w:sz w:val="22"/>
          <w:szCs w:val="22"/>
        </w:rPr>
        <w:t>Europabewusstsein und Danielrezeption zwischen 1648 und 1848,</w:t>
      </w:r>
      <w:r w:rsidR="00934A11" w:rsidRPr="00B740B4">
        <w:rPr>
          <w:bCs/>
          <w:sz w:val="22"/>
          <w:szCs w:val="22"/>
        </w:rPr>
        <w:t>”</w:t>
      </w:r>
      <w:r w:rsidR="00DB6D6B" w:rsidRPr="00B740B4">
        <w:rPr>
          <w:bCs/>
          <w:sz w:val="22"/>
          <w:szCs w:val="22"/>
        </w:rPr>
        <w:t xml:space="preserve"> in</w:t>
      </w:r>
      <w:r w:rsidR="00DB6D6B" w:rsidRPr="00B740B4">
        <w:rPr>
          <w:bCs/>
          <w:i/>
          <w:sz w:val="22"/>
          <w:szCs w:val="22"/>
        </w:rPr>
        <w:t xml:space="preserve"> </w:t>
      </w:r>
      <w:r w:rsidR="00381CF4" w:rsidRPr="00B740B4">
        <w:rPr>
          <w:bCs/>
          <w:sz w:val="22"/>
          <w:szCs w:val="22"/>
        </w:rPr>
        <w:t>Delgado/Koch/Marsch</w:t>
      </w:r>
      <w:r w:rsidR="00DB6D6B" w:rsidRPr="00B740B4">
        <w:rPr>
          <w:bCs/>
          <w:sz w:val="22"/>
          <w:szCs w:val="22"/>
        </w:rPr>
        <w:t xml:space="preserve"> (eds.),</w:t>
      </w:r>
      <w:r w:rsidR="00DB6D6B" w:rsidRPr="00B740B4">
        <w:rPr>
          <w:bCs/>
          <w:i/>
          <w:sz w:val="22"/>
          <w:szCs w:val="22"/>
        </w:rPr>
        <w:t xml:space="preserve"> Europa, Tausendjähriges Reich und Neue Welt,</w:t>
      </w:r>
      <w:r w:rsidR="00DB6D6B" w:rsidRPr="00B740B4">
        <w:rPr>
          <w:bCs/>
          <w:sz w:val="22"/>
          <w:szCs w:val="22"/>
        </w:rPr>
        <w:t xml:space="preserve"> 326-84. </w:t>
      </w:r>
      <w:r w:rsidR="00B340D4" w:rsidRPr="00B740B4">
        <w:rPr>
          <w:i/>
          <w:sz w:val="22"/>
          <w:szCs w:val="22"/>
        </w:rPr>
        <w:t>———.</w:t>
      </w:r>
      <w:r w:rsidR="00B340D4" w:rsidRPr="00B740B4">
        <w:rPr>
          <w:b/>
          <w:i/>
          <w:sz w:val="22"/>
          <w:szCs w:val="22"/>
        </w:rPr>
        <w:t xml:space="preserve"> </w:t>
      </w:r>
      <w:r w:rsidR="00934A11" w:rsidRPr="00B740B4">
        <w:rPr>
          <w:b/>
          <w:sz w:val="22"/>
          <w:szCs w:val="22"/>
        </w:rPr>
        <w:t>“</w:t>
      </w:r>
      <w:r w:rsidR="005C61AB" w:rsidRPr="00B740B4">
        <w:rPr>
          <w:sz w:val="22"/>
          <w:szCs w:val="22"/>
        </w:rPr>
        <w:t>Die Herkunft der Proto-Theodotion-Übersetzung des Danielbuches.</w:t>
      </w:r>
      <w:r w:rsidR="00934A11" w:rsidRPr="00B740B4">
        <w:rPr>
          <w:sz w:val="22"/>
          <w:szCs w:val="22"/>
        </w:rPr>
        <w:t>”</w:t>
      </w:r>
      <w:r w:rsidR="005C61AB" w:rsidRPr="00B740B4">
        <w:rPr>
          <w:sz w:val="22"/>
          <w:szCs w:val="22"/>
        </w:rPr>
        <w:t xml:space="preserve"> ———. </w:t>
      </w:r>
      <w:r w:rsidR="00934A11" w:rsidRPr="00B740B4">
        <w:rPr>
          <w:sz w:val="22"/>
          <w:szCs w:val="22"/>
        </w:rPr>
        <w:t>“</w:t>
      </w:r>
      <w:r w:rsidR="001B2642" w:rsidRPr="00B740B4">
        <w:rPr>
          <w:sz w:val="22"/>
          <w:szCs w:val="22"/>
        </w:rPr>
        <w:t>Is Daniel Also among the Prophets?</w:t>
      </w:r>
      <w:r w:rsidR="00934A11" w:rsidRPr="00B740B4">
        <w:rPr>
          <w:sz w:val="22"/>
          <w:szCs w:val="22"/>
        </w:rPr>
        <w:t>”</w:t>
      </w:r>
      <w:r w:rsidR="001B2642" w:rsidRPr="00B740B4">
        <w:rPr>
          <w:sz w:val="22"/>
          <w:szCs w:val="22"/>
        </w:rPr>
        <w:t xml:space="preserve"> ———. </w:t>
      </w:r>
      <w:r w:rsidR="00934A11" w:rsidRPr="00B740B4">
        <w:rPr>
          <w:b/>
          <w:sz w:val="22"/>
          <w:szCs w:val="22"/>
        </w:rPr>
        <w:t>“</w:t>
      </w:r>
      <w:r w:rsidR="00FC60FB" w:rsidRPr="00B740B4">
        <w:rPr>
          <w:sz w:val="22"/>
          <w:szCs w:val="22"/>
        </w:rPr>
        <w:t xml:space="preserve">Die jüdische und </w:t>
      </w:r>
      <w:r w:rsidR="00FC60FB" w:rsidRPr="00B740B4">
        <w:rPr>
          <w:iCs/>
          <w:sz w:val="22"/>
          <w:szCs w:val="22"/>
        </w:rPr>
        <w:t>christliche Kanonisierung</w:t>
      </w:r>
      <w:r w:rsidR="00FC60FB" w:rsidRPr="00B740B4">
        <w:rPr>
          <w:sz w:val="22"/>
          <w:szCs w:val="22"/>
        </w:rPr>
        <w:t xml:space="preserve"> des Danielbuchs als Rezeption unter verändertem geschichtlichen Horizont.</w:t>
      </w:r>
      <w:r w:rsidR="00934A11" w:rsidRPr="00B740B4">
        <w:rPr>
          <w:sz w:val="22"/>
          <w:szCs w:val="22"/>
        </w:rPr>
        <w:t>”</w:t>
      </w:r>
      <w:r w:rsidR="00FC60FB" w:rsidRPr="00B740B4">
        <w:rPr>
          <w:sz w:val="22"/>
          <w:szCs w:val="22"/>
        </w:rPr>
        <w:t xml:space="preserve"> ———. </w:t>
      </w:r>
      <w:r w:rsidR="00934A11" w:rsidRPr="00B740B4">
        <w:rPr>
          <w:sz w:val="22"/>
          <w:szCs w:val="22"/>
        </w:rPr>
        <w:t>“</w:t>
      </w:r>
      <w:r w:rsidR="00936749" w:rsidRPr="00B740B4">
        <w:rPr>
          <w:sz w:val="22"/>
          <w:szCs w:val="22"/>
        </w:rPr>
        <w:t>Der ‘Menschensohn’ in Daniel.</w:t>
      </w:r>
      <w:r w:rsidR="00934A11" w:rsidRPr="00B740B4">
        <w:rPr>
          <w:sz w:val="22"/>
          <w:szCs w:val="22"/>
        </w:rPr>
        <w:t>”</w:t>
      </w:r>
      <w:r w:rsidR="00936749" w:rsidRPr="00B740B4">
        <w:rPr>
          <w:sz w:val="22"/>
          <w:szCs w:val="22"/>
        </w:rPr>
        <w:t xml:space="preserve"> ———. </w:t>
      </w:r>
      <w:r w:rsidR="00934A11" w:rsidRPr="00B740B4">
        <w:rPr>
          <w:sz w:val="22"/>
          <w:szCs w:val="22"/>
        </w:rPr>
        <w:t>“</w:t>
      </w:r>
      <w:r w:rsidR="00FF6EE9" w:rsidRPr="00B740B4">
        <w:rPr>
          <w:sz w:val="22"/>
          <w:szCs w:val="22"/>
        </w:rPr>
        <w:t>Messias und Menschensohn.</w:t>
      </w:r>
      <w:r w:rsidR="00934A11" w:rsidRPr="00B740B4">
        <w:rPr>
          <w:sz w:val="22"/>
          <w:szCs w:val="22"/>
        </w:rPr>
        <w:t>”</w:t>
      </w:r>
      <w:r w:rsidR="00FF6EE9" w:rsidRPr="00B740B4">
        <w:rPr>
          <w:sz w:val="22"/>
          <w:szCs w:val="22"/>
        </w:rPr>
        <w:t xml:space="preserve"> ———. </w:t>
      </w:r>
      <w:r w:rsidR="00934A11" w:rsidRPr="00B740B4">
        <w:rPr>
          <w:sz w:val="22"/>
          <w:szCs w:val="22"/>
        </w:rPr>
        <w:t>“</w:t>
      </w:r>
      <w:r w:rsidR="001B2642" w:rsidRPr="00B740B4">
        <w:rPr>
          <w:sz w:val="22"/>
          <w:szCs w:val="22"/>
        </w:rPr>
        <w:t>Spätisraelitische Geschichtsdenken am Beispiel des Buches Daniel.</w:t>
      </w:r>
      <w:r w:rsidR="00934A11" w:rsidRPr="00B740B4">
        <w:rPr>
          <w:sz w:val="22"/>
          <w:szCs w:val="22"/>
        </w:rPr>
        <w:t>”</w:t>
      </w:r>
      <w:r w:rsidR="00DB6D6B" w:rsidRPr="00B740B4">
        <w:rPr>
          <w:sz w:val="22"/>
          <w:szCs w:val="22"/>
        </w:rPr>
        <w:t xml:space="preserve"> </w:t>
      </w:r>
      <w:r w:rsidR="00F764F6" w:rsidRPr="00B740B4">
        <w:rPr>
          <w:b/>
          <w:sz w:val="22"/>
          <w:szCs w:val="22"/>
        </w:rPr>
        <w:t xml:space="preserve">———. </w:t>
      </w:r>
      <w:r w:rsidR="00934A11" w:rsidRPr="00B740B4">
        <w:rPr>
          <w:sz w:val="22"/>
          <w:szCs w:val="22"/>
        </w:rPr>
        <w:t>“</w:t>
      </w:r>
      <w:r w:rsidR="00F764F6" w:rsidRPr="00B740B4">
        <w:rPr>
          <w:sz w:val="22"/>
          <w:szCs w:val="22"/>
        </w:rPr>
        <w:t>Spätisraelitisch-jüdische und urchristliche Danielrez</w:t>
      </w:r>
      <w:r w:rsidR="00AC674E" w:rsidRPr="00B740B4">
        <w:rPr>
          <w:sz w:val="22"/>
          <w:szCs w:val="22"/>
        </w:rPr>
        <w:t>eption</w:t>
      </w:r>
      <w:r w:rsidR="00F764F6" w:rsidRPr="00B740B4">
        <w:rPr>
          <w:sz w:val="22"/>
          <w:szCs w:val="22"/>
        </w:rPr>
        <w:t>.</w:t>
      </w:r>
      <w:r w:rsidR="00934A11" w:rsidRPr="00B740B4">
        <w:rPr>
          <w:sz w:val="22"/>
          <w:szCs w:val="22"/>
        </w:rPr>
        <w:t>”</w:t>
      </w:r>
      <w:r w:rsidR="009B5AA1" w:rsidRPr="009B5AA1">
        <w:rPr>
          <w:b/>
          <w:sz w:val="22"/>
          <w:szCs w:val="22"/>
        </w:rPr>
        <w:t xml:space="preserve"> Koch, K.</w:t>
      </w:r>
      <w:r w:rsidR="009B5AA1" w:rsidRPr="009B5AA1">
        <w:rPr>
          <w:sz w:val="22"/>
          <w:szCs w:val="22"/>
        </w:rPr>
        <w:t xml:space="preserve"> </w:t>
      </w:r>
      <w:r w:rsidR="009B5AA1">
        <w:rPr>
          <w:sz w:val="22"/>
          <w:szCs w:val="22"/>
        </w:rPr>
        <w:t xml:space="preserve"> </w:t>
      </w:r>
      <w:r w:rsidR="001B2642" w:rsidRPr="009B5AA1">
        <w:rPr>
          <w:sz w:val="22"/>
          <w:szCs w:val="22"/>
        </w:rPr>
        <w:t>and</w:t>
      </w:r>
      <w:r w:rsidR="001B2642" w:rsidRPr="00B740B4">
        <w:rPr>
          <w:b/>
          <w:sz w:val="22"/>
          <w:szCs w:val="22"/>
        </w:rPr>
        <w:t xml:space="preserve"> </w:t>
      </w:r>
      <w:r w:rsidR="008E7190" w:rsidRPr="00B740B4">
        <w:rPr>
          <w:b/>
          <w:sz w:val="22"/>
          <w:szCs w:val="22"/>
        </w:rPr>
        <w:t>Schmidt</w:t>
      </w:r>
      <w:r w:rsidR="00AC674E" w:rsidRPr="00B740B4">
        <w:rPr>
          <w:b/>
          <w:sz w:val="22"/>
          <w:szCs w:val="22"/>
        </w:rPr>
        <w:t>, J. M.</w:t>
      </w:r>
      <w:r w:rsidR="008E7190" w:rsidRPr="00B740B4">
        <w:rPr>
          <w:sz w:val="22"/>
          <w:szCs w:val="22"/>
        </w:rPr>
        <w:t xml:space="preserve"> (eds</w:t>
      </w:r>
      <w:r w:rsidR="00D95B90">
        <w:rPr>
          <w:sz w:val="22"/>
          <w:szCs w:val="22"/>
        </w:rPr>
        <w:t>.</w:t>
      </w:r>
      <w:r w:rsidR="008E7190" w:rsidRPr="00B740B4">
        <w:rPr>
          <w:sz w:val="22"/>
          <w:szCs w:val="22"/>
        </w:rPr>
        <w:t xml:space="preserve">), </w:t>
      </w:r>
      <w:r w:rsidR="008E7190" w:rsidRPr="00B740B4">
        <w:rPr>
          <w:i/>
          <w:sz w:val="22"/>
          <w:szCs w:val="22"/>
        </w:rPr>
        <w:t>Apokalyptik</w:t>
      </w:r>
      <w:r w:rsidR="009B5AA1">
        <w:rPr>
          <w:sz w:val="22"/>
          <w:szCs w:val="22"/>
        </w:rPr>
        <w:t xml:space="preserve">. </w:t>
      </w:r>
      <w:r w:rsidR="009B5AA1" w:rsidRPr="00D95B90">
        <w:rPr>
          <w:b/>
          <w:sz w:val="22"/>
          <w:szCs w:val="22"/>
        </w:rPr>
        <w:t>Koch, K.</w:t>
      </w:r>
      <w:r w:rsidR="009B5AA1" w:rsidRPr="009B5AA1">
        <w:rPr>
          <w:sz w:val="22"/>
          <w:szCs w:val="22"/>
        </w:rPr>
        <w:t xml:space="preserve"> </w:t>
      </w:r>
      <w:r w:rsidR="008E7190" w:rsidRPr="00B740B4">
        <w:rPr>
          <w:sz w:val="22"/>
          <w:szCs w:val="22"/>
        </w:rPr>
        <w:t xml:space="preserve"> et al. (</w:t>
      </w:r>
      <w:r w:rsidR="001B2642" w:rsidRPr="00B740B4">
        <w:rPr>
          <w:sz w:val="22"/>
          <w:szCs w:val="22"/>
        </w:rPr>
        <w:t>ed</w:t>
      </w:r>
      <w:r w:rsidR="008E7190" w:rsidRPr="00B740B4">
        <w:rPr>
          <w:sz w:val="22"/>
          <w:szCs w:val="22"/>
        </w:rPr>
        <w:t>s</w:t>
      </w:r>
      <w:r w:rsidR="001B2642" w:rsidRPr="00B740B4">
        <w:rPr>
          <w:sz w:val="22"/>
          <w:szCs w:val="22"/>
        </w:rPr>
        <w:t>.</w:t>
      </w:r>
      <w:r w:rsidR="008E7190" w:rsidRPr="00B740B4">
        <w:rPr>
          <w:sz w:val="22"/>
          <w:szCs w:val="22"/>
        </w:rPr>
        <w:t>),</w:t>
      </w:r>
      <w:r w:rsidR="001B2642" w:rsidRPr="00B740B4">
        <w:rPr>
          <w:sz w:val="22"/>
          <w:szCs w:val="22"/>
        </w:rPr>
        <w:t xml:space="preserve"> </w:t>
      </w:r>
      <w:r w:rsidR="001B2642" w:rsidRPr="00B740B4">
        <w:rPr>
          <w:i/>
          <w:sz w:val="22"/>
          <w:szCs w:val="22"/>
        </w:rPr>
        <w:t>Das Buch Daniel</w:t>
      </w:r>
      <w:r w:rsidR="001B2642" w:rsidRPr="00B740B4">
        <w:rPr>
          <w:sz w:val="22"/>
          <w:szCs w:val="22"/>
        </w:rPr>
        <w:t>.</w:t>
      </w:r>
      <w:r w:rsidR="008E7190" w:rsidRPr="00B740B4">
        <w:rPr>
          <w:sz w:val="22"/>
          <w:szCs w:val="22"/>
        </w:rPr>
        <w:t xml:space="preserve"> </w:t>
      </w:r>
      <w:r w:rsidR="006C4BF4" w:rsidRPr="00B740B4">
        <w:rPr>
          <w:b/>
          <w:sz w:val="22"/>
          <w:szCs w:val="22"/>
        </w:rPr>
        <w:t xml:space="preserve"> </w:t>
      </w:r>
      <w:r w:rsidR="009B5AA1" w:rsidRPr="00B740B4">
        <w:rPr>
          <w:b/>
          <w:sz w:val="22"/>
          <w:szCs w:val="22"/>
        </w:rPr>
        <w:t>Köbert, R.</w:t>
      </w:r>
      <w:r w:rsidR="009B5AA1" w:rsidRPr="00B740B4">
        <w:rPr>
          <w:sz w:val="22"/>
          <w:szCs w:val="22"/>
        </w:rPr>
        <w:t xml:space="preserve"> “Zur Daniel-Abhandlung des Simeon von Edessa.” </w:t>
      </w:r>
      <w:r w:rsidR="00EF581E" w:rsidRPr="00B740B4">
        <w:rPr>
          <w:b/>
          <w:bCs/>
          <w:iCs/>
          <w:sz w:val="22"/>
          <w:szCs w:val="22"/>
        </w:rPr>
        <w:t>Kraft, R. A.</w:t>
      </w:r>
      <w:r w:rsidR="00EF581E" w:rsidRPr="00B740B4">
        <w:rPr>
          <w:bCs/>
          <w:iCs/>
          <w:sz w:val="22"/>
          <w:szCs w:val="22"/>
        </w:rPr>
        <w:t xml:space="preserve"> </w:t>
      </w:r>
      <w:r w:rsidR="00934A11" w:rsidRPr="00B740B4">
        <w:rPr>
          <w:bCs/>
          <w:iCs/>
          <w:sz w:val="22"/>
          <w:szCs w:val="22"/>
        </w:rPr>
        <w:t>“</w:t>
      </w:r>
      <w:r w:rsidR="00EF581E" w:rsidRPr="00B740B4">
        <w:rPr>
          <w:bCs/>
          <w:iCs/>
          <w:sz w:val="22"/>
          <w:szCs w:val="22"/>
        </w:rPr>
        <w:t>Daniel outside the Traditional Jewish Canon</w:t>
      </w:r>
      <w:r w:rsidR="008C0493" w:rsidRPr="00B740B4">
        <w:rPr>
          <w:bCs/>
          <w:iCs/>
          <w:sz w:val="22"/>
          <w:szCs w:val="22"/>
        </w:rPr>
        <w:t>,</w:t>
      </w:r>
      <w:r w:rsidR="00934A11" w:rsidRPr="00B740B4">
        <w:rPr>
          <w:bCs/>
          <w:iCs/>
          <w:sz w:val="22"/>
          <w:szCs w:val="22"/>
        </w:rPr>
        <w:t>”</w:t>
      </w:r>
      <w:r w:rsidR="008C0493" w:rsidRPr="00B740B4">
        <w:rPr>
          <w:bCs/>
          <w:iCs/>
          <w:sz w:val="22"/>
          <w:szCs w:val="22"/>
        </w:rPr>
        <w:t xml:space="preserve"> in</w:t>
      </w:r>
      <w:r w:rsidR="00EF581E" w:rsidRPr="00B740B4">
        <w:rPr>
          <w:bCs/>
          <w:iCs/>
          <w:sz w:val="22"/>
          <w:szCs w:val="22"/>
        </w:rPr>
        <w:t xml:space="preserve"> Flint </w:t>
      </w:r>
      <w:r w:rsidR="00475A8C" w:rsidRPr="00B740B4">
        <w:rPr>
          <w:bCs/>
          <w:iCs/>
          <w:sz w:val="22"/>
          <w:szCs w:val="22"/>
        </w:rPr>
        <w:t>et al.</w:t>
      </w:r>
      <w:r w:rsidR="00EF581E" w:rsidRPr="00B740B4">
        <w:rPr>
          <w:bCs/>
          <w:iCs/>
          <w:sz w:val="22"/>
          <w:szCs w:val="22"/>
        </w:rPr>
        <w:t xml:space="preserve"> (eds.), </w:t>
      </w:r>
      <w:r w:rsidR="00EF581E" w:rsidRPr="00B740B4">
        <w:rPr>
          <w:bCs/>
          <w:i/>
          <w:iCs/>
          <w:sz w:val="22"/>
          <w:szCs w:val="22"/>
        </w:rPr>
        <w:t>Studies in the Heb</w:t>
      </w:r>
      <w:r w:rsidR="00E61955" w:rsidRPr="00B740B4">
        <w:rPr>
          <w:bCs/>
          <w:i/>
          <w:iCs/>
          <w:sz w:val="22"/>
          <w:szCs w:val="22"/>
        </w:rPr>
        <w:t>r</w:t>
      </w:r>
      <w:r w:rsidR="00EF581E" w:rsidRPr="00B740B4">
        <w:rPr>
          <w:bCs/>
          <w:i/>
          <w:iCs/>
          <w:sz w:val="22"/>
          <w:szCs w:val="22"/>
        </w:rPr>
        <w:t>ew Bible</w:t>
      </w:r>
      <w:r w:rsidR="00EF581E" w:rsidRPr="00B740B4">
        <w:rPr>
          <w:bCs/>
          <w:iCs/>
          <w:sz w:val="22"/>
          <w:szCs w:val="22"/>
        </w:rPr>
        <w:t>, 121-33.</w:t>
      </w:r>
      <w:r w:rsidR="007A0D30" w:rsidRPr="00B740B4">
        <w:rPr>
          <w:bCs/>
          <w:iCs/>
          <w:sz w:val="22"/>
          <w:szCs w:val="22"/>
        </w:rPr>
        <w:t xml:space="preserve"> </w:t>
      </w:r>
      <w:r w:rsidR="007A0D30" w:rsidRPr="00B740B4">
        <w:rPr>
          <w:b/>
          <w:bCs/>
          <w:iCs/>
          <w:sz w:val="22"/>
          <w:szCs w:val="22"/>
        </w:rPr>
        <w:t>Krey, P. D. W.</w:t>
      </w:r>
      <w:r w:rsidR="007A0D30" w:rsidRPr="00B740B4">
        <w:rPr>
          <w:bCs/>
          <w:iCs/>
          <w:sz w:val="22"/>
          <w:szCs w:val="22"/>
        </w:rPr>
        <w:t xml:space="preserve"> </w:t>
      </w:r>
      <w:r w:rsidR="00934A11" w:rsidRPr="00B740B4">
        <w:rPr>
          <w:bCs/>
          <w:iCs/>
          <w:sz w:val="22"/>
          <w:szCs w:val="22"/>
        </w:rPr>
        <w:t>“</w:t>
      </w:r>
      <w:r w:rsidR="007A0D30" w:rsidRPr="00B740B4">
        <w:rPr>
          <w:bCs/>
          <w:iCs/>
          <w:sz w:val="22"/>
          <w:szCs w:val="22"/>
        </w:rPr>
        <w:t>Nicholas of Lyra’s Commentary on Dan</w:t>
      </w:r>
      <w:r w:rsidR="009B5AA1">
        <w:rPr>
          <w:bCs/>
          <w:iCs/>
          <w:sz w:val="22"/>
          <w:szCs w:val="22"/>
        </w:rPr>
        <w:t>iel</w:t>
      </w:r>
      <w:r w:rsidR="007A0D30" w:rsidRPr="00B740B4">
        <w:rPr>
          <w:bCs/>
          <w:iCs/>
          <w:sz w:val="22"/>
          <w:szCs w:val="22"/>
        </w:rPr>
        <w:t>,</w:t>
      </w:r>
      <w:r w:rsidR="00934A11" w:rsidRPr="00B740B4">
        <w:rPr>
          <w:bCs/>
          <w:iCs/>
          <w:sz w:val="22"/>
          <w:szCs w:val="22"/>
        </w:rPr>
        <w:t>”</w:t>
      </w:r>
      <w:r w:rsidR="00C622E2" w:rsidRPr="00B740B4">
        <w:rPr>
          <w:bCs/>
          <w:iCs/>
          <w:sz w:val="22"/>
          <w:szCs w:val="22"/>
        </w:rPr>
        <w:t xml:space="preserve"> in </w:t>
      </w:r>
      <w:r w:rsidR="007A0D30" w:rsidRPr="00B740B4">
        <w:rPr>
          <w:bCs/>
          <w:iCs/>
          <w:sz w:val="22"/>
          <w:szCs w:val="22"/>
        </w:rPr>
        <w:t>Bracht/du Toit</w:t>
      </w:r>
      <w:r w:rsidR="007A0D30" w:rsidRPr="00B740B4">
        <w:rPr>
          <w:bCs/>
          <w:i/>
          <w:iCs/>
          <w:sz w:val="22"/>
          <w:szCs w:val="22"/>
        </w:rPr>
        <w:t xml:space="preserve"> </w:t>
      </w:r>
      <w:r w:rsidR="007A0D30" w:rsidRPr="00B740B4">
        <w:rPr>
          <w:bCs/>
          <w:iCs/>
          <w:sz w:val="22"/>
          <w:szCs w:val="22"/>
        </w:rPr>
        <w:t xml:space="preserve">(eds.), </w:t>
      </w:r>
      <w:r w:rsidR="007A0D30" w:rsidRPr="00B740B4">
        <w:rPr>
          <w:bCs/>
          <w:i/>
          <w:iCs/>
          <w:sz w:val="22"/>
          <w:szCs w:val="22"/>
        </w:rPr>
        <w:t>Die Ge</w:t>
      </w:r>
      <w:r w:rsidR="008C0493" w:rsidRPr="00B740B4">
        <w:rPr>
          <w:bCs/>
          <w:i/>
          <w:iCs/>
          <w:sz w:val="22"/>
          <w:szCs w:val="22"/>
        </w:rPr>
        <w:t>schichte der Daniel-Auslegung</w:t>
      </w:r>
      <w:r w:rsidR="007A0D30" w:rsidRPr="00B740B4">
        <w:rPr>
          <w:bCs/>
          <w:iCs/>
          <w:sz w:val="22"/>
          <w:szCs w:val="22"/>
        </w:rPr>
        <w:t>,</w:t>
      </w:r>
      <w:r w:rsidR="00EF581E" w:rsidRPr="00B740B4">
        <w:rPr>
          <w:bCs/>
          <w:iCs/>
          <w:sz w:val="22"/>
          <w:szCs w:val="22"/>
        </w:rPr>
        <w:t xml:space="preserve"> </w:t>
      </w:r>
      <w:r w:rsidR="007A0D30" w:rsidRPr="00B740B4">
        <w:rPr>
          <w:sz w:val="22"/>
          <w:szCs w:val="22"/>
        </w:rPr>
        <w:t>199-215.</w:t>
      </w:r>
      <w:r w:rsidR="007A0D30" w:rsidRPr="00B740B4">
        <w:rPr>
          <w:b/>
          <w:sz w:val="22"/>
          <w:szCs w:val="22"/>
        </w:rPr>
        <w:t xml:space="preserve"> </w:t>
      </w:r>
      <w:r w:rsidR="00930E4F" w:rsidRPr="00B740B4">
        <w:rPr>
          <w:b/>
          <w:sz w:val="22"/>
          <w:szCs w:val="22"/>
        </w:rPr>
        <w:t xml:space="preserve">Kritzinger, J. P. K. </w:t>
      </w:r>
      <w:r w:rsidR="00934A11" w:rsidRPr="00B740B4">
        <w:rPr>
          <w:sz w:val="22"/>
          <w:szCs w:val="22"/>
        </w:rPr>
        <w:t>“</w:t>
      </w:r>
      <w:r w:rsidR="00930E4F" w:rsidRPr="00B740B4">
        <w:rPr>
          <w:sz w:val="22"/>
          <w:szCs w:val="22"/>
        </w:rPr>
        <w:t>St Jerome’s Commentary on Daniel 3.</w:t>
      </w:r>
      <w:r w:rsidR="00934A11" w:rsidRPr="00B740B4">
        <w:rPr>
          <w:sz w:val="22"/>
          <w:szCs w:val="22"/>
        </w:rPr>
        <w:t>”</w:t>
      </w:r>
      <w:r w:rsidR="00930E4F" w:rsidRPr="00B740B4">
        <w:rPr>
          <w:sz w:val="22"/>
          <w:szCs w:val="22"/>
        </w:rPr>
        <w:t xml:space="preserve"> </w:t>
      </w:r>
      <w:r w:rsidR="003812B6" w:rsidRPr="00B740B4">
        <w:rPr>
          <w:b/>
          <w:sz w:val="22"/>
          <w:szCs w:val="22"/>
        </w:rPr>
        <w:t>Krüger, T</w:t>
      </w:r>
      <w:r w:rsidR="003812B6" w:rsidRPr="00B740B4">
        <w:rPr>
          <w:sz w:val="22"/>
          <w:szCs w:val="22"/>
        </w:rPr>
        <w:t xml:space="preserve">. </w:t>
      </w:r>
      <w:r w:rsidR="00934A11" w:rsidRPr="00B740B4">
        <w:rPr>
          <w:sz w:val="22"/>
          <w:szCs w:val="22"/>
        </w:rPr>
        <w:t>“</w:t>
      </w:r>
      <w:r w:rsidR="003812B6" w:rsidRPr="00B740B4">
        <w:rPr>
          <w:rFonts w:eastAsiaTheme="minorHAnsi" w:cs="StempelGaramond-Bold"/>
          <w:bCs/>
          <w:sz w:val="22"/>
          <w:szCs w:val="22"/>
        </w:rPr>
        <w:t xml:space="preserve">Heinrich Bullinger </w:t>
      </w:r>
      <w:r w:rsidR="00DC2AC1" w:rsidRPr="00B740B4">
        <w:rPr>
          <w:rFonts w:eastAsiaTheme="minorHAnsi" w:cs="StempelGaramond-Bold"/>
          <w:bCs/>
          <w:sz w:val="22"/>
          <w:szCs w:val="22"/>
        </w:rPr>
        <w:t>als Ausleger des AT</w:t>
      </w:r>
      <w:r w:rsidR="003812B6" w:rsidRPr="00B740B4">
        <w:rPr>
          <w:rFonts w:eastAsiaTheme="minorHAnsi" w:cs="StempelGaramond-Bold"/>
          <w:bCs/>
          <w:sz w:val="22"/>
          <w:szCs w:val="22"/>
        </w:rPr>
        <w:t>s am Beispiel seiner Predigten Daniel 1 und 2.</w:t>
      </w:r>
      <w:r w:rsidR="00934A11" w:rsidRPr="00B740B4">
        <w:rPr>
          <w:sz w:val="22"/>
          <w:szCs w:val="22"/>
        </w:rPr>
        <w:t>”</w:t>
      </w:r>
      <w:r w:rsidR="003812B6" w:rsidRPr="00B740B4">
        <w:rPr>
          <w:sz w:val="22"/>
          <w:szCs w:val="22"/>
        </w:rPr>
        <w:t xml:space="preserve"> </w:t>
      </w:r>
      <w:r w:rsidR="007B2D4A" w:rsidRPr="00B740B4">
        <w:rPr>
          <w:b/>
          <w:sz w:val="22"/>
          <w:szCs w:val="22"/>
        </w:rPr>
        <w:t xml:space="preserve">Kuhn, K. A. </w:t>
      </w:r>
      <w:r w:rsidR="00934A11" w:rsidRPr="00B740B4">
        <w:rPr>
          <w:sz w:val="22"/>
          <w:szCs w:val="22"/>
        </w:rPr>
        <w:t>“</w:t>
      </w:r>
      <w:r w:rsidR="00AC674E" w:rsidRPr="00B740B4">
        <w:rPr>
          <w:sz w:val="22"/>
          <w:szCs w:val="22"/>
        </w:rPr>
        <w:t>The ‘One l</w:t>
      </w:r>
      <w:r w:rsidR="007B2D4A" w:rsidRPr="00B740B4">
        <w:rPr>
          <w:sz w:val="22"/>
          <w:szCs w:val="22"/>
        </w:rPr>
        <w:t>ike a Son of Man’ Becomes the ‘Son of God.’</w:t>
      </w:r>
      <w:r w:rsidR="00934A11" w:rsidRPr="00B740B4">
        <w:rPr>
          <w:sz w:val="22"/>
          <w:szCs w:val="22"/>
        </w:rPr>
        <w:t>”</w:t>
      </w:r>
      <w:r w:rsidR="007B2D4A" w:rsidRPr="00B740B4">
        <w:rPr>
          <w:sz w:val="22"/>
          <w:szCs w:val="22"/>
        </w:rPr>
        <w:t xml:space="preserve"> </w:t>
      </w:r>
      <w:r w:rsidR="00CF557A" w:rsidRPr="009B5AA1">
        <w:rPr>
          <w:rFonts w:eastAsiaTheme="minorHAnsi" w:cs="Times New Roman"/>
          <w:b/>
          <w:sz w:val="22"/>
          <w:szCs w:val="22"/>
        </w:rPr>
        <w:t>Kvanvig, H. S.</w:t>
      </w:r>
      <w:r w:rsidR="00CF557A" w:rsidRPr="009B5AA1">
        <w:rPr>
          <w:rFonts w:eastAsiaTheme="minorHAnsi" w:cs="Times New Roman"/>
          <w:sz w:val="22"/>
          <w:szCs w:val="22"/>
        </w:rPr>
        <w:t xml:space="preserve"> </w:t>
      </w:r>
      <w:r w:rsidR="00CA1834">
        <w:rPr>
          <w:sz w:val="22"/>
          <w:szCs w:val="22"/>
        </w:rPr>
        <w:t xml:space="preserve">“Throne Visions and Monsters: </w:t>
      </w:r>
      <w:r w:rsidR="00CF557A" w:rsidRPr="009B5AA1">
        <w:rPr>
          <w:sz w:val="22"/>
          <w:szCs w:val="22"/>
        </w:rPr>
        <w:t>The Encounter between Danielic and Enochic Traditions.”</w:t>
      </w:r>
      <w:r w:rsidR="00CF557A">
        <w:rPr>
          <w:szCs w:val="22"/>
        </w:rPr>
        <w:t xml:space="preserve"> </w:t>
      </w:r>
      <w:r w:rsidR="001B2642" w:rsidRPr="00B740B4">
        <w:rPr>
          <w:b/>
          <w:sz w:val="22"/>
          <w:szCs w:val="22"/>
        </w:rPr>
        <w:t>Lacocque, A.</w:t>
      </w:r>
      <w:r w:rsidR="001B2642" w:rsidRPr="00B740B4">
        <w:rPr>
          <w:sz w:val="22"/>
          <w:szCs w:val="22"/>
        </w:rPr>
        <w:t xml:space="preserve"> </w:t>
      </w:r>
      <w:r w:rsidR="00934A11" w:rsidRPr="00B740B4">
        <w:rPr>
          <w:sz w:val="22"/>
          <w:szCs w:val="22"/>
        </w:rPr>
        <w:t>“</w:t>
      </w:r>
      <w:r w:rsidR="001B2642" w:rsidRPr="00B740B4">
        <w:rPr>
          <w:sz w:val="22"/>
          <w:szCs w:val="22"/>
        </w:rPr>
        <w:t>The Vision of the Eagle in 4 Esdras, a Rereading of D</w:t>
      </w:r>
      <w:r w:rsidR="00AC674E" w:rsidRPr="00B740B4">
        <w:rPr>
          <w:sz w:val="22"/>
          <w:szCs w:val="22"/>
        </w:rPr>
        <w:t>aniel 7 in the First Century C.E</w:t>
      </w:r>
      <w:r w:rsidR="001B2642" w:rsidRPr="00B740B4">
        <w:rPr>
          <w:sz w:val="22"/>
          <w:szCs w:val="22"/>
        </w:rPr>
        <w:t>.</w:t>
      </w:r>
      <w:r w:rsidR="00934A11" w:rsidRPr="00B740B4">
        <w:rPr>
          <w:sz w:val="22"/>
          <w:szCs w:val="22"/>
        </w:rPr>
        <w:t>”</w:t>
      </w:r>
      <w:r w:rsidR="001B2642" w:rsidRPr="00B740B4">
        <w:rPr>
          <w:sz w:val="22"/>
          <w:szCs w:val="22"/>
        </w:rPr>
        <w:t xml:space="preserve"> </w:t>
      </w:r>
      <w:r w:rsidR="001B2642" w:rsidRPr="00B740B4">
        <w:rPr>
          <w:b/>
          <w:sz w:val="22"/>
          <w:szCs w:val="22"/>
        </w:rPr>
        <w:t>Lamy, T.-J.</w:t>
      </w:r>
      <w:r w:rsidR="001B2642" w:rsidRPr="00B740B4">
        <w:rPr>
          <w:sz w:val="22"/>
          <w:szCs w:val="22"/>
        </w:rPr>
        <w:t xml:space="preserve"> </w:t>
      </w:r>
      <w:r w:rsidR="00934A11" w:rsidRPr="00B740B4">
        <w:rPr>
          <w:sz w:val="22"/>
          <w:szCs w:val="22"/>
        </w:rPr>
        <w:t>“</w:t>
      </w:r>
      <w:r w:rsidR="001B2642" w:rsidRPr="00B740B4">
        <w:rPr>
          <w:sz w:val="22"/>
          <w:szCs w:val="22"/>
        </w:rPr>
        <w:t xml:space="preserve">L’exégèse en orient au </w:t>
      </w:r>
      <w:r w:rsidR="001B2642" w:rsidRPr="00B740B4">
        <w:rPr>
          <w:i/>
          <w:sz w:val="22"/>
          <w:szCs w:val="22"/>
        </w:rPr>
        <w:t>iv</w:t>
      </w:r>
      <w:r w:rsidR="001B2642" w:rsidRPr="00B740B4">
        <w:rPr>
          <w:i/>
          <w:sz w:val="22"/>
          <w:szCs w:val="22"/>
          <w:vertAlign w:val="superscript"/>
        </w:rPr>
        <w:t>e</w:t>
      </w:r>
      <w:r w:rsidR="001B2642" w:rsidRPr="00B740B4">
        <w:rPr>
          <w:sz w:val="22"/>
          <w:szCs w:val="22"/>
        </w:rPr>
        <w:t xml:space="preserve"> </w:t>
      </w:r>
      <w:r w:rsidR="001B2642" w:rsidRPr="00B740B4">
        <w:rPr>
          <w:i/>
          <w:sz w:val="22"/>
          <w:szCs w:val="22"/>
        </w:rPr>
        <w:t>siècle</w:t>
      </w:r>
      <w:r w:rsidR="001B2642" w:rsidRPr="00B740B4">
        <w:rPr>
          <w:sz w:val="22"/>
          <w:szCs w:val="22"/>
        </w:rPr>
        <w:t>.</w:t>
      </w:r>
      <w:r w:rsidR="00934A11" w:rsidRPr="00B740B4">
        <w:rPr>
          <w:sz w:val="22"/>
          <w:szCs w:val="22"/>
        </w:rPr>
        <w:t>”</w:t>
      </w:r>
      <w:r w:rsidR="001B2642" w:rsidRPr="00B740B4">
        <w:rPr>
          <w:sz w:val="22"/>
          <w:szCs w:val="22"/>
        </w:rPr>
        <w:t xml:space="preserve"> </w:t>
      </w:r>
      <w:r w:rsidR="00516329" w:rsidRPr="00B740B4">
        <w:rPr>
          <w:b/>
          <w:sz w:val="22"/>
          <w:szCs w:val="22"/>
        </w:rPr>
        <w:t xml:space="preserve">Larriba, T. </w:t>
      </w:r>
      <w:r w:rsidR="00934A11" w:rsidRPr="00B740B4">
        <w:rPr>
          <w:b/>
          <w:sz w:val="22"/>
          <w:szCs w:val="22"/>
        </w:rPr>
        <w:t>“</w:t>
      </w:r>
      <w:r w:rsidR="00516329" w:rsidRPr="00B740B4">
        <w:rPr>
          <w:iCs/>
          <w:sz w:val="22"/>
          <w:szCs w:val="22"/>
        </w:rPr>
        <w:t>Comentario de San Jerónimo al libro de Daniel</w:t>
      </w:r>
      <w:r w:rsidR="00516329" w:rsidRPr="00B740B4">
        <w:rPr>
          <w:sz w:val="22"/>
          <w:szCs w:val="22"/>
        </w:rPr>
        <w:t>.</w:t>
      </w:r>
      <w:r w:rsidR="00934A11" w:rsidRPr="00B740B4">
        <w:rPr>
          <w:sz w:val="22"/>
          <w:szCs w:val="22"/>
        </w:rPr>
        <w:t>”</w:t>
      </w:r>
      <w:r w:rsidR="00516329" w:rsidRPr="00B740B4">
        <w:rPr>
          <w:sz w:val="22"/>
          <w:szCs w:val="22"/>
        </w:rPr>
        <w:t xml:space="preserve"> </w:t>
      </w:r>
      <w:r w:rsidR="001B2642" w:rsidRPr="00B740B4">
        <w:rPr>
          <w:b/>
          <w:sz w:val="22"/>
          <w:szCs w:val="22"/>
        </w:rPr>
        <w:t>Laurentin, R.</w:t>
      </w:r>
      <w:r w:rsidR="001B2642" w:rsidRPr="00B740B4">
        <w:rPr>
          <w:sz w:val="22"/>
          <w:szCs w:val="22"/>
        </w:rPr>
        <w:t xml:space="preserve"> </w:t>
      </w:r>
      <w:r w:rsidR="001B2642" w:rsidRPr="00B740B4">
        <w:rPr>
          <w:i/>
          <w:sz w:val="22"/>
          <w:szCs w:val="22"/>
        </w:rPr>
        <w:t>Structure et théologie de Luc i–ii</w:t>
      </w:r>
      <w:r w:rsidR="001B2642" w:rsidRPr="00B740B4">
        <w:rPr>
          <w:sz w:val="22"/>
          <w:szCs w:val="22"/>
        </w:rPr>
        <w:t xml:space="preserve">, 45–63. </w:t>
      </w:r>
      <w:r w:rsidR="00CE3D1E" w:rsidRPr="00B740B4">
        <w:rPr>
          <w:b/>
          <w:sz w:val="22"/>
          <w:szCs w:val="22"/>
        </w:rPr>
        <w:t xml:space="preserve">Lawee, E. </w:t>
      </w:r>
      <w:r w:rsidR="00934A11" w:rsidRPr="00B740B4">
        <w:rPr>
          <w:sz w:val="22"/>
          <w:szCs w:val="22"/>
        </w:rPr>
        <w:t>“</w:t>
      </w:r>
      <w:r w:rsidR="00CE3D1E" w:rsidRPr="00B740B4">
        <w:rPr>
          <w:sz w:val="22"/>
          <w:szCs w:val="22"/>
        </w:rPr>
        <w:t>On the Threshold of the Ren</w:t>
      </w:r>
      <w:r w:rsidR="00C86407" w:rsidRPr="00B740B4">
        <w:rPr>
          <w:sz w:val="22"/>
          <w:szCs w:val="22"/>
        </w:rPr>
        <w:t>aissance: New Methods and Sensi</w:t>
      </w:r>
      <w:r w:rsidR="00CE3D1E" w:rsidRPr="00B740B4">
        <w:rPr>
          <w:sz w:val="22"/>
          <w:szCs w:val="22"/>
        </w:rPr>
        <w:t>bil</w:t>
      </w:r>
      <w:r w:rsidR="00C86407" w:rsidRPr="00B740B4">
        <w:rPr>
          <w:sz w:val="22"/>
          <w:szCs w:val="22"/>
        </w:rPr>
        <w:t>i</w:t>
      </w:r>
      <w:r w:rsidR="00CE3D1E" w:rsidRPr="00B740B4">
        <w:rPr>
          <w:sz w:val="22"/>
          <w:szCs w:val="22"/>
        </w:rPr>
        <w:t>ties in the Bibical Commentaries of Isaac Abarbanel.</w:t>
      </w:r>
      <w:r w:rsidR="00934A11" w:rsidRPr="00B740B4">
        <w:rPr>
          <w:sz w:val="22"/>
          <w:szCs w:val="22"/>
        </w:rPr>
        <w:t>”</w:t>
      </w:r>
      <w:r w:rsidR="00AF3FC9">
        <w:rPr>
          <w:sz w:val="22"/>
          <w:szCs w:val="22"/>
        </w:rPr>
        <w:t xml:space="preserve"> </w:t>
      </w:r>
      <w:r w:rsidR="00AF3FC9" w:rsidRPr="00AF3FC9">
        <w:rPr>
          <w:rFonts w:eastAsia="Times-Roman" w:cs="Times-Roman"/>
          <w:b/>
          <w:sz w:val="22"/>
          <w:szCs w:val="22"/>
        </w:rPr>
        <w:t xml:space="preserve">Leatherman, D. W. </w:t>
      </w:r>
      <w:r w:rsidR="00AF3FC9" w:rsidRPr="00AF3FC9">
        <w:rPr>
          <w:rFonts w:eastAsia="Times-Roman" w:cs="Times-Roman"/>
          <w:sz w:val="22"/>
          <w:szCs w:val="22"/>
        </w:rPr>
        <w:t xml:space="preserve">“Adventist Interpretation of Daniel 10—12.” </w:t>
      </w:r>
      <w:r w:rsidR="001B2642" w:rsidRPr="00AF3FC9">
        <w:rPr>
          <w:b/>
          <w:sz w:val="22"/>
          <w:szCs w:val="22"/>
        </w:rPr>
        <w:t>Lebram</w:t>
      </w:r>
      <w:r w:rsidR="001B2642" w:rsidRPr="00B740B4">
        <w:rPr>
          <w:b/>
          <w:sz w:val="22"/>
          <w:szCs w:val="22"/>
        </w:rPr>
        <w:t>, J. C. H.</w:t>
      </w:r>
      <w:r w:rsidR="001B2642" w:rsidRPr="00B740B4">
        <w:rPr>
          <w:sz w:val="22"/>
          <w:szCs w:val="22"/>
        </w:rPr>
        <w:t xml:space="preserve"> </w:t>
      </w:r>
      <w:r w:rsidR="00934A11" w:rsidRPr="00B740B4">
        <w:rPr>
          <w:sz w:val="22"/>
          <w:szCs w:val="22"/>
        </w:rPr>
        <w:t>“</w:t>
      </w:r>
      <w:r w:rsidR="001B2642" w:rsidRPr="00B740B4">
        <w:rPr>
          <w:sz w:val="22"/>
          <w:szCs w:val="22"/>
        </w:rPr>
        <w:t xml:space="preserve">Perspektiven der </w:t>
      </w:r>
      <w:r w:rsidR="00263B82" w:rsidRPr="00B740B4">
        <w:rPr>
          <w:sz w:val="22"/>
          <w:szCs w:val="22"/>
        </w:rPr>
        <w:t>gegenwärtigen Danielforschung.</w:t>
      </w:r>
      <w:r w:rsidR="00934A11" w:rsidRPr="00B740B4">
        <w:rPr>
          <w:sz w:val="22"/>
          <w:szCs w:val="22"/>
        </w:rPr>
        <w:t>”</w:t>
      </w:r>
      <w:r w:rsidR="001B2642" w:rsidRPr="00B740B4">
        <w:rPr>
          <w:sz w:val="22"/>
          <w:szCs w:val="22"/>
        </w:rPr>
        <w:t xml:space="preserve"> </w:t>
      </w:r>
      <w:r w:rsidR="00A64BAA" w:rsidRPr="009B5AA1">
        <w:rPr>
          <w:b/>
          <w:sz w:val="22"/>
          <w:szCs w:val="22"/>
        </w:rPr>
        <w:t>Lester, G. B.</w:t>
      </w:r>
      <w:r w:rsidR="00A64BAA" w:rsidRPr="009B5AA1">
        <w:rPr>
          <w:sz w:val="22"/>
          <w:szCs w:val="22"/>
        </w:rPr>
        <w:t xml:space="preserve"> </w:t>
      </w:r>
      <w:r w:rsidR="00A64BAA" w:rsidRPr="009B5AA1">
        <w:rPr>
          <w:i/>
          <w:sz w:val="22"/>
          <w:szCs w:val="22"/>
        </w:rPr>
        <w:t>Daniel Evokes Isaiah</w:t>
      </w:r>
      <w:r w:rsidR="00A64BAA" w:rsidRPr="009B5AA1">
        <w:rPr>
          <w:sz w:val="22"/>
          <w:szCs w:val="22"/>
        </w:rPr>
        <w:t>.</w:t>
      </w:r>
      <w:r w:rsidR="00A64BAA">
        <w:rPr>
          <w:szCs w:val="22"/>
        </w:rPr>
        <w:t xml:space="preserve"> </w:t>
      </w:r>
      <w:r w:rsidR="001B2642" w:rsidRPr="00B740B4">
        <w:rPr>
          <w:b/>
          <w:sz w:val="22"/>
          <w:szCs w:val="22"/>
        </w:rPr>
        <w:t>Liptzin, S.</w:t>
      </w:r>
      <w:r w:rsidR="001B2642" w:rsidRPr="00B740B4">
        <w:rPr>
          <w:sz w:val="22"/>
          <w:szCs w:val="22"/>
        </w:rPr>
        <w:t xml:space="preserve"> </w:t>
      </w:r>
      <w:r w:rsidR="00934A11" w:rsidRPr="00B740B4">
        <w:rPr>
          <w:sz w:val="22"/>
          <w:szCs w:val="22"/>
        </w:rPr>
        <w:t>“</w:t>
      </w:r>
      <w:r w:rsidR="001B2642" w:rsidRPr="00B740B4">
        <w:rPr>
          <w:sz w:val="22"/>
          <w:szCs w:val="22"/>
        </w:rPr>
        <w:t>Belshazzar’s Folly.</w:t>
      </w:r>
      <w:r w:rsidR="00934A11" w:rsidRPr="00B740B4">
        <w:rPr>
          <w:sz w:val="22"/>
          <w:szCs w:val="22"/>
        </w:rPr>
        <w:t>”</w:t>
      </w:r>
      <w:r w:rsidR="001B2642" w:rsidRPr="00B740B4">
        <w:rPr>
          <w:sz w:val="22"/>
          <w:szCs w:val="22"/>
        </w:rPr>
        <w:t xml:space="preserve"> </w:t>
      </w:r>
      <w:r w:rsidR="001B2642" w:rsidRPr="00B740B4">
        <w:rPr>
          <w:b/>
          <w:sz w:val="22"/>
          <w:szCs w:val="22"/>
        </w:rPr>
        <w:t>Lloyd Jones, G.</w:t>
      </w:r>
      <w:r w:rsidR="001B2642" w:rsidRPr="00B740B4">
        <w:rPr>
          <w:sz w:val="22"/>
          <w:szCs w:val="22"/>
        </w:rPr>
        <w:t xml:space="preserve"> </w:t>
      </w:r>
      <w:r w:rsidR="001B2642" w:rsidRPr="00B740B4">
        <w:rPr>
          <w:i/>
          <w:sz w:val="22"/>
          <w:szCs w:val="22"/>
        </w:rPr>
        <w:t>Influence of Mediaeval Jewish Exegetes on Biblical Scholarship in Sixteenth Century England</w:t>
      </w:r>
      <w:r w:rsidR="001B2642" w:rsidRPr="00B740B4">
        <w:rPr>
          <w:sz w:val="22"/>
          <w:szCs w:val="22"/>
        </w:rPr>
        <w:t xml:space="preserve">. </w:t>
      </w:r>
      <w:r w:rsidR="001B2642" w:rsidRPr="00B740B4">
        <w:rPr>
          <w:b/>
          <w:sz w:val="22"/>
          <w:szCs w:val="22"/>
        </w:rPr>
        <w:t>Löhr, M.</w:t>
      </w:r>
      <w:r w:rsidR="001B2642" w:rsidRPr="00B740B4">
        <w:rPr>
          <w:sz w:val="22"/>
          <w:szCs w:val="22"/>
        </w:rPr>
        <w:t xml:space="preserve"> </w:t>
      </w:r>
      <w:r w:rsidR="00934A11" w:rsidRPr="00B740B4">
        <w:rPr>
          <w:sz w:val="22"/>
          <w:szCs w:val="22"/>
        </w:rPr>
        <w:t>“</w:t>
      </w:r>
      <w:r w:rsidR="001B2642" w:rsidRPr="00B740B4">
        <w:rPr>
          <w:sz w:val="22"/>
          <w:szCs w:val="22"/>
        </w:rPr>
        <w:t>Textkritische Vorarbeiten zu einer Erklärung des Buches Daniel.</w:t>
      </w:r>
      <w:r w:rsidR="00934A11" w:rsidRPr="00B740B4">
        <w:rPr>
          <w:sz w:val="22"/>
          <w:szCs w:val="22"/>
        </w:rPr>
        <w:t>”</w:t>
      </w:r>
      <w:r w:rsidR="001B2642" w:rsidRPr="00B740B4">
        <w:rPr>
          <w:sz w:val="22"/>
          <w:szCs w:val="22"/>
        </w:rPr>
        <w:t xml:space="preserve"> </w:t>
      </w:r>
      <w:r w:rsidR="001B2642" w:rsidRPr="00B740B4">
        <w:rPr>
          <w:b/>
          <w:sz w:val="22"/>
          <w:szCs w:val="22"/>
        </w:rPr>
        <w:t>Lust, J.</w:t>
      </w:r>
      <w:r w:rsidR="001B2642" w:rsidRPr="00B740B4">
        <w:rPr>
          <w:sz w:val="22"/>
          <w:szCs w:val="22"/>
        </w:rPr>
        <w:t xml:space="preserve"> </w:t>
      </w:r>
      <w:r w:rsidR="00934A11" w:rsidRPr="00B740B4">
        <w:rPr>
          <w:sz w:val="22"/>
          <w:szCs w:val="22"/>
        </w:rPr>
        <w:t>“</w:t>
      </w:r>
      <w:r w:rsidR="001B2642" w:rsidRPr="00B740B4">
        <w:rPr>
          <w:sz w:val="22"/>
          <w:szCs w:val="22"/>
        </w:rPr>
        <w:t>Daniel 7, 13 and the Septuagint.</w:t>
      </w:r>
      <w:r w:rsidR="00934A11" w:rsidRPr="00B740B4">
        <w:rPr>
          <w:sz w:val="22"/>
          <w:szCs w:val="22"/>
        </w:rPr>
        <w:t>”</w:t>
      </w:r>
      <w:r w:rsidR="001B2642" w:rsidRPr="00B740B4">
        <w:rPr>
          <w:sz w:val="22"/>
          <w:szCs w:val="22"/>
        </w:rPr>
        <w:t xml:space="preserve"> </w:t>
      </w:r>
      <w:r w:rsidR="001605F4" w:rsidRPr="00B740B4">
        <w:rPr>
          <w:b/>
          <w:sz w:val="22"/>
          <w:szCs w:val="22"/>
        </w:rPr>
        <w:t>McGinn, B.</w:t>
      </w:r>
      <w:r w:rsidR="001605F4" w:rsidRPr="00B740B4">
        <w:rPr>
          <w:sz w:val="22"/>
          <w:szCs w:val="22"/>
        </w:rPr>
        <w:t xml:space="preserve"> </w:t>
      </w:r>
      <w:r w:rsidR="001605F4" w:rsidRPr="00B740B4">
        <w:rPr>
          <w:i/>
          <w:sz w:val="22"/>
          <w:szCs w:val="22"/>
        </w:rPr>
        <w:t>Apocalyptic Spirituality</w:t>
      </w:r>
      <w:r w:rsidR="001605F4" w:rsidRPr="00B740B4">
        <w:rPr>
          <w:sz w:val="22"/>
          <w:szCs w:val="22"/>
        </w:rPr>
        <w:t xml:space="preserve">. ———. </w:t>
      </w:r>
      <w:r w:rsidR="001605F4" w:rsidRPr="00B740B4">
        <w:rPr>
          <w:i/>
          <w:sz w:val="22"/>
          <w:szCs w:val="22"/>
        </w:rPr>
        <w:t xml:space="preserve">Visions of the End. </w:t>
      </w:r>
      <w:r w:rsidR="001605F4" w:rsidRPr="00B740B4">
        <w:rPr>
          <w:sz w:val="22"/>
          <w:szCs w:val="22"/>
        </w:rPr>
        <w:t>.”</w:t>
      </w:r>
      <w:r w:rsidR="001605F4" w:rsidRPr="00B740B4">
        <w:rPr>
          <w:i/>
          <w:sz w:val="22"/>
          <w:szCs w:val="22"/>
        </w:rPr>
        <w:t xml:space="preserve"> </w:t>
      </w:r>
      <w:r w:rsidR="001605F4" w:rsidRPr="00B740B4">
        <w:rPr>
          <w:b/>
          <w:sz w:val="22"/>
          <w:szCs w:val="22"/>
        </w:rPr>
        <w:t>McHardy, W. D.</w:t>
      </w:r>
      <w:r w:rsidR="001605F4" w:rsidRPr="00B740B4">
        <w:rPr>
          <w:sz w:val="22"/>
          <w:szCs w:val="22"/>
        </w:rPr>
        <w:t xml:space="preserve"> “The Peshitta Text of Daniel xi, 4.” </w:t>
      </w:r>
      <w:r w:rsidR="001605F4" w:rsidRPr="00B740B4">
        <w:rPr>
          <w:b/>
          <w:sz w:val="22"/>
          <w:szCs w:val="22"/>
        </w:rPr>
        <w:t>McLay, T.</w:t>
      </w:r>
      <w:r w:rsidR="001605F4" w:rsidRPr="00B740B4">
        <w:rPr>
          <w:b/>
          <w:i/>
          <w:sz w:val="22"/>
          <w:szCs w:val="22"/>
        </w:rPr>
        <w:t xml:space="preserve"> </w:t>
      </w:r>
      <w:r w:rsidR="001605F4" w:rsidRPr="00B740B4">
        <w:rPr>
          <w:i/>
          <w:sz w:val="22"/>
          <w:szCs w:val="22"/>
        </w:rPr>
        <w:t>“</w:t>
      </w:r>
      <w:r w:rsidR="001605F4" w:rsidRPr="00B740B4">
        <w:rPr>
          <w:sz w:val="22"/>
          <w:szCs w:val="22"/>
        </w:rPr>
        <w:t>Daniel: to the Reader.”———.</w:t>
      </w:r>
      <w:r w:rsidR="001605F4" w:rsidRPr="00B740B4">
        <w:rPr>
          <w:b/>
          <w:i/>
          <w:sz w:val="22"/>
          <w:szCs w:val="22"/>
        </w:rPr>
        <w:t xml:space="preserve"> </w:t>
      </w:r>
      <w:r w:rsidR="001605F4" w:rsidRPr="00B740B4">
        <w:rPr>
          <w:bCs/>
          <w:sz w:val="22"/>
          <w:szCs w:val="22"/>
        </w:rPr>
        <w:t>“It’s a Question of Influence.”</w:t>
      </w:r>
      <w:r w:rsidR="001605F4" w:rsidRPr="00B740B4">
        <w:rPr>
          <w:b/>
          <w:bCs/>
          <w:i/>
          <w:sz w:val="22"/>
          <w:szCs w:val="22"/>
        </w:rPr>
        <w:t xml:space="preserve"> ———. </w:t>
      </w:r>
      <w:r w:rsidR="001605F4" w:rsidRPr="00B740B4">
        <w:rPr>
          <w:i/>
          <w:sz w:val="22"/>
          <w:szCs w:val="22"/>
        </w:rPr>
        <w:t xml:space="preserve">The OG and Th Versions of Daniel. </w:t>
      </w:r>
      <w:r w:rsidR="001605F4" w:rsidRPr="001605F4">
        <w:rPr>
          <w:i/>
          <w:sz w:val="22"/>
          <w:szCs w:val="22"/>
        </w:rPr>
        <w:t>———.</w:t>
      </w:r>
      <w:r w:rsidR="001605F4" w:rsidRPr="001605F4">
        <w:rPr>
          <w:b/>
          <w:i/>
          <w:sz w:val="22"/>
          <w:szCs w:val="22"/>
        </w:rPr>
        <w:t xml:space="preserve"> </w:t>
      </w:r>
      <w:r w:rsidR="001605F4" w:rsidRPr="001605F4">
        <w:rPr>
          <w:iCs/>
          <w:sz w:val="22"/>
          <w:szCs w:val="22"/>
        </w:rPr>
        <w:t>“The Relationship between the Greek Translations of Daniel 1—3.”</w:t>
      </w:r>
      <w:r w:rsidR="001605F4">
        <w:rPr>
          <w:iCs/>
          <w:szCs w:val="22"/>
        </w:rPr>
        <w:t xml:space="preserve"> </w:t>
      </w:r>
      <w:r w:rsidR="001605F4" w:rsidRPr="00B740B4">
        <w:rPr>
          <w:b/>
          <w:bCs/>
          <w:i/>
          <w:sz w:val="22"/>
          <w:szCs w:val="22"/>
        </w:rPr>
        <w:t xml:space="preserve">———. </w:t>
      </w:r>
      <w:r w:rsidR="001605F4" w:rsidRPr="00B740B4">
        <w:rPr>
          <w:sz w:val="22"/>
          <w:szCs w:val="22"/>
        </w:rPr>
        <w:t>“Syntactic Profiles</w:t>
      </w:r>
      <w:r w:rsidR="001605F4">
        <w:rPr>
          <w:sz w:val="22"/>
          <w:szCs w:val="22"/>
        </w:rPr>
        <w:t xml:space="preserve">.” </w:t>
      </w:r>
      <w:r w:rsidR="001B2642" w:rsidRPr="008D4278">
        <w:rPr>
          <w:b/>
          <w:sz w:val="22"/>
          <w:szCs w:val="22"/>
        </w:rPr>
        <w:t>Macler</w:t>
      </w:r>
      <w:r w:rsidR="001B2642" w:rsidRPr="00B740B4">
        <w:rPr>
          <w:b/>
          <w:sz w:val="22"/>
          <w:szCs w:val="22"/>
        </w:rPr>
        <w:t>, F.</w:t>
      </w:r>
      <w:r w:rsidR="001B2642" w:rsidRPr="00B740B4">
        <w:rPr>
          <w:sz w:val="22"/>
          <w:szCs w:val="22"/>
        </w:rPr>
        <w:t xml:space="preserve"> </w:t>
      </w:r>
      <w:r w:rsidR="00934A11" w:rsidRPr="00B740B4">
        <w:rPr>
          <w:sz w:val="22"/>
          <w:szCs w:val="22"/>
        </w:rPr>
        <w:t>“</w:t>
      </w:r>
      <w:r w:rsidR="001B2642" w:rsidRPr="00B740B4">
        <w:rPr>
          <w:sz w:val="22"/>
          <w:szCs w:val="22"/>
        </w:rPr>
        <w:t>Les apocalypses apocryphes de Daniel.</w:t>
      </w:r>
      <w:r w:rsidR="00934A11" w:rsidRPr="00B740B4">
        <w:rPr>
          <w:sz w:val="22"/>
          <w:szCs w:val="22"/>
        </w:rPr>
        <w:t>”</w:t>
      </w:r>
      <w:r w:rsidR="001B2642" w:rsidRPr="00B740B4">
        <w:rPr>
          <w:sz w:val="22"/>
          <w:szCs w:val="22"/>
        </w:rPr>
        <w:t xml:space="preserve"> </w:t>
      </w:r>
      <w:r w:rsidR="00354CA3" w:rsidRPr="00B740B4">
        <w:rPr>
          <w:sz w:val="22"/>
          <w:szCs w:val="22"/>
        </w:rPr>
        <w:t>———.</w:t>
      </w:r>
      <w:r w:rsidR="00354CA3" w:rsidRPr="00B740B4">
        <w:rPr>
          <w:b/>
          <w:sz w:val="22"/>
          <w:szCs w:val="22"/>
        </w:rPr>
        <w:t xml:space="preserve"> </w:t>
      </w:r>
      <w:r w:rsidR="00934A11" w:rsidRPr="00B740B4">
        <w:rPr>
          <w:b/>
          <w:sz w:val="22"/>
          <w:szCs w:val="22"/>
        </w:rPr>
        <w:t>“</w:t>
      </w:r>
      <w:r w:rsidR="00354CA3" w:rsidRPr="00B740B4">
        <w:rPr>
          <w:sz w:val="22"/>
          <w:szCs w:val="22"/>
        </w:rPr>
        <w:t>The Septuagint Version of Daniel 4—5</w:t>
      </w:r>
      <w:r w:rsidR="008C0493" w:rsidRPr="00B740B4">
        <w:rPr>
          <w:sz w:val="22"/>
          <w:szCs w:val="22"/>
        </w:rPr>
        <w:t>,</w:t>
      </w:r>
      <w:r w:rsidR="00934A11" w:rsidRPr="00B740B4">
        <w:rPr>
          <w:sz w:val="22"/>
          <w:szCs w:val="22"/>
        </w:rPr>
        <w:t>”</w:t>
      </w:r>
      <w:r w:rsidR="008C0493" w:rsidRPr="00B740B4">
        <w:rPr>
          <w:sz w:val="22"/>
          <w:szCs w:val="22"/>
        </w:rPr>
        <w:t xml:space="preserve"> in</w:t>
      </w:r>
      <w:r w:rsidR="00354CA3" w:rsidRPr="00B740B4">
        <w:rPr>
          <w:sz w:val="22"/>
          <w:szCs w:val="22"/>
        </w:rPr>
        <w:t xml:space="preserve"> van der Woude </w:t>
      </w:r>
      <w:r w:rsidR="00354CA3" w:rsidRPr="00B740B4">
        <w:rPr>
          <w:b/>
          <w:sz w:val="22"/>
          <w:szCs w:val="22"/>
        </w:rPr>
        <w:t>(</w:t>
      </w:r>
      <w:r w:rsidR="00354CA3" w:rsidRPr="00B740B4">
        <w:rPr>
          <w:sz w:val="22"/>
          <w:szCs w:val="22"/>
        </w:rPr>
        <w:t>ed</w:t>
      </w:r>
      <w:r w:rsidR="009570C1" w:rsidRPr="00B740B4">
        <w:rPr>
          <w:b/>
          <w:sz w:val="22"/>
          <w:szCs w:val="22"/>
        </w:rPr>
        <w:t>.),</w:t>
      </w:r>
      <w:r w:rsidR="00354CA3" w:rsidRPr="00B740B4">
        <w:rPr>
          <w:b/>
          <w:sz w:val="22"/>
          <w:szCs w:val="22"/>
        </w:rPr>
        <w:t xml:space="preserve"> </w:t>
      </w:r>
      <w:r w:rsidR="00354CA3" w:rsidRPr="00B740B4">
        <w:rPr>
          <w:i/>
          <w:sz w:val="22"/>
          <w:szCs w:val="22"/>
        </w:rPr>
        <w:t>The Book of Daniel</w:t>
      </w:r>
      <w:r w:rsidR="00354CA3" w:rsidRPr="00B740B4">
        <w:rPr>
          <w:sz w:val="22"/>
          <w:szCs w:val="22"/>
        </w:rPr>
        <w:t xml:space="preserve">, 39-53. </w:t>
      </w:r>
      <w:r w:rsidR="00C63F02" w:rsidRPr="00B740B4">
        <w:rPr>
          <w:b/>
          <w:sz w:val="22"/>
          <w:szCs w:val="22"/>
        </w:rPr>
        <w:t xml:space="preserve">Magny, A. </w:t>
      </w:r>
      <w:r w:rsidR="00934A11" w:rsidRPr="00B740B4">
        <w:rPr>
          <w:sz w:val="22"/>
          <w:szCs w:val="22"/>
        </w:rPr>
        <w:t>“</w:t>
      </w:r>
      <w:r w:rsidR="00C63F02" w:rsidRPr="00B740B4">
        <w:rPr>
          <w:sz w:val="22"/>
          <w:szCs w:val="22"/>
        </w:rPr>
        <w:t xml:space="preserve">Porphyre, Hipplyte, et Origène commentent sur </w:t>
      </w:r>
      <w:r w:rsidR="00C63F02" w:rsidRPr="00B740B4">
        <w:rPr>
          <w:i/>
          <w:sz w:val="22"/>
          <w:szCs w:val="22"/>
        </w:rPr>
        <w:t>Daniel</w:t>
      </w:r>
      <w:r w:rsidR="00C63F02" w:rsidRPr="00B740B4">
        <w:rPr>
          <w:sz w:val="22"/>
          <w:szCs w:val="22"/>
        </w:rPr>
        <w:t>.</w:t>
      </w:r>
      <w:r w:rsidR="00934A11" w:rsidRPr="00B740B4">
        <w:rPr>
          <w:sz w:val="22"/>
          <w:szCs w:val="22"/>
        </w:rPr>
        <w:t>”</w:t>
      </w:r>
      <w:r w:rsidR="00C63F02" w:rsidRPr="00B740B4">
        <w:rPr>
          <w:sz w:val="22"/>
          <w:szCs w:val="22"/>
        </w:rPr>
        <w:t xml:space="preserve"> ———.</w:t>
      </w:r>
      <w:r w:rsidR="00934A11" w:rsidRPr="00B740B4">
        <w:rPr>
          <w:sz w:val="22"/>
          <w:szCs w:val="22"/>
        </w:rPr>
        <w:t>”</w:t>
      </w:r>
      <w:r w:rsidR="00C63F02" w:rsidRPr="00B740B4">
        <w:rPr>
          <w:sz w:val="22"/>
          <w:szCs w:val="22"/>
        </w:rPr>
        <w:t>Porphyry against the Christians.</w:t>
      </w:r>
      <w:r w:rsidR="00934A11" w:rsidRPr="00B740B4">
        <w:rPr>
          <w:sz w:val="22"/>
          <w:szCs w:val="22"/>
        </w:rPr>
        <w:t>”</w:t>
      </w:r>
      <w:r w:rsidR="00C63F02" w:rsidRPr="00B740B4">
        <w:rPr>
          <w:sz w:val="22"/>
          <w:szCs w:val="22"/>
        </w:rPr>
        <w:t xml:space="preserve"> </w:t>
      </w:r>
      <w:r w:rsidR="001B2642" w:rsidRPr="00B740B4">
        <w:rPr>
          <w:b/>
          <w:sz w:val="22"/>
          <w:szCs w:val="22"/>
        </w:rPr>
        <w:t>Mainz, E.</w:t>
      </w:r>
      <w:r w:rsidR="001B2642" w:rsidRPr="00B740B4">
        <w:rPr>
          <w:sz w:val="22"/>
          <w:szCs w:val="22"/>
        </w:rPr>
        <w:t xml:space="preserve"> </w:t>
      </w:r>
      <w:r w:rsidR="00934A11" w:rsidRPr="00B740B4">
        <w:rPr>
          <w:sz w:val="22"/>
          <w:szCs w:val="22"/>
        </w:rPr>
        <w:t>“</w:t>
      </w:r>
      <w:r w:rsidR="001B2642" w:rsidRPr="00B740B4">
        <w:rPr>
          <w:sz w:val="22"/>
          <w:szCs w:val="22"/>
        </w:rPr>
        <w:t>Le Livre de Daniel en Judéo-Persan.</w:t>
      </w:r>
      <w:r w:rsidR="00934A11" w:rsidRPr="00B740B4">
        <w:rPr>
          <w:sz w:val="22"/>
          <w:szCs w:val="22"/>
        </w:rPr>
        <w:t>”</w:t>
      </w:r>
      <w:r w:rsidR="001B2642" w:rsidRPr="00B740B4">
        <w:rPr>
          <w:sz w:val="22"/>
          <w:szCs w:val="22"/>
        </w:rPr>
        <w:t xml:space="preserve"> </w:t>
      </w:r>
      <w:r w:rsidR="00B91408" w:rsidRPr="00B740B4">
        <w:rPr>
          <w:b/>
          <w:iCs/>
          <w:sz w:val="22"/>
          <w:szCs w:val="22"/>
        </w:rPr>
        <w:t>Mandelbrote, S.</w:t>
      </w:r>
      <w:r w:rsidR="00B91408" w:rsidRPr="00B740B4">
        <w:rPr>
          <w:iCs/>
          <w:sz w:val="22"/>
          <w:szCs w:val="22"/>
        </w:rPr>
        <w:t xml:space="preserve"> </w:t>
      </w:r>
      <w:r w:rsidR="00934A11" w:rsidRPr="00B740B4">
        <w:rPr>
          <w:iCs/>
          <w:sz w:val="22"/>
          <w:szCs w:val="22"/>
        </w:rPr>
        <w:t>“</w:t>
      </w:r>
      <w:r w:rsidR="00B91408" w:rsidRPr="00B740B4">
        <w:rPr>
          <w:iCs/>
          <w:sz w:val="22"/>
          <w:szCs w:val="22"/>
        </w:rPr>
        <w:t>Isaac Newton and the Exegesis of the Book of Daniel,</w:t>
      </w:r>
      <w:r w:rsidR="00934A11" w:rsidRPr="00B740B4">
        <w:rPr>
          <w:iCs/>
          <w:sz w:val="22"/>
          <w:szCs w:val="22"/>
        </w:rPr>
        <w:t>”</w:t>
      </w:r>
      <w:r w:rsidR="00B91408" w:rsidRPr="00B740B4">
        <w:rPr>
          <w:iCs/>
          <w:sz w:val="22"/>
          <w:szCs w:val="22"/>
        </w:rPr>
        <w:t xml:space="preserve"> in </w:t>
      </w:r>
      <w:r w:rsidR="00B91408" w:rsidRPr="00B740B4">
        <w:rPr>
          <w:bCs/>
          <w:iCs/>
          <w:sz w:val="22"/>
          <w:szCs w:val="22"/>
        </w:rPr>
        <w:t>Bracht/du Toit</w:t>
      </w:r>
      <w:r w:rsidR="00B91408" w:rsidRPr="00B740B4">
        <w:rPr>
          <w:bCs/>
          <w:i/>
          <w:iCs/>
          <w:sz w:val="22"/>
          <w:szCs w:val="22"/>
        </w:rPr>
        <w:t xml:space="preserve"> </w:t>
      </w:r>
      <w:r w:rsidR="00B91408" w:rsidRPr="00B740B4">
        <w:rPr>
          <w:bCs/>
          <w:iCs/>
          <w:sz w:val="22"/>
          <w:szCs w:val="22"/>
        </w:rPr>
        <w:t xml:space="preserve">(eds.), </w:t>
      </w:r>
      <w:r w:rsidR="00B91408" w:rsidRPr="00B740B4">
        <w:rPr>
          <w:bCs/>
          <w:i/>
          <w:iCs/>
          <w:sz w:val="22"/>
          <w:szCs w:val="22"/>
        </w:rPr>
        <w:t>Die Geschichte der Daniel-Auslegung</w:t>
      </w:r>
      <w:r w:rsidR="00B91408" w:rsidRPr="00B740B4">
        <w:rPr>
          <w:bCs/>
          <w:iCs/>
          <w:sz w:val="22"/>
          <w:szCs w:val="22"/>
        </w:rPr>
        <w:t xml:space="preserve">, 351-75. </w:t>
      </w:r>
      <w:r w:rsidR="001B2642" w:rsidRPr="00B740B4">
        <w:rPr>
          <w:b/>
          <w:sz w:val="22"/>
          <w:szCs w:val="22"/>
        </w:rPr>
        <w:t>Mann, J.</w:t>
      </w:r>
      <w:r w:rsidR="001B2642" w:rsidRPr="00B740B4">
        <w:rPr>
          <w:sz w:val="22"/>
          <w:szCs w:val="22"/>
        </w:rPr>
        <w:t xml:space="preserve"> </w:t>
      </w:r>
      <w:r w:rsidR="00934A11" w:rsidRPr="00B740B4">
        <w:rPr>
          <w:sz w:val="22"/>
          <w:szCs w:val="22"/>
        </w:rPr>
        <w:t>“</w:t>
      </w:r>
      <w:r w:rsidR="001B2642" w:rsidRPr="00B740B4">
        <w:rPr>
          <w:sz w:val="22"/>
          <w:szCs w:val="22"/>
        </w:rPr>
        <w:t>Early Ḳaraite Bible Commentaries.</w:t>
      </w:r>
      <w:r w:rsidR="00934A11" w:rsidRPr="00B740B4">
        <w:rPr>
          <w:sz w:val="22"/>
          <w:szCs w:val="22"/>
        </w:rPr>
        <w:t>”</w:t>
      </w:r>
      <w:r w:rsidR="001B2642" w:rsidRPr="00B740B4">
        <w:rPr>
          <w:sz w:val="22"/>
          <w:szCs w:val="22"/>
        </w:rPr>
        <w:t xml:space="preserve"> </w:t>
      </w:r>
      <w:r w:rsidR="00794642" w:rsidRPr="00B740B4">
        <w:rPr>
          <w:b/>
          <w:sz w:val="22"/>
          <w:szCs w:val="22"/>
        </w:rPr>
        <w:t>Markus, R. A</w:t>
      </w:r>
      <w:r w:rsidR="00794642" w:rsidRPr="00B740B4">
        <w:rPr>
          <w:sz w:val="22"/>
          <w:szCs w:val="22"/>
        </w:rPr>
        <w:t xml:space="preserve">. </w:t>
      </w:r>
      <w:r w:rsidR="00794642" w:rsidRPr="00B740B4">
        <w:rPr>
          <w:i/>
          <w:sz w:val="22"/>
          <w:szCs w:val="22"/>
        </w:rPr>
        <w:t>Saeculum: History and Society in the Theology of St Augustine</w:t>
      </w:r>
      <w:r w:rsidR="00794642" w:rsidRPr="00B740B4">
        <w:rPr>
          <w:sz w:val="22"/>
          <w:szCs w:val="22"/>
        </w:rPr>
        <w:t xml:space="preserve">. </w:t>
      </w:r>
      <w:r w:rsidR="001B2642" w:rsidRPr="00B740B4">
        <w:rPr>
          <w:b/>
          <w:sz w:val="22"/>
          <w:szCs w:val="22"/>
        </w:rPr>
        <w:t>Marsch, E.</w:t>
      </w:r>
      <w:r w:rsidR="001B2642" w:rsidRPr="00B740B4">
        <w:rPr>
          <w:sz w:val="22"/>
          <w:szCs w:val="22"/>
        </w:rPr>
        <w:t xml:space="preserve"> </w:t>
      </w:r>
      <w:r w:rsidR="001B2642" w:rsidRPr="00B740B4">
        <w:rPr>
          <w:i/>
          <w:sz w:val="22"/>
          <w:szCs w:val="22"/>
        </w:rPr>
        <w:t>Biblische Prophetie und chronographische Dichtung</w:t>
      </w:r>
      <w:r w:rsidR="00E74B4D" w:rsidRPr="00B740B4">
        <w:rPr>
          <w:sz w:val="22"/>
          <w:szCs w:val="22"/>
        </w:rPr>
        <w:t>.</w:t>
      </w:r>
      <w:r w:rsidR="001B2642" w:rsidRPr="00B740B4">
        <w:rPr>
          <w:sz w:val="22"/>
          <w:szCs w:val="22"/>
        </w:rPr>
        <w:t xml:space="preserve"> </w:t>
      </w:r>
      <w:r w:rsidR="00381CF4" w:rsidRPr="00B740B4">
        <w:rPr>
          <w:sz w:val="22"/>
          <w:szCs w:val="22"/>
        </w:rPr>
        <w:t>———.</w:t>
      </w:r>
      <w:r w:rsidR="00934A11" w:rsidRPr="00B740B4">
        <w:rPr>
          <w:sz w:val="22"/>
          <w:szCs w:val="22"/>
        </w:rPr>
        <w:t>”</w:t>
      </w:r>
      <w:r w:rsidR="00381CF4" w:rsidRPr="00B740B4">
        <w:rPr>
          <w:sz w:val="22"/>
          <w:szCs w:val="22"/>
        </w:rPr>
        <w:t>Vom Visionbild zur Deutung,</w:t>
      </w:r>
      <w:r w:rsidR="00934A11" w:rsidRPr="00B740B4">
        <w:rPr>
          <w:sz w:val="22"/>
          <w:szCs w:val="22"/>
        </w:rPr>
        <w:t>”</w:t>
      </w:r>
      <w:r w:rsidR="00381CF4" w:rsidRPr="00B740B4">
        <w:rPr>
          <w:sz w:val="22"/>
          <w:szCs w:val="22"/>
        </w:rPr>
        <w:t xml:space="preserve"> in </w:t>
      </w:r>
      <w:r w:rsidR="00381CF4" w:rsidRPr="00B740B4">
        <w:rPr>
          <w:bCs/>
          <w:sz w:val="22"/>
          <w:szCs w:val="22"/>
        </w:rPr>
        <w:t xml:space="preserve">Delgado/Koch/Marsch (eds.), </w:t>
      </w:r>
      <w:r w:rsidR="00381CF4" w:rsidRPr="00B740B4">
        <w:rPr>
          <w:bCs/>
          <w:i/>
          <w:sz w:val="22"/>
          <w:szCs w:val="22"/>
        </w:rPr>
        <w:t>Europa, Tausendjähriges Reich und Neue</w:t>
      </w:r>
      <w:r w:rsidR="00381CF4" w:rsidRPr="00B740B4">
        <w:rPr>
          <w:bCs/>
          <w:sz w:val="22"/>
          <w:szCs w:val="22"/>
        </w:rPr>
        <w:t xml:space="preserve"> </w:t>
      </w:r>
      <w:r w:rsidR="00381CF4" w:rsidRPr="00B740B4">
        <w:rPr>
          <w:bCs/>
          <w:i/>
          <w:sz w:val="22"/>
          <w:szCs w:val="22"/>
        </w:rPr>
        <w:t>Welt</w:t>
      </w:r>
      <w:r w:rsidR="00381CF4" w:rsidRPr="00B740B4">
        <w:rPr>
          <w:bCs/>
          <w:sz w:val="22"/>
          <w:szCs w:val="22"/>
        </w:rPr>
        <w:t>, 426-53.</w:t>
      </w:r>
      <w:r w:rsidR="00381CF4" w:rsidRPr="00B740B4">
        <w:rPr>
          <w:sz w:val="22"/>
          <w:szCs w:val="22"/>
        </w:rPr>
        <w:t xml:space="preserve"> </w:t>
      </w:r>
      <w:r w:rsidR="00381CF4" w:rsidRPr="00B740B4">
        <w:rPr>
          <w:b/>
          <w:sz w:val="22"/>
          <w:szCs w:val="22"/>
        </w:rPr>
        <w:t xml:space="preserve"> </w:t>
      </w:r>
      <w:r w:rsidR="00E74B4D" w:rsidRPr="00B740B4">
        <w:rPr>
          <w:b/>
          <w:sz w:val="22"/>
          <w:szCs w:val="22"/>
        </w:rPr>
        <w:t>Mason, S.</w:t>
      </w:r>
      <w:r w:rsidR="00E74B4D" w:rsidRPr="00B740B4">
        <w:rPr>
          <w:sz w:val="22"/>
          <w:szCs w:val="22"/>
        </w:rPr>
        <w:t xml:space="preserve"> </w:t>
      </w:r>
      <w:r w:rsidR="00934A11" w:rsidRPr="00B740B4">
        <w:rPr>
          <w:sz w:val="22"/>
          <w:szCs w:val="22"/>
        </w:rPr>
        <w:t>“</w:t>
      </w:r>
      <w:r w:rsidR="00E74B4D" w:rsidRPr="00B740B4">
        <w:rPr>
          <w:sz w:val="22"/>
          <w:szCs w:val="22"/>
        </w:rPr>
        <w:t>Josephus</w:t>
      </w:r>
      <w:r w:rsidR="000C0918">
        <w:rPr>
          <w:sz w:val="22"/>
          <w:szCs w:val="22"/>
        </w:rPr>
        <w:t>, Daniel, and the Flavian House.</w:t>
      </w:r>
      <w:r w:rsidR="00934A11" w:rsidRPr="00B740B4">
        <w:rPr>
          <w:sz w:val="22"/>
          <w:szCs w:val="22"/>
        </w:rPr>
        <w:t>”</w:t>
      </w:r>
      <w:r w:rsidR="000C0918">
        <w:rPr>
          <w:sz w:val="22"/>
          <w:szCs w:val="22"/>
        </w:rPr>
        <w:t xml:space="preserve"> </w:t>
      </w:r>
      <w:r w:rsidR="001B2642" w:rsidRPr="00B740B4">
        <w:rPr>
          <w:b/>
          <w:sz w:val="22"/>
          <w:szCs w:val="22"/>
        </w:rPr>
        <w:t>Méchoulan, H.</w:t>
      </w:r>
      <w:r w:rsidR="001B2642" w:rsidRPr="00B740B4">
        <w:rPr>
          <w:sz w:val="22"/>
          <w:szCs w:val="22"/>
        </w:rPr>
        <w:t xml:space="preserve"> </w:t>
      </w:r>
      <w:r w:rsidR="00934A11" w:rsidRPr="00B740B4">
        <w:rPr>
          <w:sz w:val="22"/>
          <w:szCs w:val="22"/>
        </w:rPr>
        <w:t>“</w:t>
      </w:r>
      <w:r w:rsidR="001B2642" w:rsidRPr="00B740B4">
        <w:rPr>
          <w:sz w:val="22"/>
          <w:szCs w:val="22"/>
        </w:rPr>
        <w:t>Révélation, rationalité et prophétie.</w:t>
      </w:r>
      <w:r w:rsidR="00934A11" w:rsidRPr="00B740B4">
        <w:rPr>
          <w:sz w:val="22"/>
          <w:szCs w:val="22"/>
        </w:rPr>
        <w:t>”</w:t>
      </w:r>
      <w:r w:rsidR="001B2642" w:rsidRPr="00B740B4">
        <w:rPr>
          <w:sz w:val="22"/>
          <w:szCs w:val="22"/>
        </w:rPr>
        <w:t xml:space="preserve"> </w:t>
      </w:r>
      <w:r w:rsidR="00B24CD5" w:rsidRPr="00B740B4">
        <w:rPr>
          <w:b/>
          <w:sz w:val="22"/>
          <w:szCs w:val="22"/>
        </w:rPr>
        <w:t>Meadowcroft, T. J.</w:t>
      </w:r>
      <w:r w:rsidR="00B24CD5" w:rsidRPr="00B740B4">
        <w:rPr>
          <w:sz w:val="22"/>
          <w:szCs w:val="22"/>
        </w:rPr>
        <w:t xml:space="preserve"> </w:t>
      </w:r>
      <w:r w:rsidR="00C86407" w:rsidRPr="00B740B4">
        <w:rPr>
          <w:i/>
          <w:sz w:val="22"/>
          <w:szCs w:val="22"/>
        </w:rPr>
        <w:t>Aram</w:t>
      </w:r>
      <w:r w:rsidR="003B625C" w:rsidRPr="00B740B4">
        <w:rPr>
          <w:i/>
          <w:sz w:val="22"/>
          <w:szCs w:val="22"/>
        </w:rPr>
        <w:t>a</w:t>
      </w:r>
      <w:r w:rsidR="00C86407" w:rsidRPr="00B740B4">
        <w:rPr>
          <w:i/>
          <w:sz w:val="22"/>
          <w:szCs w:val="22"/>
        </w:rPr>
        <w:t>ic Daniel and Greek Daniel</w:t>
      </w:r>
      <w:r w:rsidR="00B24CD5" w:rsidRPr="00B740B4">
        <w:rPr>
          <w:sz w:val="22"/>
          <w:szCs w:val="22"/>
        </w:rPr>
        <w:t xml:space="preserve">. </w:t>
      </w:r>
      <w:r w:rsidR="001B2642" w:rsidRPr="00B740B4">
        <w:rPr>
          <w:b/>
          <w:sz w:val="22"/>
          <w:szCs w:val="22"/>
        </w:rPr>
        <w:t>Mertens, A.</w:t>
      </w:r>
      <w:r w:rsidR="001B2642" w:rsidRPr="00B740B4">
        <w:rPr>
          <w:sz w:val="22"/>
          <w:szCs w:val="22"/>
        </w:rPr>
        <w:t xml:space="preserve"> </w:t>
      </w:r>
      <w:r w:rsidR="001B2642" w:rsidRPr="00B740B4">
        <w:rPr>
          <w:i/>
          <w:sz w:val="22"/>
          <w:szCs w:val="22"/>
        </w:rPr>
        <w:t>Das Buch Daniel im Lichte der Texte vom Toten Meer</w:t>
      </w:r>
      <w:r w:rsidR="001B2642" w:rsidRPr="00B740B4">
        <w:rPr>
          <w:sz w:val="22"/>
          <w:szCs w:val="22"/>
        </w:rPr>
        <w:t xml:space="preserve">. </w:t>
      </w:r>
      <w:r w:rsidR="001B2642" w:rsidRPr="00B740B4">
        <w:rPr>
          <w:b/>
          <w:sz w:val="22"/>
          <w:szCs w:val="22"/>
        </w:rPr>
        <w:t>Meyer, R.</w:t>
      </w:r>
      <w:r w:rsidR="001B2642" w:rsidRPr="00B740B4">
        <w:rPr>
          <w:sz w:val="22"/>
          <w:szCs w:val="22"/>
        </w:rPr>
        <w:t xml:space="preserve"> </w:t>
      </w:r>
      <w:r w:rsidR="001B2642" w:rsidRPr="00B740B4">
        <w:rPr>
          <w:i/>
          <w:sz w:val="22"/>
          <w:szCs w:val="22"/>
        </w:rPr>
        <w:t>Das Gebet des Nabonid</w:t>
      </w:r>
      <w:r w:rsidR="001B2642" w:rsidRPr="00B740B4">
        <w:rPr>
          <w:sz w:val="22"/>
          <w:szCs w:val="22"/>
        </w:rPr>
        <w:t xml:space="preserve">. ———. </w:t>
      </w:r>
      <w:r w:rsidR="00934A11" w:rsidRPr="00B740B4">
        <w:rPr>
          <w:sz w:val="22"/>
          <w:szCs w:val="22"/>
        </w:rPr>
        <w:t>“</w:t>
      </w:r>
      <w:r w:rsidR="001B2642" w:rsidRPr="00B740B4">
        <w:rPr>
          <w:sz w:val="22"/>
          <w:szCs w:val="22"/>
        </w:rPr>
        <w:t>Das Qumânfragment ‘Gebet des Nabonid.’</w:t>
      </w:r>
      <w:r w:rsidR="00934A11" w:rsidRPr="00B740B4">
        <w:rPr>
          <w:sz w:val="22"/>
          <w:szCs w:val="22"/>
        </w:rPr>
        <w:t>”</w:t>
      </w:r>
      <w:r w:rsidR="001B2642" w:rsidRPr="00B740B4">
        <w:rPr>
          <w:sz w:val="22"/>
          <w:szCs w:val="22"/>
        </w:rPr>
        <w:t xml:space="preserve"> </w:t>
      </w:r>
      <w:r w:rsidR="0009445A" w:rsidRPr="00B740B4">
        <w:rPr>
          <w:b/>
          <w:sz w:val="22"/>
          <w:szCs w:val="22"/>
        </w:rPr>
        <w:t xml:space="preserve">Miceli, V. P. </w:t>
      </w:r>
      <w:r w:rsidR="0009445A" w:rsidRPr="00B740B4">
        <w:rPr>
          <w:i/>
          <w:sz w:val="22"/>
          <w:szCs w:val="22"/>
        </w:rPr>
        <w:t>The</w:t>
      </w:r>
      <w:r w:rsidR="0009445A" w:rsidRPr="00B740B4">
        <w:rPr>
          <w:sz w:val="22"/>
          <w:szCs w:val="22"/>
        </w:rPr>
        <w:t xml:space="preserve"> </w:t>
      </w:r>
      <w:r w:rsidR="0009445A" w:rsidRPr="00B740B4">
        <w:rPr>
          <w:i/>
          <w:sz w:val="22"/>
          <w:szCs w:val="22"/>
        </w:rPr>
        <w:t>Antichrist</w:t>
      </w:r>
      <w:r w:rsidR="00D01AA4" w:rsidRPr="00B740B4">
        <w:rPr>
          <w:sz w:val="22"/>
          <w:szCs w:val="22"/>
        </w:rPr>
        <w:t>.</w:t>
      </w:r>
      <w:r w:rsidR="0009445A" w:rsidRPr="00B740B4">
        <w:rPr>
          <w:sz w:val="22"/>
          <w:szCs w:val="22"/>
        </w:rPr>
        <w:t xml:space="preserve"> </w:t>
      </w:r>
      <w:r w:rsidR="00D01AA4" w:rsidRPr="00B740B4">
        <w:rPr>
          <w:b/>
          <w:sz w:val="22"/>
          <w:szCs w:val="22"/>
        </w:rPr>
        <w:t>Miegge, M.</w:t>
      </w:r>
      <w:r w:rsidR="00D01AA4" w:rsidRPr="00B740B4">
        <w:rPr>
          <w:sz w:val="22"/>
          <w:szCs w:val="22"/>
        </w:rPr>
        <w:t xml:space="preserve"> </w:t>
      </w:r>
      <w:r w:rsidR="00934A11" w:rsidRPr="00B740B4">
        <w:rPr>
          <w:sz w:val="22"/>
          <w:szCs w:val="22"/>
        </w:rPr>
        <w:t>“</w:t>
      </w:r>
      <w:r w:rsidR="00D01AA4" w:rsidRPr="00B740B4">
        <w:rPr>
          <w:sz w:val="22"/>
          <w:szCs w:val="22"/>
        </w:rPr>
        <w:t>‘Regnum quartum ferreum’ und ‘lapis de monte,</w:t>
      </w:r>
      <w:r w:rsidR="00934A11" w:rsidRPr="00B740B4">
        <w:rPr>
          <w:sz w:val="22"/>
          <w:szCs w:val="22"/>
        </w:rPr>
        <w:t>”</w:t>
      </w:r>
      <w:r w:rsidR="00D01AA4" w:rsidRPr="00B740B4">
        <w:rPr>
          <w:sz w:val="22"/>
          <w:szCs w:val="22"/>
        </w:rPr>
        <w:t xml:space="preserve"> in </w:t>
      </w:r>
      <w:r w:rsidR="00381CF4" w:rsidRPr="00B740B4">
        <w:rPr>
          <w:bCs/>
          <w:sz w:val="22"/>
          <w:szCs w:val="22"/>
        </w:rPr>
        <w:t>Delgado/Koch/Marsch</w:t>
      </w:r>
      <w:r w:rsidR="00D01AA4" w:rsidRPr="00B740B4">
        <w:rPr>
          <w:bCs/>
          <w:sz w:val="22"/>
          <w:szCs w:val="22"/>
        </w:rPr>
        <w:t xml:space="preserve"> (eds.), </w:t>
      </w:r>
      <w:r w:rsidR="00D01AA4" w:rsidRPr="00B740B4">
        <w:rPr>
          <w:bCs/>
          <w:i/>
          <w:sz w:val="22"/>
          <w:szCs w:val="22"/>
        </w:rPr>
        <w:t>Europa, Tausendjähriges Reich und Neue</w:t>
      </w:r>
      <w:r w:rsidR="00D01AA4" w:rsidRPr="00B740B4">
        <w:rPr>
          <w:bCs/>
          <w:sz w:val="22"/>
          <w:szCs w:val="22"/>
        </w:rPr>
        <w:t xml:space="preserve"> </w:t>
      </w:r>
      <w:r w:rsidR="00D01AA4" w:rsidRPr="00B740B4">
        <w:rPr>
          <w:bCs/>
          <w:i/>
          <w:sz w:val="22"/>
          <w:szCs w:val="22"/>
        </w:rPr>
        <w:t>Welt</w:t>
      </w:r>
      <w:r w:rsidR="00D01AA4" w:rsidRPr="00B740B4">
        <w:rPr>
          <w:bCs/>
          <w:sz w:val="22"/>
          <w:szCs w:val="22"/>
        </w:rPr>
        <w:t>, 239-51.</w:t>
      </w:r>
      <w:r w:rsidR="00D01AA4" w:rsidRPr="00B740B4">
        <w:rPr>
          <w:sz w:val="22"/>
          <w:szCs w:val="22"/>
        </w:rPr>
        <w:t xml:space="preserve"> </w:t>
      </w:r>
      <w:r w:rsidR="001B2642" w:rsidRPr="00B740B4">
        <w:rPr>
          <w:b/>
          <w:sz w:val="22"/>
          <w:szCs w:val="22"/>
        </w:rPr>
        <w:t>Milik, J. T.</w:t>
      </w:r>
      <w:r w:rsidR="001B2642" w:rsidRPr="00B740B4">
        <w:rPr>
          <w:sz w:val="22"/>
          <w:szCs w:val="22"/>
        </w:rPr>
        <w:t xml:space="preserve"> </w:t>
      </w:r>
      <w:r w:rsidR="00934A11" w:rsidRPr="00B740B4">
        <w:rPr>
          <w:sz w:val="22"/>
          <w:szCs w:val="22"/>
        </w:rPr>
        <w:t>“</w:t>
      </w:r>
      <w:r w:rsidR="001B2642" w:rsidRPr="00B740B4">
        <w:rPr>
          <w:sz w:val="22"/>
          <w:szCs w:val="22"/>
        </w:rPr>
        <w:t>‘Prière de Nabonide’ et autres écrits d’un cycle de Daniel.</w:t>
      </w:r>
      <w:r w:rsidR="00934A11" w:rsidRPr="00B740B4">
        <w:rPr>
          <w:sz w:val="22"/>
          <w:szCs w:val="22"/>
        </w:rPr>
        <w:t>”</w:t>
      </w:r>
      <w:r w:rsidR="001B2642" w:rsidRPr="00B740B4">
        <w:rPr>
          <w:sz w:val="22"/>
          <w:szCs w:val="22"/>
        </w:rPr>
        <w:t xml:space="preserve"> </w:t>
      </w:r>
      <w:r w:rsidR="008A0397" w:rsidRPr="00B740B4">
        <w:rPr>
          <w:b/>
          <w:iCs/>
          <w:sz w:val="22"/>
          <w:szCs w:val="22"/>
        </w:rPr>
        <w:t>Miller, W.</w:t>
      </w:r>
      <w:r w:rsidR="008A0397" w:rsidRPr="00B740B4">
        <w:rPr>
          <w:iCs/>
          <w:sz w:val="22"/>
          <w:szCs w:val="22"/>
        </w:rPr>
        <w:t xml:space="preserve"> </w:t>
      </w:r>
      <w:r w:rsidR="008A0397" w:rsidRPr="00B740B4">
        <w:rPr>
          <w:i/>
          <w:iCs/>
          <w:sz w:val="22"/>
          <w:szCs w:val="22"/>
        </w:rPr>
        <w:t>Evidence from Scripture and History of the Second Coming of Christ, about the Year 1843</w:t>
      </w:r>
      <w:r w:rsidR="008A0397" w:rsidRPr="00B740B4">
        <w:rPr>
          <w:iCs/>
          <w:sz w:val="22"/>
          <w:szCs w:val="22"/>
        </w:rPr>
        <w:t>.</w:t>
      </w:r>
      <w:r w:rsidR="008A0397" w:rsidRPr="00B740B4">
        <w:rPr>
          <w:i/>
          <w:iCs/>
          <w:sz w:val="22"/>
          <w:szCs w:val="22"/>
        </w:rPr>
        <w:t xml:space="preserve"> </w:t>
      </w:r>
      <w:r w:rsidR="001B2642" w:rsidRPr="00B740B4">
        <w:rPr>
          <w:b/>
          <w:sz w:val="22"/>
          <w:szCs w:val="22"/>
        </w:rPr>
        <w:t>Montgomery, J. A.</w:t>
      </w:r>
      <w:r w:rsidR="008D4278">
        <w:rPr>
          <w:sz w:val="22"/>
          <w:szCs w:val="22"/>
        </w:rPr>
        <w:t xml:space="preserve"> </w:t>
      </w:r>
      <w:r w:rsidR="001B2642" w:rsidRPr="00B740B4">
        <w:rPr>
          <w:i/>
          <w:sz w:val="22"/>
          <w:szCs w:val="22"/>
        </w:rPr>
        <w:t>Daniel</w:t>
      </w:r>
      <w:r w:rsidR="001B2642" w:rsidRPr="00B740B4">
        <w:rPr>
          <w:sz w:val="22"/>
          <w:szCs w:val="22"/>
        </w:rPr>
        <w:t>. ———.</w:t>
      </w:r>
      <w:r w:rsidR="00934A11" w:rsidRPr="00B740B4">
        <w:rPr>
          <w:sz w:val="22"/>
          <w:szCs w:val="22"/>
        </w:rPr>
        <w:t>”</w:t>
      </w:r>
      <w:r w:rsidR="001B2642" w:rsidRPr="00B740B4">
        <w:rPr>
          <w:sz w:val="22"/>
          <w:szCs w:val="22"/>
        </w:rPr>
        <w:t>A Survival of the Tetragrammaton in Daniel.</w:t>
      </w:r>
      <w:r w:rsidR="00934A11" w:rsidRPr="00B740B4">
        <w:rPr>
          <w:sz w:val="22"/>
          <w:szCs w:val="22"/>
        </w:rPr>
        <w:t>”</w:t>
      </w:r>
      <w:r w:rsidR="001B2642" w:rsidRPr="00B740B4">
        <w:rPr>
          <w:sz w:val="22"/>
          <w:szCs w:val="22"/>
        </w:rPr>
        <w:t xml:space="preserve"> </w:t>
      </w:r>
      <w:r w:rsidR="003F2F41" w:rsidRPr="00B740B4">
        <w:rPr>
          <w:rFonts w:eastAsia="Times-Roman"/>
          <w:b/>
          <w:sz w:val="22"/>
          <w:szCs w:val="22"/>
        </w:rPr>
        <w:t xml:space="preserve">Morrison, C. E. </w:t>
      </w:r>
      <w:r w:rsidR="00934A11" w:rsidRPr="00B740B4">
        <w:rPr>
          <w:rFonts w:eastAsia="Times-Roman"/>
          <w:sz w:val="22"/>
          <w:szCs w:val="22"/>
        </w:rPr>
        <w:t>“</w:t>
      </w:r>
      <w:r w:rsidR="003F2F41" w:rsidRPr="00B740B4">
        <w:rPr>
          <w:rFonts w:eastAsia="Times-Roman"/>
          <w:sz w:val="22"/>
          <w:szCs w:val="22"/>
        </w:rPr>
        <w:t>The Reception of the Book of Daniel in Aphrahat’s Fifth Demonstration.</w:t>
      </w:r>
      <w:r w:rsidR="00934A11" w:rsidRPr="00B740B4">
        <w:rPr>
          <w:rFonts w:eastAsia="Times-Roman"/>
          <w:sz w:val="22"/>
          <w:szCs w:val="22"/>
        </w:rPr>
        <w:t>”</w:t>
      </w:r>
      <w:r w:rsidR="003F2F41" w:rsidRPr="00B740B4">
        <w:rPr>
          <w:rFonts w:eastAsia="Times-Roman"/>
          <w:sz w:val="22"/>
          <w:szCs w:val="22"/>
        </w:rPr>
        <w:t xml:space="preserve"> </w:t>
      </w:r>
      <w:r w:rsidR="001B2642" w:rsidRPr="00B740B4">
        <w:rPr>
          <w:b/>
          <w:sz w:val="22"/>
          <w:szCs w:val="22"/>
        </w:rPr>
        <w:t>Morrow, W. S.,</w:t>
      </w:r>
      <w:r w:rsidR="001B2642" w:rsidRPr="00B740B4">
        <w:rPr>
          <w:sz w:val="22"/>
          <w:szCs w:val="22"/>
        </w:rPr>
        <w:t xml:space="preserve"> and </w:t>
      </w:r>
      <w:r w:rsidR="001B2642" w:rsidRPr="00B740B4">
        <w:rPr>
          <w:b/>
          <w:sz w:val="22"/>
          <w:szCs w:val="22"/>
        </w:rPr>
        <w:t>Clarke, E. G.</w:t>
      </w:r>
      <w:r w:rsidR="001B2642" w:rsidRPr="00B740B4">
        <w:rPr>
          <w:sz w:val="22"/>
          <w:szCs w:val="22"/>
        </w:rPr>
        <w:t xml:space="preserve"> </w:t>
      </w:r>
      <w:r w:rsidR="00934A11" w:rsidRPr="00B740B4">
        <w:rPr>
          <w:sz w:val="22"/>
          <w:szCs w:val="22"/>
        </w:rPr>
        <w:t>“</w:t>
      </w:r>
      <w:r w:rsidR="001B2642" w:rsidRPr="00B740B4">
        <w:rPr>
          <w:sz w:val="22"/>
          <w:szCs w:val="22"/>
        </w:rPr>
        <w:t xml:space="preserve">The </w:t>
      </w:r>
      <w:r w:rsidR="001B2642" w:rsidRPr="00B740B4">
        <w:rPr>
          <w:i/>
          <w:sz w:val="22"/>
          <w:szCs w:val="22"/>
        </w:rPr>
        <w:t>Ketib/Qere</w:t>
      </w:r>
      <w:r w:rsidR="001B2642" w:rsidRPr="00B740B4">
        <w:rPr>
          <w:sz w:val="22"/>
          <w:szCs w:val="22"/>
        </w:rPr>
        <w:t xml:space="preserve"> in the Aramaic Portions of Ezra and Daniel.</w:t>
      </w:r>
      <w:r w:rsidR="00934A11" w:rsidRPr="00B740B4">
        <w:rPr>
          <w:sz w:val="22"/>
          <w:szCs w:val="22"/>
        </w:rPr>
        <w:t>”</w:t>
      </w:r>
      <w:r w:rsidR="001B2642" w:rsidRPr="00B740B4">
        <w:rPr>
          <w:sz w:val="22"/>
          <w:szCs w:val="22"/>
        </w:rPr>
        <w:t xml:space="preserve"> </w:t>
      </w:r>
      <w:r w:rsidR="00B509EB" w:rsidRPr="00B740B4">
        <w:rPr>
          <w:b/>
          <w:sz w:val="22"/>
          <w:szCs w:val="22"/>
        </w:rPr>
        <w:t xml:space="preserve">Moskowitz, N. </w:t>
      </w:r>
      <w:r w:rsidR="00934A11" w:rsidRPr="00B740B4">
        <w:rPr>
          <w:sz w:val="22"/>
          <w:szCs w:val="22"/>
        </w:rPr>
        <w:t>“</w:t>
      </w:r>
      <w:r w:rsidR="00B509EB" w:rsidRPr="00B740B4">
        <w:rPr>
          <w:sz w:val="22"/>
          <w:szCs w:val="22"/>
        </w:rPr>
        <w:t>The Book of Daniel.</w:t>
      </w:r>
      <w:r w:rsidR="00934A11" w:rsidRPr="00B740B4">
        <w:rPr>
          <w:sz w:val="22"/>
          <w:szCs w:val="22"/>
        </w:rPr>
        <w:t>”</w:t>
      </w:r>
      <w:r w:rsidR="00B509EB" w:rsidRPr="00B740B4">
        <w:rPr>
          <w:sz w:val="22"/>
          <w:szCs w:val="22"/>
        </w:rPr>
        <w:t xml:space="preserve"> </w:t>
      </w:r>
      <w:r w:rsidR="001B2642" w:rsidRPr="00B740B4">
        <w:rPr>
          <w:b/>
          <w:sz w:val="22"/>
          <w:szCs w:val="22"/>
        </w:rPr>
        <w:t>Müller, K.</w:t>
      </w:r>
      <w:r w:rsidR="001B2642" w:rsidRPr="00B740B4">
        <w:rPr>
          <w:sz w:val="22"/>
          <w:szCs w:val="22"/>
        </w:rPr>
        <w:t xml:space="preserve"> </w:t>
      </w:r>
      <w:r w:rsidR="00934A11" w:rsidRPr="00B740B4">
        <w:rPr>
          <w:sz w:val="22"/>
          <w:szCs w:val="22"/>
        </w:rPr>
        <w:t>“</w:t>
      </w:r>
      <w:r w:rsidR="001B2642" w:rsidRPr="00B740B4">
        <w:rPr>
          <w:sz w:val="22"/>
          <w:szCs w:val="22"/>
        </w:rPr>
        <w:t>Beobachtungen zur Entwicklung der Menschensohnvorstellung in den Bilderreden des Henoch und im Buche Daniel.</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Menschensohn und Messias.</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Der Menschensohn im Danielzyklus.</w:t>
      </w:r>
      <w:r w:rsidR="00934A11" w:rsidRPr="00B740B4">
        <w:rPr>
          <w:sz w:val="22"/>
          <w:szCs w:val="22"/>
        </w:rPr>
        <w:t>”</w:t>
      </w:r>
      <w:r w:rsidR="001B2642" w:rsidRPr="00B740B4">
        <w:rPr>
          <w:sz w:val="22"/>
          <w:szCs w:val="22"/>
        </w:rPr>
        <w:t xml:space="preserve"> </w:t>
      </w:r>
      <w:r w:rsidR="00740AB8" w:rsidRPr="00B740B4">
        <w:rPr>
          <w:b/>
          <w:sz w:val="22"/>
          <w:szCs w:val="22"/>
        </w:rPr>
        <w:t>Müller,</w:t>
      </w:r>
      <w:r w:rsidR="00936749" w:rsidRPr="00B740B4">
        <w:rPr>
          <w:b/>
          <w:sz w:val="22"/>
          <w:szCs w:val="22"/>
        </w:rPr>
        <w:t xml:space="preserve"> M. </w:t>
      </w:r>
      <w:r w:rsidR="00936749" w:rsidRPr="00B740B4">
        <w:rPr>
          <w:i/>
          <w:sz w:val="22"/>
          <w:szCs w:val="22"/>
        </w:rPr>
        <w:t xml:space="preserve">The Expression </w:t>
      </w:r>
      <w:r w:rsidR="00934A11" w:rsidRPr="00B740B4">
        <w:rPr>
          <w:i/>
          <w:sz w:val="22"/>
          <w:szCs w:val="22"/>
        </w:rPr>
        <w:t>“</w:t>
      </w:r>
      <w:r w:rsidR="00936749" w:rsidRPr="00B740B4">
        <w:rPr>
          <w:i/>
          <w:sz w:val="22"/>
          <w:szCs w:val="22"/>
        </w:rPr>
        <w:t>Son of Man</w:t>
      </w:r>
      <w:r w:rsidR="00934A11" w:rsidRPr="00B740B4">
        <w:rPr>
          <w:i/>
          <w:sz w:val="22"/>
          <w:szCs w:val="22"/>
        </w:rPr>
        <w:t>”</w:t>
      </w:r>
      <w:r w:rsidR="00936749" w:rsidRPr="00B740B4">
        <w:rPr>
          <w:b/>
          <w:i/>
          <w:sz w:val="22"/>
          <w:szCs w:val="22"/>
        </w:rPr>
        <w:t xml:space="preserve"> </w:t>
      </w:r>
      <w:r w:rsidR="00936749" w:rsidRPr="00B740B4">
        <w:rPr>
          <w:i/>
          <w:sz w:val="22"/>
          <w:szCs w:val="22"/>
        </w:rPr>
        <w:t>and the Development of Christology</w:t>
      </w:r>
      <w:r w:rsidR="00936749" w:rsidRPr="00B740B4">
        <w:rPr>
          <w:sz w:val="22"/>
          <w:szCs w:val="22"/>
        </w:rPr>
        <w:t xml:space="preserve">. </w:t>
      </w:r>
      <w:r w:rsidR="001B2642" w:rsidRPr="00B740B4">
        <w:rPr>
          <w:b/>
          <w:sz w:val="22"/>
          <w:szCs w:val="22"/>
        </w:rPr>
        <w:t>Müller, U. B.</w:t>
      </w:r>
      <w:r w:rsidR="001B2642" w:rsidRPr="00B740B4">
        <w:rPr>
          <w:sz w:val="22"/>
          <w:szCs w:val="22"/>
        </w:rPr>
        <w:t xml:space="preserve"> </w:t>
      </w:r>
      <w:r w:rsidR="001B2642" w:rsidRPr="00B740B4">
        <w:rPr>
          <w:i/>
          <w:sz w:val="22"/>
          <w:szCs w:val="22"/>
        </w:rPr>
        <w:t>Messias und Menschensohn</w:t>
      </w:r>
      <w:r w:rsidR="001B2642" w:rsidRPr="00B740B4">
        <w:rPr>
          <w:sz w:val="22"/>
          <w:szCs w:val="22"/>
        </w:rPr>
        <w:t xml:space="preserve">. </w:t>
      </w:r>
      <w:r w:rsidR="0061505A" w:rsidRPr="00B740B4">
        <w:rPr>
          <w:b/>
          <w:sz w:val="22"/>
          <w:szCs w:val="22"/>
        </w:rPr>
        <w:t>Munnich, O.</w:t>
      </w:r>
      <w:r w:rsidR="0061505A" w:rsidRPr="00B740B4">
        <w:rPr>
          <w:sz w:val="22"/>
          <w:szCs w:val="22"/>
        </w:rPr>
        <w:t xml:space="preserve"> </w:t>
      </w:r>
      <w:r w:rsidR="00934A11" w:rsidRPr="00B740B4">
        <w:rPr>
          <w:sz w:val="22"/>
          <w:szCs w:val="22"/>
        </w:rPr>
        <w:t>“</w:t>
      </w:r>
      <w:r w:rsidR="0061505A" w:rsidRPr="00B740B4">
        <w:rPr>
          <w:sz w:val="22"/>
          <w:szCs w:val="22"/>
        </w:rPr>
        <w:t>Les versions grecques de Daniel et leurs substrats sémitiques.</w:t>
      </w:r>
      <w:r w:rsidR="00934A11" w:rsidRPr="00B740B4">
        <w:rPr>
          <w:sz w:val="22"/>
          <w:szCs w:val="22"/>
        </w:rPr>
        <w:t>”</w:t>
      </w:r>
      <w:r w:rsidR="0061505A" w:rsidRPr="00B740B4">
        <w:rPr>
          <w:sz w:val="22"/>
          <w:szCs w:val="22"/>
        </w:rPr>
        <w:t xml:space="preserve"> </w:t>
      </w:r>
      <w:r w:rsidR="00B74B12" w:rsidRPr="00B740B4">
        <w:rPr>
          <w:b/>
          <w:sz w:val="22"/>
          <w:szCs w:val="22"/>
        </w:rPr>
        <w:t xml:space="preserve">Munoa III, P. B. </w:t>
      </w:r>
      <w:r w:rsidR="00B74B12" w:rsidRPr="00B740B4">
        <w:rPr>
          <w:i/>
          <w:sz w:val="22"/>
          <w:szCs w:val="22"/>
        </w:rPr>
        <w:t>Four Powers in Heaven.</w:t>
      </w:r>
      <w:r w:rsidR="00B74B12" w:rsidRPr="00B740B4">
        <w:rPr>
          <w:sz w:val="22"/>
          <w:szCs w:val="22"/>
        </w:rPr>
        <w:t xml:space="preserve"> </w:t>
      </w:r>
      <w:r w:rsidR="001B2642" w:rsidRPr="00B740B4">
        <w:rPr>
          <w:b/>
          <w:sz w:val="22"/>
          <w:szCs w:val="22"/>
        </w:rPr>
        <w:t>Murray, I.</w:t>
      </w:r>
      <w:r w:rsidR="001B2642" w:rsidRPr="00B740B4">
        <w:rPr>
          <w:sz w:val="22"/>
          <w:szCs w:val="22"/>
        </w:rPr>
        <w:t xml:space="preserve"> </w:t>
      </w:r>
      <w:r w:rsidR="001B2642" w:rsidRPr="00B740B4">
        <w:rPr>
          <w:i/>
          <w:sz w:val="22"/>
          <w:szCs w:val="22"/>
        </w:rPr>
        <w:t>The Puritan Hope</w:t>
      </w:r>
      <w:r w:rsidR="001B2642" w:rsidRPr="00B740B4">
        <w:rPr>
          <w:sz w:val="22"/>
          <w:szCs w:val="22"/>
        </w:rPr>
        <w:t xml:space="preserve">. </w:t>
      </w:r>
      <w:r w:rsidR="00647797" w:rsidRPr="00B740B4">
        <w:rPr>
          <w:b/>
          <w:sz w:val="22"/>
          <w:szCs w:val="22"/>
        </w:rPr>
        <w:t xml:space="preserve">Oegema, G. S. </w:t>
      </w:r>
      <w:r w:rsidR="00934A11" w:rsidRPr="00B740B4">
        <w:rPr>
          <w:b/>
          <w:sz w:val="22"/>
          <w:szCs w:val="22"/>
        </w:rPr>
        <w:t>“</w:t>
      </w:r>
      <w:r w:rsidR="00647797" w:rsidRPr="00B740B4">
        <w:rPr>
          <w:sz w:val="22"/>
          <w:szCs w:val="22"/>
        </w:rPr>
        <w:t xml:space="preserve">Back to the Future in the Early Church: The Use of </w:t>
      </w:r>
      <w:r w:rsidR="00647797" w:rsidRPr="00B740B4">
        <w:rPr>
          <w:sz w:val="22"/>
          <w:szCs w:val="22"/>
        </w:rPr>
        <w:lastRenderedPageBreak/>
        <w:t>the Book of Daniel in Early Patristic Eschatology.</w:t>
      </w:r>
      <w:r w:rsidR="00934A11" w:rsidRPr="00B740B4">
        <w:rPr>
          <w:sz w:val="22"/>
          <w:szCs w:val="22"/>
        </w:rPr>
        <w:t>”</w:t>
      </w:r>
      <w:r w:rsidR="00647797" w:rsidRPr="00B740B4">
        <w:rPr>
          <w:sz w:val="22"/>
          <w:szCs w:val="22"/>
        </w:rPr>
        <w:t xml:space="preserve"> </w:t>
      </w:r>
      <w:r w:rsidR="003503B8" w:rsidRPr="00B740B4">
        <w:rPr>
          <w:sz w:val="22"/>
          <w:szCs w:val="22"/>
        </w:rPr>
        <w:t xml:space="preserve">———. </w:t>
      </w:r>
      <w:r w:rsidR="00934A11" w:rsidRPr="00B740B4">
        <w:rPr>
          <w:sz w:val="22"/>
          <w:szCs w:val="22"/>
        </w:rPr>
        <w:t>“</w:t>
      </w:r>
      <w:r w:rsidR="00806626" w:rsidRPr="00B740B4">
        <w:rPr>
          <w:sz w:val="22"/>
          <w:szCs w:val="22"/>
        </w:rPr>
        <w:t>Die Dani</w:t>
      </w:r>
      <w:r w:rsidR="00412F70" w:rsidRPr="00B740B4">
        <w:rPr>
          <w:sz w:val="22"/>
          <w:szCs w:val="22"/>
        </w:rPr>
        <w:t>elrezeption in der Alten Kirche,</w:t>
      </w:r>
      <w:r w:rsidR="00934A11" w:rsidRPr="00B740B4">
        <w:rPr>
          <w:sz w:val="22"/>
          <w:szCs w:val="22"/>
        </w:rPr>
        <w:t>”</w:t>
      </w:r>
      <w:r w:rsidR="00573146" w:rsidRPr="00B740B4">
        <w:rPr>
          <w:sz w:val="22"/>
          <w:szCs w:val="22"/>
        </w:rPr>
        <w:t xml:space="preserve"> i</w:t>
      </w:r>
      <w:r w:rsidR="00573146" w:rsidRPr="00B740B4">
        <w:rPr>
          <w:bCs/>
          <w:sz w:val="22"/>
          <w:szCs w:val="22"/>
        </w:rPr>
        <w:t xml:space="preserve">n </w:t>
      </w:r>
      <w:r w:rsidR="00381CF4" w:rsidRPr="00B740B4">
        <w:rPr>
          <w:bCs/>
          <w:sz w:val="22"/>
          <w:szCs w:val="22"/>
        </w:rPr>
        <w:t>Delgado/Koch/Marsch</w:t>
      </w:r>
      <w:r w:rsidR="00573146" w:rsidRPr="00B740B4">
        <w:rPr>
          <w:bCs/>
          <w:sz w:val="22"/>
          <w:szCs w:val="22"/>
        </w:rPr>
        <w:t xml:space="preserve"> (eds.)</w:t>
      </w:r>
      <w:r w:rsidR="00A57608" w:rsidRPr="00B740B4">
        <w:rPr>
          <w:bCs/>
          <w:sz w:val="22"/>
          <w:szCs w:val="22"/>
        </w:rPr>
        <w:t>,</w:t>
      </w:r>
      <w:r w:rsidR="00573146" w:rsidRPr="00B740B4">
        <w:rPr>
          <w:bCs/>
          <w:sz w:val="22"/>
          <w:szCs w:val="22"/>
        </w:rPr>
        <w:t xml:space="preserve"> </w:t>
      </w:r>
      <w:r w:rsidR="00573146" w:rsidRPr="00B740B4">
        <w:rPr>
          <w:bCs/>
          <w:i/>
          <w:sz w:val="22"/>
          <w:szCs w:val="22"/>
        </w:rPr>
        <w:t>Europa, Tausendjähriges Reich und Neue Welt</w:t>
      </w:r>
      <w:r w:rsidR="00573146" w:rsidRPr="00B740B4">
        <w:rPr>
          <w:bCs/>
          <w:sz w:val="22"/>
          <w:szCs w:val="22"/>
        </w:rPr>
        <w:t xml:space="preserve">, 84-104. </w:t>
      </w:r>
      <w:r w:rsidR="001B2642" w:rsidRPr="00B740B4">
        <w:rPr>
          <w:b/>
          <w:sz w:val="22"/>
          <w:szCs w:val="22"/>
        </w:rPr>
        <w:t>Oliver, W. H.</w:t>
      </w:r>
      <w:r w:rsidR="001B2642" w:rsidRPr="00B740B4">
        <w:rPr>
          <w:sz w:val="22"/>
          <w:szCs w:val="22"/>
        </w:rPr>
        <w:t xml:space="preserve"> </w:t>
      </w:r>
      <w:r w:rsidR="001B2642" w:rsidRPr="00B740B4">
        <w:rPr>
          <w:i/>
          <w:sz w:val="22"/>
          <w:szCs w:val="22"/>
        </w:rPr>
        <w:t>Prophets and Millennialists</w:t>
      </w:r>
      <w:r w:rsidR="001B2642" w:rsidRPr="00B740B4">
        <w:rPr>
          <w:b/>
          <w:sz w:val="22"/>
          <w:szCs w:val="22"/>
        </w:rPr>
        <w:t>. Orchard, J. B.</w:t>
      </w:r>
      <w:r w:rsidR="001B2642" w:rsidRPr="00B740B4">
        <w:rPr>
          <w:sz w:val="22"/>
          <w:szCs w:val="22"/>
        </w:rPr>
        <w:t xml:space="preserve"> </w:t>
      </w:r>
      <w:r w:rsidR="00934A11" w:rsidRPr="00B740B4">
        <w:rPr>
          <w:sz w:val="22"/>
          <w:szCs w:val="22"/>
        </w:rPr>
        <w:t>“</w:t>
      </w:r>
      <w:r w:rsidR="001B2642" w:rsidRPr="00B740B4">
        <w:rPr>
          <w:sz w:val="22"/>
          <w:szCs w:val="22"/>
        </w:rPr>
        <w:t>St Paul and the Book of Daniel.</w:t>
      </w:r>
      <w:r w:rsidR="00934A11" w:rsidRPr="00B740B4">
        <w:rPr>
          <w:sz w:val="22"/>
          <w:szCs w:val="22"/>
        </w:rPr>
        <w:t>”</w:t>
      </w:r>
      <w:r w:rsidR="001B2642" w:rsidRPr="00B740B4">
        <w:rPr>
          <w:sz w:val="22"/>
          <w:szCs w:val="22"/>
        </w:rPr>
        <w:t xml:space="preserve"> </w:t>
      </w:r>
      <w:r w:rsidR="001B2642" w:rsidRPr="00B740B4">
        <w:rPr>
          <w:b/>
          <w:sz w:val="22"/>
          <w:szCs w:val="22"/>
        </w:rPr>
        <w:t>Pace, S.</w:t>
      </w:r>
      <w:r w:rsidR="001B2642" w:rsidRPr="00B740B4">
        <w:rPr>
          <w:sz w:val="22"/>
          <w:szCs w:val="22"/>
        </w:rPr>
        <w:t xml:space="preserve"> </w:t>
      </w:r>
      <w:r w:rsidR="001B2642" w:rsidRPr="00B740B4">
        <w:rPr>
          <w:i/>
          <w:sz w:val="22"/>
          <w:szCs w:val="22"/>
        </w:rPr>
        <w:t>The Old Greek Text of Daniel 7–12</w:t>
      </w:r>
      <w:r w:rsidR="001B2642" w:rsidRPr="00B740B4">
        <w:rPr>
          <w:sz w:val="22"/>
          <w:szCs w:val="22"/>
        </w:rPr>
        <w:t xml:space="preserve">. ———. </w:t>
      </w:r>
      <w:r w:rsidR="00934A11" w:rsidRPr="00B740B4">
        <w:rPr>
          <w:sz w:val="22"/>
          <w:szCs w:val="22"/>
        </w:rPr>
        <w:t>“</w:t>
      </w:r>
      <w:r w:rsidR="001B2642" w:rsidRPr="00B740B4">
        <w:rPr>
          <w:sz w:val="22"/>
          <w:szCs w:val="22"/>
        </w:rPr>
        <w:t xml:space="preserve">The Stratigraphy of the Text of </w:t>
      </w:r>
      <w:r w:rsidR="001B2642" w:rsidRPr="00B740B4">
        <w:rPr>
          <w:i/>
          <w:sz w:val="22"/>
          <w:szCs w:val="22"/>
        </w:rPr>
        <w:t>Daniel</w:t>
      </w:r>
      <w:r w:rsidR="001B2642" w:rsidRPr="00B740B4">
        <w:rPr>
          <w:sz w:val="22"/>
          <w:szCs w:val="22"/>
        </w:rPr>
        <w:t xml:space="preserve"> and the Question of Theological </w:t>
      </w:r>
      <w:r w:rsidR="001B2642" w:rsidRPr="00B740B4">
        <w:rPr>
          <w:i/>
          <w:sz w:val="22"/>
          <w:szCs w:val="22"/>
        </w:rPr>
        <w:t>Tendenz</w:t>
      </w:r>
      <w:r w:rsidR="001B2642" w:rsidRPr="00B740B4">
        <w:rPr>
          <w:sz w:val="22"/>
          <w:szCs w:val="22"/>
        </w:rPr>
        <w:t xml:space="preserve"> in the Old Greek.</w:t>
      </w:r>
      <w:r w:rsidR="00934A11" w:rsidRPr="00B740B4">
        <w:rPr>
          <w:sz w:val="22"/>
          <w:szCs w:val="22"/>
        </w:rPr>
        <w:t>”</w:t>
      </w:r>
      <w:r w:rsidR="001B2642" w:rsidRPr="00B740B4">
        <w:rPr>
          <w:sz w:val="22"/>
          <w:szCs w:val="22"/>
        </w:rPr>
        <w:t xml:space="preserve"> </w:t>
      </w:r>
      <w:r w:rsidR="00893314" w:rsidRPr="00B740B4">
        <w:rPr>
          <w:b/>
          <w:sz w:val="22"/>
          <w:szCs w:val="22"/>
        </w:rPr>
        <w:t xml:space="preserve">Padley, J. </w:t>
      </w:r>
      <w:r w:rsidR="00934A11" w:rsidRPr="00B740B4">
        <w:rPr>
          <w:sz w:val="22"/>
          <w:szCs w:val="22"/>
        </w:rPr>
        <w:t>“</w:t>
      </w:r>
      <w:r w:rsidR="00893314" w:rsidRPr="00B740B4">
        <w:rPr>
          <w:sz w:val="22"/>
          <w:szCs w:val="22"/>
        </w:rPr>
        <w:t>‘Declare the Interpretation.’</w:t>
      </w:r>
      <w:r w:rsidR="00934A11" w:rsidRPr="00B740B4">
        <w:rPr>
          <w:sz w:val="22"/>
          <w:szCs w:val="22"/>
        </w:rPr>
        <w:t>”</w:t>
      </w:r>
      <w:r w:rsidR="00893314" w:rsidRPr="00B740B4">
        <w:rPr>
          <w:sz w:val="22"/>
          <w:szCs w:val="22"/>
        </w:rPr>
        <w:t xml:space="preserve"> </w:t>
      </w:r>
      <w:r w:rsidR="000234D9" w:rsidRPr="00B740B4">
        <w:rPr>
          <w:b/>
          <w:sz w:val="22"/>
          <w:szCs w:val="22"/>
        </w:rPr>
        <w:t xml:space="preserve">Paget, J. C. </w:t>
      </w:r>
      <w:r w:rsidR="00405293">
        <w:rPr>
          <w:sz w:val="22"/>
          <w:szCs w:val="22"/>
        </w:rPr>
        <w:t>et al. (eds.).</w:t>
      </w:r>
      <w:r w:rsidR="000234D9" w:rsidRPr="00405293">
        <w:rPr>
          <w:i/>
          <w:sz w:val="22"/>
          <w:szCs w:val="22"/>
        </w:rPr>
        <w:t xml:space="preserve"> </w:t>
      </w:r>
      <w:r w:rsidR="000234D9" w:rsidRPr="00B740B4">
        <w:rPr>
          <w:i/>
          <w:sz w:val="22"/>
          <w:szCs w:val="22"/>
        </w:rPr>
        <w:t>The New Cambridge History of the Bible.</w:t>
      </w:r>
      <w:r w:rsidR="000234D9" w:rsidRPr="00B740B4">
        <w:rPr>
          <w:b/>
          <w:sz w:val="22"/>
          <w:szCs w:val="22"/>
        </w:rPr>
        <w:t xml:space="preserve"> </w:t>
      </w:r>
      <w:r w:rsidR="002A4521" w:rsidRPr="00B740B4">
        <w:rPr>
          <w:b/>
          <w:sz w:val="22"/>
          <w:szCs w:val="22"/>
        </w:rPr>
        <w:t xml:space="preserve">Parry, J. T. </w:t>
      </w:r>
      <w:r w:rsidR="00934A11" w:rsidRPr="00B740B4">
        <w:rPr>
          <w:sz w:val="22"/>
          <w:szCs w:val="22"/>
        </w:rPr>
        <w:t>“</w:t>
      </w:r>
      <w:r w:rsidR="002A4521" w:rsidRPr="00B740B4">
        <w:rPr>
          <w:sz w:val="22"/>
          <w:szCs w:val="22"/>
        </w:rPr>
        <w:t>Desolation of the Temple and Messianic Enthronement in Daniel 11:36—12:3.</w:t>
      </w:r>
      <w:r w:rsidR="00934A11" w:rsidRPr="00B740B4">
        <w:rPr>
          <w:sz w:val="22"/>
          <w:szCs w:val="22"/>
        </w:rPr>
        <w:t>”</w:t>
      </w:r>
      <w:r w:rsidR="002A4521" w:rsidRPr="00B740B4">
        <w:rPr>
          <w:sz w:val="22"/>
          <w:szCs w:val="22"/>
        </w:rPr>
        <w:t xml:space="preserve"> </w:t>
      </w:r>
      <w:r w:rsidR="00DB53F7" w:rsidRPr="00405293">
        <w:rPr>
          <w:rFonts w:eastAsia="Times-Roman" w:cs="Times-Roman"/>
          <w:b/>
          <w:sz w:val="22"/>
          <w:szCs w:val="22"/>
        </w:rPr>
        <w:t>Paulien, J</w:t>
      </w:r>
      <w:r w:rsidR="00DB53F7" w:rsidRPr="00405293">
        <w:rPr>
          <w:rFonts w:eastAsia="Times-Roman" w:cs="Times-Roman"/>
          <w:sz w:val="22"/>
          <w:szCs w:val="22"/>
        </w:rPr>
        <w:t>. “The End of Historicism?”</w:t>
      </w:r>
      <w:r w:rsidR="00DB53F7" w:rsidRPr="00B740B4">
        <w:rPr>
          <w:rFonts w:eastAsia="Times-Roman" w:cs="Times-Roman"/>
          <w:szCs w:val="22"/>
        </w:rPr>
        <w:t xml:space="preserve"> </w:t>
      </w:r>
      <w:r w:rsidR="001B2642" w:rsidRPr="00B740B4">
        <w:rPr>
          <w:b/>
          <w:sz w:val="22"/>
          <w:szCs w:val="22"/>
        </w:rPr>
        <w:t>Perrin, N.</w:t>
      </w:r>
      <w:r w:rsidR="001B2642" w:rsidRPr="00B740B4">
        <w:rPr>
          <w:sz w:val="22"/>
          <w:szCs w:val="22"/>
        </w:rPr>
        <w:t xml:space="preserve"> </w:t>
      </w:r>
      <w:r w:rsidR="00934A11" w:rsidRPr="00B740B4">
        <w:rPr>
          <w:sz w:val="22"/>
          <w:szCs w:val="22"/>
        </w:rPr>
        <w:t>“</w:t>
      </w:r>
      <w:r w:rsidR="001B2642" w:rsidRPr="00B740B4">
        <w:rPr>
          <w:sz w:val="22"/>
          <w:szCs w:val="22"/>
        </w:rPr>
        <w:t>The Son of Man in Ancient Judaism and Primitive Christianity.</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The Interpretation of a Biblical Symbol.</w:t>
      </w:r>
      <w:r w:rsidR="00934A11" w:rsidRPr="00B740B4">
        <w:rPr>
          <w:sz w:val="22"/>
          <w:szCs w:val="22"/>
        </w:rPr>
        <w:t>”</w:t>
      </w:r>
      <w:r w:rsidR="001B2642" w:rsidRPr="00B740B4">
        <w:rPr>
          <w:sz w:val="22"/>
          <w:szCs w:val="22"/>
        </w:rPr>
        <w:t xml:space="preserve"> </w:t>
      </w:r>
      <w:r w:rsidR="008E7EC2" w:rsidRPr="00B740B4">
        <w:rPr>
          <w:b/>
          <w:sz w:val="22"/>
          <w:szCs w:val="22"/>
        </w:rPr>
        <w:t>Peursen, W</w:t>
      </w:r>
      <w:r w:rsidR="00F50664" w:rsidRPr="00B740B4">
        <w:rPr>
          <w:b/>
          <w:sz w:val="22"/>
          <w:szCs w:val="22"/>
        </w:rPr>
        <w:t>. van</w:t>
      </w:r>
      <w:r w:rsidR="008E7EC2" w:rsidRPr="00B740B4">
        <w:rPr>
          <w:b/>
          <w:sz w:val="22"/>
          <w:szCs w:val="22"/>
        </w:rPr>
        <w:t xml:space="preserve">. </w:t>
      </w:r>
      <w:r w:rsidR="00934A11" w:rsidRPr="00B740B4">
        <w:rPr>
          <w:sz w:val="22"/>
          <w:szCs w:val="22"/>
        </w:rPr>
        <w:t>“</w:t>
      </w:r>
      <w:r w:rsidR="008E7EC2" w:rsidRPr="00B740B4">
        <w:rPr>
          <w:sz w:val="22"/>
          <w:szCs w:val="22"/>
        </w:rPr>
        <w:t>Daniel’s Four Kingdoms in the Syriac Tradition.</w:t>
      </w:r>
      <w:r w:rsidR="00934A11" w:rsidRPr="00B740B4">
        <w:rPr>
          <w:sz w:val="22"/>
          <w:szCs w:val="22"/>
        </w:rPr>
        <w:t>”</w:t>
      </w:r>
      <w:r w:rsidR="008E7EC2" w:rsidRPr="00B740B4">
        <w:rPr>
          <w:sz w:val="22"/>
          <w:szCs w:val="22"/>
        </w:rPr>
        <w:t xml:space="preserve"> </w:t>
      </w:r>
      <w:r w:rsidR="00BA50EA" w:rsidRPr="00B740B4">
        <w:rPr>
          <w:rFonts w:eastAsia="Times-Roman"/>
          <w:b/>
          <w:sz w:val="22"/>
          <w:szCs w:val="22"/>
        </w:rPr>
        <w:t>Pfandl</w:t>
      </w:r>
      <w:r w:rsidR="00BA50EA" w:rsidRPr="00B740B4">
        <w:rPr>
          <w:rFonts w:eastAsia="Times-Roman"/>
          <w:b/>
          <w:i/>
          <w:sz w:val="22"/>
          <w:szCs w:val="22"/>
        </w:rPr>
        <w:t xml:space="preserve">. </w:t>
      </w:r>
      <w:r w:rsidR="00BA50EA" w:rsidRPr="00B740B4">
        <w:rPr>
          <w:rFonts w:eastAsia="Times-Roman"/>
          <w:b/>
          <w:sz w:val="22"/>
          <w:szCs w:val="22"/>
        </w:rPr>
        <w:t>G</w:t>
      </w:r>
      <w:r w:rsidR="00BA50EA" w:rsidRPr="00B740B4">
        <w:rPr>
          <w:rFonts w:eastAsia="Times-Roman"/>
          <w:b/>
          <w:i/>
          <w:sz w:val="22"/>
          <w:szCs w:val="22"/>
        </w:rPr>
        <w:t xml:space="preserve">. </w:t>
      </w:r>
      <w:r w:rsidR="00BA50EA" w:rsidRPr="00B740B4">
        <w:rPr>
          <w:rFonts w:eastAsiaTheme="minorHAnsi" w:cs="TimesNewRoman"/>
          <w:sz w:val="22"/>
          <w:szCs w:val="22"/>
        </w:rPr>
        <w:t>“Interpretations of the Kingdom of God in Daniel 2:44.</w:t>
      </w:r>
      <w:r w:rsidR="00405293">
        <w:rPr>
          <w:rFonts w:eastAsiaTheme="minorHAnsi" w:cs="TimesNewRoman"/>
          <w:sz w:val="22"/>
          <w:szCs w:val="22"/>
        </w:rPr>
        <w:t>”</w:t>
      </w:r>
      <w:r w:rsidR="00BA50EA" w:rsidRPr="00B740B4">
        <w:rPr>
          <w:sz w:val="22"/>
          <w:szCs w:val="22"/>
        </w:rPr>
        <w:t xml:space="preserve"> </w:t>
      </w:r>
      <w:r w:rsidR="008671DA" w:rsidRPr="00B740B4">
        <w:rPr>
          <w:rFonts w:eastAsia="Times-Roman"/>
          <w:b/>
          <w:sz w:val="22"/>
          <w:szCs w:val="22"/>
        </w:rPr>
        <w:t xml:space="preserve">Pfann, S. </w:t>
      </w:r>
      <w:r w:rsidR="008671DA" w:rsidRPr="00B740B4">
        <w:rPr>
          <w:sz w:val="22"/>
          <w:szCs w:val="22"/>
        </w:rPr>
        <w:t>"The Aramaic Text and Language of Daniel and Ezra in the Light of Some Manuscripts from Qumran.”</w:t>
      </w:r>
      <w:r w:rsidR="008671DA" w:rsidRPr="00B740B4">
        <w:rPr>
          <w:rFonts w:eastAsia="Times-Roman"/>
          <w:i/>
          <w:sz w:val="22"/>
          <w:szCs w:val="22"/>
        </w:rPr>
        <w:t xml:space="preserve"> </w:t>
      </w:r>
      <w:r w:rsidR="00852086" w:rsidRPr="00B740B4">
        <w:rPr>
          <w:b/>
          <w:sz w:val="22"/>
          <w:szCs w:val="22"/>
        </w:rPr>
        <w:t>Pitkin, B.</w:t>
      </w:r>
      <w:r w:rsidR="00852086" w:rsidRPr="00B740B4">
        <w:rPr>
          <w:sz w:val="22"/>
          <w:szCs w:val="22"/>
        </w:rPr>
        <w:t xml:space="preserve"> </w:t>
      </w:r>
      <w:r w:rsidR="00934A11" w:rsidRPr="00B740B4">
        <w:rPr>
          <w:sz w:val="22"/>
          <w:szCs w:val="22"/>
        </w:rPr>
        <w:t>“</w:t>
      </w:r>
      <w:r w:rsidR="00852086" w:rsidRPr="00B740B4">
        <w:rPr>
          <w:sz w:val="22"/>
          <w:szCs w:val="22"/>
        </w:rPr>
        <w:t>Prophecy and History in</w:t>
      </w:r>
      <w:r w:rsidR="003B625C" w:rsidRPr="00B740B4">
        <w:rPr>
          <w:sz w:val="22"/>
          <w:szCs w:val="22"/>
        </w:rPr>
        <w:t xml:space="preserve"> Calvin’s Lectures on Daniel</w:t>
      </w:r>
      <w:r w:rsidR="00852086" w:rsidRPr="00B740B4">
        <w:rPr>
          <w:sz w:val="22"/>
          <w:szCs w:val="22"/>
        </w:rPr>
        <w:t>,</w:t>
      </w:r>
      <w:r w:rsidR="00934A11" w:rsidRPr="00B740B4">
        <w:rPr>
          <w:sz w:val="22"/>
          <w:szCs w:val="22"/>
        </w:rPr>
        <w:t>”</w:t>
      </w:r>
      <w:r w:rsidR="00852086" w:rsidRPr="00B740B4">
        <w:rPr>
          <w:sz w:val="22"/>
          <w:szCs w:val="22"/>
        </w:rPr>
        <w:t xml:space="preserve"> in </w:t>
      </w:r>
      <w:r w:rsidR="00852086" w:rsidRPr="00B740B4">
        <w:rPr>
          <w:bCs/>
          <w:sz w:val="22"/>
          <w:szCs w:val="22"/>
        </w:rPr>
        <w:t>Bracht/du Toit</w:t>
      </w:r>
      <w:r w:rsidR="00852086" w:rsidRPr="00B740B4">
        <w:rPr>
          <w:bCs/>
          <w:i/>
          <w:iCs/>
          <w:sz w:val="22"/>
          <w:szCs w:val="22"/>
        </w:rPr>
        <w:t xml:space="preserve"> </w:t>
      </w:r>
      <w:r w:rsidR="00852086" w:rsidRPr="00B740B4">
        <w:rPr>
          <w:bCs/>
          <w:iCs/>
          <w:sz w:val="22"/>
          <w:szCs w:val="22"/>
        </w:rPr>
        <w:t xml:space="preserve">(eds.), </w:t>
      </w:r>
      <w:r w:rsidR="00852086" w:rsidRPr="00B740B4">
        <w:rPr>
          <w:bCs/>
          <w:i/>
          <w:iCs/>
          <w:sz w:val="22"/>
          <w:szCs w:val="22"/>
        </w:rPr>
        <w:t>Die Ge</w:t>
      </w:r>
      <w:r w:rsidR="008C0493" w:rsidRPr="00B740B4">
        <w:rPr>
          <w:bCs/>
          <w:i/>
          <w:iCs/>
          <w:sz w:val="22"/>
          <w:szCs w:val="22"/>
        </w:rPr>
        <w:t>schichte der Daniel-Auslegung</w:t>
      </w:r>
      <w:r w:rsidR="00852086" w:rsidRPr="00B740B4">
        <w:rPr>
          <w:bCs/>
          <w:iCs/>
          <w:sz w:val="22"/>
          <w:szCs w:val="22"/>
        </w:rPr>
        <w:t>, 324-47.</w:t>
      </w:r>
      <w:r w:rsidR="00852086" w:rsidRPr="00B740B4">
        <w:rPr>
          <w:sz w:val="22"/>
          <w:szCs w:val="22"/>
        </w:rPr>
        <w:t xml:space="preserve"> </w:t>
      </w:r>
      <w:r w:rsidR="007C6434" w:rsidRPr="00B740B4">
        <w:rPr>
          <w:b/>
          <w:sz w:val="22"/>
          <w:szCs w:val="22"/>
        </w:rPr>
        <w:t>Polak, F. H.</w:t>
      </w:r>
      <w:r w:rsidR="007C6434" w:rsidRPr="00B740B4">
        <w:rPr>
          <w:sz w:val="22"/>
          <w:szCs w:val="22"/>
        </w:rPr>
        <w:t xml:space="preserve"> </w:t>
      </w:r>
      <w:r w:rsidR="007C6434" w:rsidRPr="00B740B4">
        <w:rPr>
          <w:b/>
          <w:sz w:val="22"/>
          <w:szCs w:val="22"/>
        </w:rPr>
        <w:t>“</w:t>
      </w:r>
      <w:r w:rsidR="007C6434" w:rsidRPr="00B740B4">
        <w:rPr>
          <w:sz w:val="22"/>
          <w:szCs w:val="22"/>
        </w:rPr>
        <w:t>The Daniel Tales in their Aramaic Literary Milieu,” in van der Woude (ed.),</w:t>
      </w:r>
      <w:r w:rsidR="007C6434" w:rsidRPr="00B740B4">
        <w:rPr>
          <w:i/>
          <w:sz w:val="22"/>
          <w:szCs w:val="22"/>
        </w:rPr>
        <w:t xml:space="preserve"> The Book of Daniel</w:t>
      </w:r>
      <w:r w:rsidR="007C6434" w:rsidRPr="00B740B4">
        <w:rPr>
          <w:sz w:val="22"/>
          <w:szCs w:val="22"/>
        </w:rPr>
        <w:t xml:space="preserve">,  249-265. </w:t>
      </w:r>
      <w:r w:rsidR="00796A9C" w:rsidRPr="00B740B4">
        <w:rPr>
          <w:b/>
          <w:sz w:val="22"/>
          <w:szCs w:val="22"/>
        </w:rPr>
        <w:t xml:space="preserve">Portnoy, P. </w:t>
      </w:r>
      <w:r w:rsidR="00934A11" w:rsidRPr="00B740B4">
        <w:rPr>
          <w:sz w:val="22"/>
          <w:szCs w:val="22"/>
        </w:rPr>
        <w:t>“</w:t>
      </w:r>
      <w:r w:rsidR="00796A9C" w:rsidRPr="00B740B4">
        <w:rPr>
          <w:i/>
          <w:sz w:val="22"/>
          <w:szCs w:val="22"/>
        </w:rPr>
        <w:t xml:space="preserve">Daniel </w:t>
      </w:r>
      <w:r w:rsidR="00796A9C" w:rsidRPr="00B740B4">
        <w:rPr>
          <w:sz w:val="22"/>
          <w:szCs w:val="22"/>
        </w:rPr>
        <w:t>and the Dew-Laden Wind.</w:t>
      </w:r>
      <w:r w:rsidR="00934A11" w:rsidRPr="00B740B4">
        <w:rPr>
          <w:sz w:val="22"/>
          <w:szCs w:val="22"/>
        </w:rPr>
        <w:t>”</w:t>
      </w:r>
      <w:r w:rsidR="00796A9C" w:rsidRPr="00B740B4">
        <w:rPr>
          <w:sz w:val="22"/>
          <w:szCs w:val="22"/>
        </w:rPr>
        <w:t xml:space="preserve"> </w:t>
      </w:r>
      <w:r w:rsidR="001B2642" w:rsidRPr="00B740B4">
        <w:rPr>
          <w:b/>
          <w:sz w:val="22"/>
          <w:szCs w:val="22"/>
        </w:rPr>
        <w:t>Prete, S.</w:t>
      </w:r>
      <w:r w:rsidR="001B2642" w:rsidRPr="00B740B4">
        <w:rPr>
          <w:sz w:val="22"/>
          <w:szCs w:val="22"/>
        </w:rPr>
        <w:t xml:space="preserve"> </w:t>
      </w:r>
      <w:r w:rsidR="00934A11" w:rsidRPr="00B740B4">
        <w:rPr>
          <w:sz w:val="22"/>
          <w:szCs w:val="22"/>
        </w:rPr>
        <w:t>“</w:t>
      </w:r>
      <w:r w:rsidR="001B2642" w:rsidRPr="00B740B4">
        <w:rPr>
          <w:sz w:val="22"/>
          <w:szCs w:val="22"/>
        </w:rPr>
        <w:t>Declino e corrompimento morale nella escatologia occidentale: Nota alle interpretazioni su Dan. 2, 31; 7, 3 di Ippolito e Girolamo.</w:t>
      </w:r>
      <w:r w:rsidR="00934A11" w:rsidRPr="00B740B4">
        <w:rPr>
          <w:sz w:val="22"/>
          <w:szCs w:val="22"/>
        </w:rPr>
        <w:t>”</w:t>
      </w:r>
      <w:r w:rsidR="001B2642" w:rsidRPr="00B740B4">
        <w:rPr>
          <w:sz w:val="22"/>
          <w:szCs w:val="22"/>
        </w:rPr>
        <w:t xml:space="preserve"> </w:t>
      </w:r>
      <w:r w:rsidR="001B2642" w:rsidRPr="00B740B4">
        <w:rPr>
          <w:b/>
          <w:sz w:val="22"/>
          <w:szCs w:val="22"/>
        </w:rPr>
        <w:t>Procksch, O.</w:t>
      </w:r>
      <w:r w:rsidR="001B2642" w:rsidRPr="00B740B4">
        <w:rPr>
          <w:sz w:val="22"/>
          <w:szCs w:val="22"/>
        </w:rPr>
        <w:t xml:space="preserve"> </w:t>
      </w:r>
      <w:r w:rsidR="00934A11" w:rsidRPr="00B740B4">
        <w:rPr>
          <w:sz w:val="22"/>
          <w:szCs w:val="22"/>
        </w:rPr>
        <w:t>“</w:t>
      </w:r>
      <w:r w:rsidR="001B2642" w:rsidRPr="00B740B4">
        <w:rPr>
          <w:sz w:val="22"/>
          <w:szCs w:val="22"/>
        </w:rPr>
        <w:t>Tetraplarische Studien.</w:t>
      </w:r>
      <w:r w:rsidR="00934A11" w:rsidRPr="00B740B4">
        <w:rPr>
          <w:sz w:val="22"/>
          <w:szCs w:val="22"/>
        </w:rPr>
        <w:t>”</w:t>
      </w:r>
      <w:r w:rsidR="001B2642" w:rsidRPr="00B740B4">
        <w:rPr>
          <w:sz w:val="22"/>
          <w:szCs w:val="22"/>
        </w:rPr>
        <w:t xml:space="preserve"> </w:t>
      </w:r>
      <w:r w:rsidR="009F603F" w:rsidRPr="00B740B4">
        <w:rPr>
          <w:b/>
          <w:sz w:val="22"/>
          <w:szCs w:val="22"/>
        </w:rPr>
        <w:t>Puech, É.</w:t>
      </w:r>
      <w:r w:rsidR="009F603F" w:rsidRPr="00B740B4">
        <w:rPr>
          <w:sz w:val="22"/>
          <w:szCs w:val="22"/>
        </w:rPr>
        <w:t xml:space="preserve"> </w:t>
      </w:r>
      <w:hyperlink r:id="rId11" w:tgtFrame="parent" w:history="1">
        <w:r w:rsidR="009F603F" w:rsidRPr="00B740B4">
          <w:rPr>
            <w:rStyle w:val="Hyperlink"/>
            <w:bCs/>
            <w:i/>
            <w:sz w:val="22"/>
            <w:szCs w:val="22"/>
            <w:u w:val="none"/>
          </w:rPr>
          <w:t>Q</w:t>
        </w:r>
        <w:r w:rsidR="00405293">
          <w:rPr>
            <w:rStyle w:val="Hyperlink"/>
            <w:bCs/>
            <w:i/>
            <w:sz w:val="22"/>
            <w:szCs w:val="22"/>
            <w:u w:val="none"/>
          </w:rPr>
          <w:t>umran Grotte 4.XXII</w:t>
        </w:r>
        <w:r w:rsidR="009F603F" w:rsidRPr="00B740B4">
          <w:rPr>
            <w:rStyle w:val="Hyperlink"/>
            <w:bCs/>
            <w:i/>
            <w:sz w:val="22"/>
            <w:szCs w:val="22"/>
            <w:u w:val="none"/>
          </w:rPr>
          <w:t xml:space="preserve">. </w:t>
        </w:r>
      </w:hyperlink>
      <w:r w:rsidR="00856D9C" w:rsidRPr="00B740B4">
        <w:rPr>
          <w:b/>
          <w:bCs/>
          <w:sz w:val="22"/>
          <w:szCs w:val="22"/>
        </w:rPr>
        <w:t>Pyper, H. S</w:t>
      </w:r>
      <w:r w:rsidR="00856D9C" w:rsidRPr="00B740B4">
        <w:rPr>
          <w:bCs/>
          <w:sz w:val="22"/>
          <w:szCs w:val="22"/>
        </w:rPr>
        <w:t xml:space="preserve">. </w:t>
      </w:r>
      <w:r w:rsidR="00934A11" w:rsidRPr="00B740B4">
        <w:rPr>
          <w:bCs/>
          <w:sz w:val="22"/>
          <w:szCs w:val="22"/>
        </w:rPr>
        <w:t>“</w:t>
      </w:r>
      <w:r w:rsidR="00856D9C" w:rsidRPr="00B740B4">
        <w:rPr>
          <w:bCs/>
          <w:sz w:val="22"/>
          <w:szCs w:val="22"/>
        </w:rPr>
        <w:t>Looking into the Lions’ Den.</w:t>
      </w:r>
      <w:r w:rsidR="00934A11" w:rsidRPr="00B740B4">
        <w:rPr>
          <w:bCs/>
          <w:sz w:val="22"/>
          <w:szCs w:val="22"/>
        </w:rPr>
        <w:t>”</w:t>
      </w:r>
      <w:r w:rsidR="00856D9C" w:rsidRPr="00B740B4">
        <w:rPr>
          <w:bCs/>
          <w:sz w:val="22"/>
          <w:szCs w:val="22"/>
        </w:rPr>
        <w:t xml:space="preserve"> </w:t>
      </w:r>
      <w:r w:rsidR="001F4AA5" w:rsidRPr="00B740B4">
        <w:rPr>
          <w:b/>
          <w:sz w:val="22"/>
          <w:szCs w:val="22"/>
        </w:rPr>
        <w:t>Reaburn, M.</w:t>
      </w:r>
      <w:r w:rsidR="001F4AA5" w:rsidRPr="00B740B4">
        <w:rPr>
          <w:sz w:val="22"/>
          <w:szCs w:val="22"/>
        </w:rPr>
        <w:t xml:space="preserve"> </w:t>
      </w:r>
      <w:r w:rsidR="00934A11" w:rsidRPr="00B740B4">
        <w:rPr>
          <w:sz w:val="22"/>
          <w:szCs w:val="22"/>
        </w:rPr>
        <w:t>“</w:t>
      </w:r>
      <w:r w:rsidR="001F4AA5" w:rsidRPr="00B740B4">
        <w:rPr>
          <w:sz w:val="22"/>
          <w:szCs w:val="22"/>
        </w:rPr>
        <w:t>St Jerome and Porphyry Interpret the Book of Daniel.</w:t>
      </w:r>
      <w:r w:rsidR="00934A11" w:rsidRPr="00B740B4">
        <w:rPr>
          <w:sz w:val="22"/>
          <w:szCs w:val="22"/>
        </w:rPr>
        <w:t>”</w:t>
      </w:r>
      <w:r w:rsidR="001F4AA5" w:rsidRPr="00B740B4">
        <w:rPr>
          <w:sz w:val="22"/>
          <w:szCs w:val="22"/>
        </w:rPr>
        <w:t xml:space="preserve"> </w:t>
      </w:r>
      <w:r w:rsidR="00461CC8" w:rsidRPr="00B740B4">
        <w:rPr>
          <w:b/>
          <w:bCs/>
          <w:sz w:val="22"/>
          <w:szCs w:val="22"/>
        </w:rPr>
        <w:t xml:space="preserve">Reid, S. B. </w:t>
      </w:r>
      <w:r w:rsidR="00934A11" w:rsidRPr="00B740B4">
        <w:rPr>
          <w:bCs/>
          <w:sz w:val="22"/>
          <w:szCs w:val="22"/>
        </w:rPr>
        <w:t>“</w:t>
      </w:r>
      <w:r w:rsidR="00461CC8" w:rsidRPr="00B740B4">
        <w:rPr>
          <w:bCs/>
          <w:sz w:val="22"/>
          <w:szCs w:val="22"/>
        </w:rPr>
        <w:t>The Theology of the Book of Daniel and the Political Theory of W. E. B. DuBois.</w:t>
      </w:r>
      <w:r w:rsidR="00934A11" w:rsidRPr="00B740B4">
        <w:rPr>
          <w:bCs/>
          <w:sz w:val="22"/>
          <w:szCs w:val="22"/>
        </w:rPr>
        <w:t>”</w:t>
      </w:r>
      <w:r w:rsidR="00461CC8" w:rsidRPr="00B740B4">
        <w:rPr>
          <w:bCs/>
          <w:sz w:val="22"/>
          <w:szCs w:val="22"/>
        </w:rPr>
        <w:t xml:space="preserve"> </w:t>
      </w:r>
      <w:r w:rsidR="00802290" w:rsidRPr="00B740B4">
        <w:rPr>
          <w:b/>
          <w:bCs/>
          <w:sz w:val="22"/>
          <w:szCs w:val="22"/>
        </w:rPr>
        <w:t>Reventlow, H</w:t>
      </w:r>
      <w:r w:rsidR="00696F9D" w:rsidRPr="00B740B4">
        <w:rPr>
          <w:b/>
          <w:bCs/>
          <w:sz w:val="22"/>
          <w:szCs w:val="22"/>
        </w:rPr>
        <w:t>. G</w:t>
      </w:r>
      <w:r w:rsidR="00696F9D" w:rsidRPr="00B740B4">
        <w:rPr>
          <w:bCs/>
          <w:sz w:val="22"/>
          <w:szCs w:val="22"/>
        </w:rPr>
        <w:t>.</w:t>
      </w:r>
      <w:r w:rsidR="00802290" w:rsidRPr="00B740B4">
        <w:rPr>
          <w:bCs/>
          <w:sz w:val="22"/>
          <w:szCs w:val="22"/>
        </w:rPr>
        <w:t xml:space="preserve"> </w:t>
      </w:r>
      <w:r w:rsidR="00934A11" w:rsidRPr="00B740B4">
        <w:rPr>
          <w:bCs/>
          <w:sz w:val="22"/>
          <w:szCs w:val="22"/>
        </w:rPr>
        <w:t>“</w:t>
      </w:r>
      <w:r w:rsidR="00802290" w:rsidRPr="00B740B4">
        <w:rPr>
          <w:bCs/>
          <w:sz w:val="22"/>
          <w:szCs w:val="22"/>
        </w:rPr>
        <w:t>The Saints of the Most High und die Rätsel der Chronologie,</w:t>
      </w:r>
      <w:r w:rsidR="00934A11" w:rsidRPr="00B740B4">
        <w:rPr>
          <w:bCs/>
          <w:sz w:val="22"/>
          <w:szCs w:val="22"/>
        </w:rPr>
        <w:t>”</w:t>
      </w:r>
      <w:r w:rsidR="00802290" w:rsidRPr="00B740B4">
        <w:rPr>
          <w:bCs/>
          <w:sz w:val="22"/>
          <w:szCs w:val="22"/>
        </w:rPr>
        <w:t xml:space="preserve"> in </w:t>
      </w:r>
      <w:r w:rsidR="00381CF4" w:rsidRPr="00B740B4">
        <w:rPr>
          <w:bCs/>
          <w:sz w:val="22"/>
          <w:szCs w:val="22"/>
        </w:rPr>
        <w:t>Delgado/Koch/Marsch</w:t>
      </w:r>
      <w:r w:rsidR="00802290" w:rsidRPr="00B740B4">
        <w:rPr>
          <w:bCs/>
          <w:sz w:val="22"/>
          <w:szCs w:val="22"/>
        </w:rPr>
        <w:t xml:space="preserve"> (eds.), </w:t>
      </w:r>
      <w:r w:rsidR="00802290" w:rsidRPr="00B740B4">
        <w:rPr>
          <w:bCs/>
          <w:i/>
          <w:sz w:val="22"/>
          <w:szCs w:val="22"/>
        </w:rPr>
        <w:t>Europa, Tausendjähriges Reich und Neue Welt</w:t>
      </w:r>
      <w:r w:rsidR="00802290" w:rsidRPr="00B740B4">
        <w:rPr>
          <w:bCs/>
          <w:sz w:val="22"/>
          <w:szCs w:val="22"/>
        </w:rPr>
        <w:t>, 306-25.</w:t>
      </w:r>
      <w:r w:rsidR="00696F9D" w:rsidRPr="00B740B4">
        <w:rPr>
          <w:bCs/>
          <w:sz w:val="22"/>
          <w:szCs w:val="22"/>
        </w:rPr>
        <w:t xml:space="preserve"> </w:t>
      </w:r>
      <w:r w:rsidR="00622721" w:rsidRPr="00B740B4">
        <w:rPr>
          <w:b/>
          <w:bCs/>
          <w:sz w:val="22"/>
          <w:szCs w:val="22"/>
        </w:rPr>
        <w:t>Reynolds</w:t>
      </w:r>
      <w:r w:rsidR="003B625C" w:rsidRPr="00B740B4">
        <w:rPr>
          <w:b/>
          <w:bCs/>
          <w:sz w:val="22"/>
          <w:szCs w:val="22"/>
        </w:rPr>
        <w:t xml:space="preserve"> III, B. H</w:t>
      </w:r>
      <w:r w:rsidR="00622721" w:rsidRPr="00B740B4">
        <w:rPr>
          <w:b/>
          <w:bCs/>
          <w:sz w:val="22"/>
          <w:szCs w:val="22"/>
        </w:rPr>
        <w:t>.</w:t>
      </w:r>
      <w:r w:rsidR="00622721" w:rsidRPr="00B740B4">
        <w:rPr>
          <w:bCs/>
          <w:sz w:val="22"/>
          <w:szCs w:val="22"/>
        </w:rPr>
        <w:t xml:space="preserve"> </w:t>
      </w:r>
      <w:r w:rsidR="00934A11" w:rsidRPr="00B740B4">
        <w:rPr>
          <w:bCs/>
          <w:sz w:val="22"/>
          <w:szCs w:val="22"/>
        </w:rPr>
        <w:t>“</w:t>
      </w:r>
      <w:r w:rsidR="00622721" w:rsidRPr="00B740B4">
        <w:rPr>
          <w:bCs/>
          <w:sz w:val="22"/>
          <w:szCs w:val="22"/>
        </w:rPr>
        <w:t>Ádjusting the Apocalypse.</w:t>
      </w:r>
      <w:r w:rsidR="00934A11" w:rsidRPr="00B740B4">
        <w:rPr>
          <w:bCs/>
          <w:sz w:val="22"/>
          <w:szCs w:val="22"/>
        </w:rPr>
        <w:t>”</w:t>
      </w:r>
      <w:r w:rsidR="00622721" w:rsidRPr="00B740B4">
        <w:rPr>
          <w:bCs/>
          <w:sz w:val="22"/>
          <w:szCs w:val="22"/>
        </w:rPr>
        <w:t xml:space="preserve"> </w:t>
      </w:r>
      <w:r w:rsidR="001B2642" w:rsidRPr="00B740B4">
        <w:rPr>
          <w:b/>
          <w:sz w:val="22"/>
          <w:szCs w:val="22"/>
        </w:rPr>
        <w:t>Riessler, P.</w:t>
      </w:r>
      <w:r w:rsidR="001B2642" w:rsidRPr="00B740B4">
        <w:rPr>
          <w:sz w:val="22"/>
          <w:szCs w:val="22"/>
        </w:rPr>
        <w:t xml:space="preserve"> </w:t>
      </w:r>
      <w:r w:rsidR="00934A11" w:rsidRPr="00B740B4">
        <w:rPr>
          <w:sz w:val="22"/>
          <w:szCs w:val="22"/>
        </w:rPr>
        <w:t>“</w:t>
      </w:r>
      <w:r w:rsidR="001B2642" w:rsidRPr="00B740B4">
        <w:rPr>
          <w:sz w:val="22"/>
          <w:szCs w:val="22"/>
        </w:rPr>
        <w:t>Zur Textgeschichte des Buches Daniel.</w:t>
      </w:r>
      <w:r w:rsidR="00934A11" w:rsidRPr="00B740B4">
        <w:rPr>
          <w:sz w:val="22"/>
          <w:szCs w:val="22"/>
        </w:rPr>
        <w:t>”</w:t>
      </w:r>
      <w:r w:rsidR="001B2642" w:rsidRPr="00B740B4">
        <w:rPr>
          <w:sz w:val="22"/>
          <w:szCs w:val="22"/>
        </w:rPr>
        <w:t xml:space="preserve"> </w:t>
      </w:r>
      <w:r w:rsidR="001B2642" w:rsidRPr="00B740B4">
        <w:rPr>
          <w:b/>
          <w:sz w:val="22"/>
          <w:szCs w:val="22"/>
        </w:rPr>
        <w:t>Rigaux, B.</w:t>
      </w:r>
      <w:r w:rsidR="001B2642" w:rsidRPr="00B740B4">
        <w:rPr>
          <w:sz w:val="22"/>
          <w:szCs w:val="22"/>
        </w:rPr>
        <w:t xml:space="preserve"> </w:t>
      </w:r>
      <w:r w:rsidR="00934A11" w:rsidRPr="00B740B4">
        <w:rPr>
          <w:sz w:val="22"/>
          <w:szCs w:val="22"/>
        </w:rPr>
        <w:t>“</w:t>
      </w:r>
      <w:r w:rsidR="001B2642" w:rsidRPr="00B740B4">
        <w:rPr>
          <w:sz w:val="22"/>
          <w:szCs w:val="22"/>
        </w:rPr>
        <w:t>Βδέλυγμα τῆς ἐρη</w:t>
      </w:r>
      <w:r w:rsidR="00DC319C" w:rsidRPr="00B740B4">
        <w:rPr>
          <w:sz w:val="22"/>
          <w:szCs w:val="22"/>
        </w:rPr>
        <w:t>μ</w:t>
      </w:r>
      <w:r w:rsidR="00405293">
        <w:rPr>
          <w:sz w:val="22"/>
          <w:szCs w:val="22"/>
        </w:rPr>
        <w:t>ώσεως</w:t>
      </w:r>
      <w:r w:rsidR="001B2642" w:rsidRPr="00B740B4">
        <w:rPr>
          <w:sz w:val="22"/>
          <w:szCs w:val="22"/>
        </w:rPr>
        <w:t>.</w:t>
      </w:r>
      <w:r w:rsidR="00934A11" w:rsidRPr="00B740B4">
        <w:rPr>
          <w:sz w:val="22"/>
          <w:szCs w:val="22"/>
        </w:rPr>
        <w:t>”</w:t>
      </w:r>
      <w:r w:rsidR="001B2642" w:rsidRPr="00B740B4">
        <w:rPr>
          <w:sz w:val="22"/>
          <w:szCs w:val="22"/>
        </w:rPr>
        <w:t xml:space="preserve"> </w:t>
      </w:r>
      <w:r w:rsidR="001B2642" w:rsidRPr="00B740B4">
        <w:rPr>
          <w:b/>
          <w:sz w:val="22"/>
          <w:szCs w:val="22"/>
        </w:rPr>
        <w:t>Rinaldi, J.</w:t>
      </w:r>
      <w:r w:rsidR="001B2642" w:rsidRPr="00B740B4">
        <w:rPr>
          <w:sz w:val="22"/>
          <w:szCs w:val="22"/>
        </w:rPr>
        <w:t xml:space="preserve"> </w:t>
      </w:r>
      <w:r w:rsidR="00934A11" w:rsidRPr="00B740B4">
        <w:rPr>
          <w:sz w:val="22"/>
          <w:szCs w:val="22"/>
        </w:rPr>
        <w:t>“</w:t>
      </w:r>
      <w:r w:rsidR="001B2642" w:rsidRPr="00B740B4">
        <w:rPr>
          <w:sz w:val="22"/>
          <w:szCs w:val="22"/>
        </w:rPr>
        <w:t>Danielis prophetiae apud S. Augustinum</w:t>
      </w:r>
      <w:r w:rsidR="00934A11" w:rsidRPr="00B740B4">
        <w:rPr>
          <w:sz w:val="22"/>
          <w:szCs w:val="22"/>
        </w:rPr>
        <w:t>”</w:t>
      </w:r>
      <w:r w:rsidR="001B2642" w:rsidRPr="00B740B4">
        <w:rPr>
          <w:sz w:val="22"/>
          <w:szCs w:val="22"/>
        </w:rPr>
        <w:t xml:space="preserve"> </w:t>
      </w:r>
      <w:r w:rsidR="001B2642" w:rsidRPr="00B740B4">
        <w:rPr>
          <w:b/>
          <w:sz w:val="22"/>
          <w:szCs w:val="22"/>
        </w:rPr>
        <w:t>Roca-Puig, R.</w:t>
      </w:r>
      <w:r w:rsidR="003B625C" w:rsidRPr="00B740B4">
        <w:rPr>
          <w:sz w:val="22"/>
          <w:szCs w:val="22"/>
        </w:rPr>
        <w:t xml:space="preserve"> </w:t>
      </w:r>
      <w:r w:rsidR="00934A11" w:rsidRPr="00B740B4">
        <w:rPr>
          <w:sz w:val="22"/>
          <w:szCs w:val="22"/>
        </w:rPr>
        <w:t>“</w:t>
      </w:r>
      <w:r w:rsidR="003B625C" w:rsidRPr="00B740B4">
        <w:rPr>
          <w:sz w:val="22"/>
          <w:szCs w:val="22"/>
        </w:rPr>
        <w:t>Daniele: d</w:t>
      </w:r>
      <w:r w:rsidR="001B2642" w:rsidRPr="00B740B4">
        <w:rPr>
          <w:sz w:val="22"/>
          <w:szCs w:val="22"/>
        </w:rPr>
        <w:t>ue semifogli del codice 967.</w:t>
      </w:r>
      <w:r w:rsidR="00934A11" w:rsidRPr="00B740B4">
        <w:rPr>
          <w:sz w:val="22"/>
          <w:szCs w:val="22"/>
        </w:rPr>
        <w:t>”</w:t>
      </w:r>
      <w:r w:rsidR="001B2642" w:rsidRPr="00B740B4">
        <w:rPr>
          <w:sz w:val="22"/>
          <w:szCs w:val="22"/>
        </w:rPr>
        <w:t xml:space="preserve"> </w:t>
      </w:r>
      <w:r w:rsidR="00D768F4" w:rsidRPr="00B740B4">
        <w:rPr>
          <w:b/>
          <w:bCs/>
          <w:sz w:val="22"/>
          <w:szCs w:val="22"/>
        </w:rPr>
        <w:t xml:space="preserve">Röcke, W. </w:t>
      </w:r>
      <w:r w:rsidR="00934A11" w:rsidRPr="00B740B4">
        <w:rPr>
          <w:bCs/>
          <w:sz w:val="22"/>
          <w:szCs w:val="22"/>
        </w:rPr>
        <w:t>“</w:t>
      </w:r>
      <w:r w:rsidR="00D768F4" w:rsidRPr="00B740B4">
        <w:rPr>
          <w:bCs/>
          <w:sz w:val="22"/>
          <w:szCs w:val="22"/>
        </w:rPr>
        <w:t>Die Danielprophetie als reflexionsmodus revolutionärer Phantasien im Spätmittelalter,</w:t>
      </w:r>
      <w:r w:rsidR="00934A11" w:rsidRPr="00B740B4">
        <w:rPr>
          <w:bCs/>
          <w:sz w:val="22"/>
          <w:szCs w:val="22"/>
        </w:rPr>
        <w:t>”</w:t>
      </w:r>
      <w:r w:rsidR="00D768F4" w:rsidRPr="00B740B4">
        <w:rPr>
          <w:bCs/>
          <w:sz w:val="22"/>
          <w:szCs w:val="22"/>
        </w:rPr>
        <w:t xml:space="preserve"> in Bracht/du Toit</w:t>
      </w:r>
      <w:r w:rsidR="00D768F4" w:rsidRPr="00B740B4">
        <w:rPr>
          <w:bCs/>
          <w:i/>
          <w:iCs/>
          <w:sz w:val="22"/>
          <w:szCs w:val="22"/>
        </w:rPr>
        <w:t xml:space="preserve"> </w:t>
      </w:r>
      <w:r w:rsidR="00D768F4" w:rsidRPr="00B740B4">
        <w:rPr>
          <w:bCs/>
          <w:iCs/>
          <w:sz w:val="22"/>
          <w:szCs w:val="22"/>
        </w:rPr>
        <w:t xml:space="preserve">(eds.), </w:t>
      </w:r>
      <w:r w:rsidR="00D768F4" w:rsidRPr="00B740B4">
        <w:rPr>
          <w:bCs/>
          <w:i/>
          <w:iCs/>
          <w:sz w:val="22"/>
          <w:szCs w:val="22"/>
        </w:rPr>
        <w:t>Die Ge</w:t>
      </w:r>
      <w:r w:rsidR="008C0493" w:rsidRPr="00B740B4">
        <w:rPr>
          <w:bCs/>
          <w:i/>
          <w:iCs/>
          <w:sz w:val="22"/>
          <w:szCs w:val="22"/>
        </w:rPr>
        <w:t>schichte der Daniel-Auslegung</w:t>
      </w:r>
      <w:r w:rsidR="00D768F4" w:rsidRPr="00B740B4">
        <w:rPr>
          <w:bCs/>
          <w:iCs/>
          <w:sz w:val="22"/>
          <w:szCs w:val="22"/>
        </w:rPr>
        <w:t>, 245-67.</w:t>
      </w:r>
      <w:r w:rsidR="003B625C" w:rsidRPr="00B740B4">
        <w:rPr>
          <w:bCs/>
          <w:iCs/>
          <w:sz w:val="22"/>
          <w:szCs w:val="22"/>
        </w:rPr>
        <w:t xml:space="preserve"> </w:t>
      </w:r>
      <w:r w:rsidR="00A42109" w:rsidRPr="00405293">
        <w:rPr>
          <w:rFonts w:eastAsiaTheme="minorHAnsi"/>
          <w:b/>
          <w:sz w:val="22"/>
          <w:szCs w:val="22"/>
        </w:rPr>
        <w:t>Rösel, M. “</w:t>
      </w:r>
      <w:r w:rsidR="00A42109" w:rsidRPr="00405293">
        <w:rPr>
          <w:sz w:val="22"/>
          <w:szCs w:val="22"/>
        </w:rPr>
        <w:t xml:space="preserve">Der Herr des Daniel: </w:t>
      </w:r>
      <w:r w:rsidR="00A42109" w:rsidRPr="00405293">
        <w:rPr>
          <w:rFonts w:eastAsiaTheme="minorHAnsi" w:cs="TimesNewRomanPSMT"/>
          <w:sz w:val="22"/>
          <w:szCs w:val="22"/>
        </w:rPr>
        <w:t>Zur</w:t>
      </w:r>
      <w:r w:rsidR="00A42109" w:rsidRPr="00A42109">
        <w:rPr>
          <w:rFonts w:eastAsiaTheme="minorHAnsi" w:cs="TimesNewRomanPSMT"/>
          <w:sz w:val="22"/>
          <w:szCs w:val="22"/>
        </w:rPr>
        <w:t xml:space="preserve"> Übersetzung der Gottesnamen in der Daniel-LXX</w:t>
      </w:r>
      <w:r w:rsidR="00A42109" w:rsidRPr="00A42109">
        <w:rPr>
          <w:sz w:val="22"/>
          <w:szCs w:val="22"/>
        </w:rPr>
        <w:t xml:space="preserve">.” ———. </w:t>
      </w:r>
      <w:r w:rsidR="00934A11" w:rsidRPr="00B740B4">
        <w:rPr>
          <w:bCs/>
          <w:sz w:val="22"/>
          <w:szCs w:val="22"/>
        </w:rPr>
        <w:t>“</w:t>
      </w:r>
      <w:r w:rsidR="00842E07" w:rsidRPr="00B740B4">
        <w:rPr>
          <w:bCs/>
          <w:sz w:val="22"/>
          <w:szCs w:val="22"/>
        </w:rPr>
        <w:t>Theology after the Crisis.</w:t>
      </w:r>
      <w:r w:rsidR="00934A11" w:rsidRPr="00B740B4">
        <w:rPr>
          <w:bCs/>
          <w:sz w:val="22"/>
          <w:szCs w:val="22"/>
        </w:rPr>
        <w:t>”</w:t>
      </w:r>
      <w:r w:rsidR="00842E07" w:rsidRPr="00B740B4">
        <w:rPr>
          <w:bCs/>
          <w:sz w:val="22"/>
          <w:szCs w:val="22"/>
        </w:rPr>
        <w:t xml:space="preserve"> </w:t>
      </w:r>
      <w:r w:rsidR="001B2642" w:rsidRPr="00B740B4">
        <w:rPr>
          <w:b/>
          <w:sz w:val="22"/>
          <w:szCs w:val="22"/>
        </w:rPr>
        <w:t>Rosenthal, F.</w:t>
      </w:r>
      <w:r w:rsidR="001B2642" w:rsidRPr="00B740B4">
        <w:rPr>
          <w:sz w:val="22"/>
          <w:szCs w:val="22"/>
        </w:rPr>
        <w:t xml:space="preserve"> </w:t>
      </w:r>
      <w:r w:rsidR="001B2642" w:rsidRPr="00B740B4">
        <w:rPr>
          <w:i/>
          <w:sz w:val="22"/>
          <w:szCs w:val="22"/>
        </w:rPr>
        <w:t>Die aramäistische Forschung</w:t>
      </w:r>
      <w:r w:rsidR="001B2642" w:rsidRPr="00B740B4">
        <w:rPr>
          <w:sz w:val="22"/>
          <w:szCs w:val="22"/>
        </w:rPr>
        <w:t xml:space="preserve">. </w:t>
      </w:r>
      <w:r w:rsidR="001B2642" w:rsidRPr="00B740B4">
        <w:rPr>
          <w:b/>
          <w:sz w:val="22"/>
          <w:szCs w:val="22"/>
        </w:rPr>
        <w:t>Rosenthal, I. E. J.</w:t>
      </w:r>
      <w:r w:rsidR="001B2642" w:rsidRPr="00B740B4">
        <w:rPr>
          <w:sz w:val="22"/>
          <w:szCs w:val="22"/>
        </w:rPr>
        <w:t xml:space="preserve"> </w:t>
      </w:r>
      <w:r w:rsidR="00934A11" w:rsidRPr="00B740B4">
        <w:rPr>
          <w:sz w:val="22"/>
          <w:szCs w:val="22"/>
        </w:rPr>
        <w:t>“</w:t>
      </w:r>
      <w:r w:rsidR="001B2642" w:rsidRPr="00B740B4">
        <w:rPr>
          <w:sz w:val="22"/>
          <w:szCs w:val="22"/>
        </w:rPr>
        <w:t>Don Isaac Abravanel.</w:t>
      </w:r>
      <w:r w:rsidR="00934A11" w:rsidRPr="00B740B4">
        <w:rPr>
          <w:sz w:val="22"/>
          <w:szCs w:val="22"/>
        </w:rPr>
        <w:t>”</w:t>
      </w:r>
      <w:r w:rsidR="001B2642" w:rsidRPr="00B740B4">
        <w:rPr>
          <w:sz w:val="22"/>
          <w:szCs w:val="22"/>
        </w:rPr>
        <w:t xml:space="preserve"> ———. </w:t>
      </w:r>
      <w:r w:rsidR="00934A11" w:rsidRPr="00B740B4">
        <w:rPr>
          <w:sz w:val="22"/>
          <w:szCs w:val="22"/>
        </w:rPr>
        <w:t>“</w:t>
      </w:r>
      <w:r w:rsidR="000B63DD" w:rsidRPr="00B740B4">
        <w:rPr>
          <w:sz w:val="22"/>
          <w:szCs w:val="22"/>
        </w:rPr>
        <w:t>Edward Lively.</w:t>
      </w:r>
      <w:r w:rsidR="00934A11" w:rsidRPr="00B740B4">
        <w:rPr>
          <w:sz w:val="22"/>
          <w:szCs w:val="22"/>
        </w:rPr>
        <w:t>”</w:t>
      </w:r>
      <w:r w:rsidR="000B63DD" w:rsidRPr="00B740B4">
        <w:rPr>
          <w:sz w:val="22"/>
          <w:szCs w:val="22"/>
        </w:rPr>
        <w:t xml:space="preserve"> </w:t>
      </w:r>
      <w:r w:rsidR="006E2D43" w:rsidRPr="00B740B4">
        <w:rPr>
          <w:b/>
          <w:sz w:val="22"/>
          <w:szCs w:val="22"/>
        </w:rPr>
        <w:t>Rowland, C</w:t>
      </w:r>
      <w:r w:rsidR="006E2D43" w:rsidRPr="00B740B4">
        <w:rPr>
          <w:sz w:val="22"/>
          <w:szCs w:val="22"/>
        </w:rPr>
        <w:t xml:space="preserve">. </w:t>
      </w:r>
      <w:r w:rsidR="00934A11" w:rsidRPr="00B740B4">
        <w:rPr>
          <w:sz w:val="22"/>
          <w:szCs w:val="22"/>
        </w:rPr>
        <w:t>“</w:t>
      </w:r>
      <w:r w:rsidR="006E2D43" w:rsidRPr="00B740B4">
        <w:rPr>
          <w:sz w:val="22"/>
          <w:szCs w:val="22"/>
        </w:rPr>
        <w:t>The Book of Daniel and the Radical Critique of Empire</w:t>
      </w:r>
      <w:r w:rsidR="008C0493" w:rsidRPr="00B740B4">
        <w:rPr>
          <w:sz w:val="22"/>
          <w:szCs w:val="22"/>
        </w:rPr>
        <w:t>,</w:t>
      </w:r>
      <w:r w:rsidR="00934A11" w:rsidRPr="00B740B4">
        <w:rPr>
          <w:sz w:val="22"/>
          <w:szCs w:val="22"/>
        </w:rPr>
        <w:t>”</w:t>
      </w:r>
      <w:r w:rsidR="008C0493" w:rsidRPr="00B740B4">
        <w:rPr>
          <w:sz w:val="22"/>
          <w:szCs w:val="22"/>
        </w:rPr>
        <w:t xml:space="preserve"> in</w:t>
      </w:r>
      <w:r w:rsidR="006E2D43" w:rsidRPr="00B740B4">
        <w:rPr>
          <w:bCs/>
          <w:sz w:val="22"/>
          <w:szCs w:val="22"/>
        </w:rPr>
        <w:t xml:space="preserve"> Collins/Flint (eds.), </w:t>
      </w:r>
      <w:r w:rsidR="006E2D43" w:rsidRPr="00B740B4">
        <w:rPr>
          <w:bCs/>
          <w:i/>
          <w:sz w:val="22"/>
          <w:szCs w:val="22"/>
        </w:rPr>
        <w:t xml:space="preserve">The Book of </w:t>
      </w:r>
      <w:r w:rsidR="00856F94" w:rsidRPr="00B740B4">
        <w:rPr>
          <w:bCs/>
          <w:i/>
          <w:sz w:val="22"/>
          <w:szCs w:val="22"/>
        </w:rPr>
        <w:t>Daniel</w:t>
      </w:r>
      <w:r w:rsidR="006E2D43" w:rsidRPr="00B740B4">
        <w:rPr>
          <w:b/>
          <w:bCs/>
          <w:sz w:val="22"/>
          <w:szCs w:val="22"/>
        </w:rPr>
        <w:t xml:space="preserve"> </w:t>
      </w:r>
      <w:r w:rsidR="006E2D43" w:rsidRPr="00B740B4">
        <w:rPr>
          <w:bCs/>
          <w:sz w:val="22"/>
          <w:szCs w:val="22"/>
        </w:rPr>
        <w:t>2:447-67.</w:t>
      </w:r>
      <w:r w:rsidR="006E2D43" w:rsidRPr="00B740B4">
        <w:rPr>
          <w:b/>
          <w:bCs/>
          <w:sz w:val="22"/>
          <w:szCs w:val="22"/>
        </w:rPr>
        <w:t xml:space="preserve"> </w:t>
      </w:r>
      <w:r w:rsidR="009D5A03" w:rsidRPr="00B740B4">
        <w:rPr>
          <w:b/>
          <w:bCs/>
          <w:sz w:val="22"/>
          <w:szCs w:val="22"/>
        </w:rPr>
        <w:t xml:space="preserve">Royer, W. S. </w:t>
      </w:r>
      <w:r w:rsidR="00934A11" w:rsidRPr="00B740B4">
        <w:rPr>
          <w:bCs/>
          <w:sz w:val="22"/>
          <w:szCs w:val="22"/>
        </w:rPr>
        <w:t>“</w:t>
      </w:r>
      <w:r w:rsidR="009D5A03" w:rsidRPr="00B740B4">
        <w:rPr>
          <w:bCs/>
          <w:sz w:val="22"/>
          <w:szCs w:val="22"/>
        </w:rPr>
        <w:t>The Ancient of Days.</w:t>
      </w:r>
      <w:r w:rsidR="00934A11" w:rsidRPr="00B740B4">
        <w:rPr>
          <w:bCs/>
          <w:sz w:val="22"/>
          <w:szCs w:val="22"/>
        </w:rPr>
        <w:t>”</w:t>
      </w:r>
      <w:r w:rsidR="009D5A03" w:rsidRPr="00B740B4">
        <w:rPr>
          <w:bCs/>
          <w:sz w:val="22"/>
          <w:szCs w:val="22"/>
        </w:rPr>
        <w:t xml:space="preserve"> </w:t>
      </w:r>
      <w:r w:rsidR="00965AD4" w:rsidRPr="00965AD4">
        <w:rPr>
          <w:b/>
          <w:sz w:val="22"/>
          <w:szCs w:val="22"/>
        </w:rPr>
        <w:t xml:space="preserve">Sänger, D. </w:t>
      </w:r>
      <w:r w:rsidR="00965AD4" w:rsidRPr="00405293">
        <w:rPr>
          <w:sz w:val="22"/>
          <w:szCs w:val="22"/>
        </w:rPr>
        <w:t>(ed.).</w:t>
      </w:r>
      <w:r w:rsidR="00965AD4" w:rsidRPr="00965AD4">
        <w:rPr>
          <w:sz w:val="22"/>
          <w:szCs w:val="22"/>
        </w:rPr>
        <w:t xml:space="preserve">  </w:t>
      </w:r>
      <w:r w:rsidR="00965AD4" w:rsidRPr="00965AD4">
        <w:rPr>
          <w:i/>
          <w:sz w:val="22"/>
          <w:szCs w:val="22"/>
        </w:rPr>
        <w:t>Gottessohn und Menschensohn</w:t>
      </w:r>
      <w:r w:rsidR="00965AD4" w:rsidRPr="00965AD4">
        <w:rPr>
          <w:sz w:val="22"/>
          <w:szCs w:val="22"/>
        </w:rPr>
        <w:t xml:space="preserve">. </w:t>
      </w:r>
      <w:r w:rsidR="001B2642" w:rsidRPr="00965AD4">
        <w:rPr>
          <w:b/>
          <w:sz w:val="22"/>
          <w:szCs w:val="22"/>
        </w:rPr>
        <w:t>Sarachek</w:t>
      </w:r>
      <w:r w:rsidR="001B2642" w:rsidRPr="00B740B4">
        <w:rPr>
          <w:b/>
          <w:sz w:val="22"/>
          <w:szCs w:val="22"/>
        </w:rPr>
        <w:t>, J.</w:t>
      </w:r>
      <w:r w:rsidR="001B2642" w:rsidRPr="00B740B4">
        <w:rPr>
          <w:sz w:val="22"/>
          <w:szCs w:val="22"/>
        </w:rPr>
        <w:t xml:space="preserve"> </w:t>
      </w:r>
      <w:r w:rsidR="001B2642" w:rsidRPr="00B740B4">
        <w:rPr>
          <w:i/>
          <w:sz w:val="22"/>
          <w:szCs w:val="22"/>
        </w:rPr>
        <w:t>The Doctrine of the Messiah in Medieval Jewish Literature</w:t>
      </w:r>
      <w:r w:rsidR="001B2642" w:rsidRPr="00B740B4">
        <w:rPr>
          <w:sz w:val="22"/>
          <w:szCs w:val="22"/>
        </w:rPr>
        <w:t xml:space="preserve">. </w:t>
      </w:r>
      <w:r w:rsidR="001B2642" w:rsidRPr="00B740B4">
        <w:rPr>
          <w:b/>
          <w:sz w:val="22"/>
          <w:szCs w:val="22"/>
        </w:rPr>
        <w:t>Satran, D.</w:t>
      </w:r>
      <w:r w:rsidR="001B2642" w:rsidRPr="00B740B4">
        <w:rPr>
          <w:sz w:val="22"/>
          <w:szCs w:val="22"/>
        </w:rPr>
        <w:t xml:space="preserve"> </w:t>
      </w:r>
      <w:r w:rsidR="00934A11" w:rsidRPr="00B740B4">
        <w:rPr>
          <w:sz w:val="22"/>
          <w:szCs w:val="22"/>
        </w:rPr>
        <w:t>“</w:t>
      </w:r>
      <w:r w:rsidR="001B2642" w:rsidRPr="00B740B4">
        <w:rPr>
          <w:sz w:val="22"/>
          <w:szCs w:val="22"/>
        </w:rPr>
        <w:t>Daniel.</w:t>
      </w:r>
      <w:r w:rsidR="00934A11" w:rsidRPr="00B740B4">
        <w:rPr>
          <w:sz w:val="22"/>
          <w:szCs w:val="22"/>
        </w:rPr>
        <w:t>”</w:t>
      </w:r>
      <w:r w:rsidR="001B2642" w:rsidRPr="00B740B4">
        <w:rPr>
          <w:sz w:val="22"/>
          <w:szCs w:val="22"/>
        </w:rPr>
        <w:t xml:space="preserve"> </w:t>
      </w:r>
      <w:r w:rsidR="001B2642" w:rsidRPr="00B740B4">
        <w:rPr>
          <w:b/>
          <w:sz w:val="22"/>
          <w:szCs w:val="22"/>
        </w:rPr>
        <w:t>Schaberg, J.</w:t>
      </w:r>
      <w:r w:rsidR="00DC2AC1" w:rsidRPr="00B740B4">
        <w:rPr>
          <w:sz w:val="22"/>
          <w:szCs w:val="22"/>
        </w:rPr>
        <w:t xml:space="preserve"> </w:t>
      </w:r>
      <w:r w:rsidR="00934A11" w:rsidRPr="00B740B4">
        <w:rPr>
          <w:sz w:val="22"/>
          <w:szCs w:val="22"/>
        </w:rPr>
        <w:t>“</w:t>
      </w:r>
      <w:r w:rsidR="00DC2AC1" w:rsidRPr="00B740B4">
        <w:rPr>
          <w:sz w:val="22"/>
          <w:szCs w:val="22"/>
        </w:rPr>
        <w:t>Daniel 7, 12 and the NT</w:t>
      </w:r>
      <w:r w:rsidR="001B2642" w:rsidRPr="00B740B4">
        <w:rPr>
          <w:sz w:val="22"/>
          <w:szCs w:val="22"/>
        </w:rPr>
        <w:t xml:space="preserve"> Passion-Resurrection Predictions.</w:t>
      </w:r>
      <w:r w:rsidR="00934A11" w:rsidRPr="00B740B4">
        <w:rPr>
          <w:sz w:val="22"/>
          <w:szCs w:val="22"/>
        </w:rPr>
        <w:t>”</w:t>
      </w:r>
      <w:r w:rsidR="001B2642" w:rsidRPr="00B740B4">
        <w:rPr>
          <w:sz w:val="22"/>
          <w:szCs w:val="22"/>
        </w:rPr>
        <w:t xml:space="preserve"> </w:t>
      </w:r>
      <w:r w:rsidR="00701827" w:rsidRPr="00B740B4">
        <w:rPr>
          <w:rFonts w:eastAsiaTheme="minorHAnsi" w:cs="TimesNewRomanPS-BoldMT"/>
          <w:b/>
          <w:bCs/>
          <w:sz w:val="22"/>
          <w:szCs w:val="22"/>
        </w:rPr>
        <w:t xml:space="preserve">Schäfer, P. </w:t>
      </w:r>
      <w:r w:rsidR="00701827" w:rsidRPr="00B740B4">
        <w:rPr>
          <w:rFonts w:eastAsiaTheme="minorHAnsi" w:cs="TimesNewRomanPS-BoldMT"/>
          <w:bCs/>
          <w:i/>
          <w:sz w:val="22"/>
          <w:szCs w:val="22"/>
        </w:rPr>
        <w:t>The Jewish Jesus</w:t>
      </w:r>
      <w:r w:rsidR="00701827" w:rsidRPr="00B740B4">
        <w:rPr>
          <w:rFonts w:eastAsiaTheme="minorHAnsi" w:cs="TimesNewRomanPS-BoldMT"/>
          <w:bCs/>
          <w:sz w:val="22"/>
          <w:szCs w:val="22"/>
        </w:rPr>
        <w:t xml:space="preserve">. </w:t>
      </w:r>
      <w:r w:rsidR="002D0BC9" w:rsidRPr="00B740B4">
        <w:rPr>
          <w:b/>
          <w:bCs/>
          <w:iCs/>
          <w:sz w:val="22"/>
          <w:szCs w:val="22"/>
        </w:rPr>
        <w:t>Scheible, H.</w:t>
      </w:r>
      <w:r w:rsidR="002D0BC9" w:rsidRPr="00B740B4">
        <w:rPr>
          <w:bCs/>
          <w:iCs/>
          <w:sz w:val="22"/>
          <w:szCs w:val="22"/>
        </w:rPr>
        <w:t xml:space="preserve"> </w:t>
      </w:r>
      <w:r w:rsidR="00934A11" w:rsidRPr="00B740B4">
        <w:rPr>
          <w:bCs/>
          <w:iCs/>
          <w:sz w:val="22"/>
          <w:szCs w:val="22"/>
        </w:rPr>
        <w:t>“</w:t>
      </w:r>
      <w:r w:rsidR="002D0BC9" w:rsidRPr="00B740B4">
        <w:rPr>
          <w:bCs/>
          <w:iCs/>
          <w:sz w:val="22"/>
          <w:szCs w:val="22"/>
        </w:rPr>
        <w:t>Melanchthons Verständnis des Danielsbuch</w:t>
      </w:r>
      <w:r w:rsidR="005E6E64">
        <w:rPr>
          <w:bCs/>
          <w:iCs/>
          <w:sz w:val="22"/>
          <w:szCs w:val="22"/>
        </w:rPr>
        <w:t>s</w:t>
      </w:r>
      <w:r w:rsidR="002D0BC9" w:rsidRPr="00B740B4">
        <w:rPr>
          <w:bCs/>
          <w:iCs/>
          <w:sz w:val="22"/>
          <w:szCs w:val="22"/>
        </w:rPr>
        <w:t>,</w:t>
      </w:r>
      <w:r w:rsidR="00934A11" w:rsidRPr="00B740B4">
        <w:rPr>
          <w:bCs/>
          <w:iCs/>
          <w:sz w:val="22"/>
          <w:szCs w:val="22"/>
        </w:rPr>
        <w:t>”</w:t>
      </w:r>
      <w:r w:rsidR="009B7E1C" w:rsidRPr="00B740B4">
        <w:rPr>
          <w:bCs/>
          <w:iCs/>
          <w:sz w:val="22"/>
          <w:szCs w:val="22"/>
        </w:rPr>
        <w:t xml:space="preserve"> in</w:t>
      </w:r>
      <w:r w:rsidR="009B7E1C" w:rsidRPr="00B740B4">
        <w:rPr>
          <w:sz w:val="22"/>
          <w:szCs w:val="22"/>
        </w:rPr>
        <w:t xml:space="preserve"> </w:t>
      </w:r>
      <w:r w:rsidR="009B7E1C" w:rsidRPr="00B740B4">
        <w:rPr>
          <w:bCs/>
          <w:sz w:val="22"/>
          <w:szCs w:val="22"/>
        </w:rPr>
        <w:t>Bracht/du Toit</w:t>
      </w:r>
      <w:r w:rsidR="009B7E1C" w:rsidRPr="00B740B4">
        <w:rPr>
          <w:bCs/>
          <w:i/>
          <w:iCs/>
          <w:sz w:val="22"/>
          <w:szCs w:val="22"/>
        </w:rPr>
        <w:t xml:space="preserve"> </w:t>
      </w:r>
      <w:r w:rsidR="009B7E1C" w:rsidRPr="00B740B4">
        <w:rPr>
          <w:bCs/>
          <w:iCs/>
          <w:sz w:val="22"/>
          <w:szCs w:val="22"/>
        </w:rPr>
        <w:t xml:space="preserve">(eds.), </w:t>
      </w:r>
      <w:r w:rsidR="009B7E1C" w:rsidRPr="00B740B4">
        <w:rPr>
          <w:bCs/>
          <w:i/>
          <w:iCs/>
          <w:sz w:val="22"/>
          <w:szCs w:val="22"/>
        </w:rPr>
        <w:t>Die Ges</w:t>
      </w:r>
      <w:r w:rsidR="008C0493" w:rsidRPr="00B740B4">
        <w:rPr>
          <w:bCs/>
          <w:i/>
          <w:iCs/>
          <w:sz w:val="22"/>
          <w:szCs w:val="22"/>
        </w:rPr>
        <w:t>chichte der Daniel-Auslegung</w:t>
      </w:r>
      <w:r w:rsidR="009B7E1C" w:rsidRPr="00B740B4">
        <w:rPr>
          <w:bCs/>
          <w:iCs/>
          <w:sz w:val="22"/>
          <w:szCs w:val="22"/>
        </w:rPr>
        <w:t>, 293-321.</w:t>
      </w:r>
      <w:r w:rsidR="009B7E1C" w:rsidRPr="00B740B4">
        <w:rPr>
          <w:b/>
          <w:bCs/>
          <w:iCs/>
          <w:sz w:val="22"/>
          <w:szCs w:val="22"/>
        </w:rPr>
        <w:t xml:space="preserve"> </w:t>
      </w:r>
      <w:r w:rsidR="001B2642" w:rsidRPr="00B740B4">
        <w:rPr>
          <w:b/>
          <w:sz w:val="22"/>
          <w:szCs w:val="22"/>
        </w:rPr>
        <w:t>Schmidt, J. M.</w:t>
      </w:r>
      <w:r w:rsidR="001B2642" w:rsidRPr="00B740B4">
        <w:rPr>
          <w:sz w:val="22"/>
          <w:szCs w:val="22"/>
        </w:rPr>
        <w:t xml:space="preserve"> </w:t>
      </w:r>
      <w:r w:rsidR="001B2642" w:rsidRPr="00B740B4">
        <w:rPr>
          <w:i/>
          <w:sz w:val="22"/>
          <w:szCs w:val="22"/>
        </w:rPr>
        <w:t>Die jüdische Apokalyptik</w:t>
      </w:r>
      <w:r w:rsidR="001B2642" w:rsidRPr="00B740B4">
        <w:rPr>
          <w:sz w:val="22"/>
          <w:szCs w:val="22"/>
        </w:rPr>
        <w:t xml:space="preserve">. </w:t>
      </w:r>
      <w:r w:rsidR="001B2642" w:rsidRPr="00B740B4">
        <w:rPr>
          <w:b/>
          <w:sz w:val="22"/>
          <w:szCs w:val="22"/>
        </w:rPr>
        <w:t>Schmitt, A</w:t>
      </w:r>
      <w:r w:rsidR="001B2642" w:rsidRPr="00B740B4">
        <w:rPr>
          <w:sz w:val="22"/>
          <w:szCs w:val="22"/>
        </w:rPr>
        <w:t xml:space="preserve">. </w:t>
      </w:r>
      <w:r w:rsidR="00934A11" w:rsidRPr="00B740B4">
        <w:rPr>
          <w:sz w:val="22"/>
          <w:szCs w:val="22"/>
        </w:rPr>
        <w:t>“</w:t>
      </w:r>
      <w:r w:rsidR="00F77A19" w:rsidRPr="00B740B4">
        <w:rPr>
          <w:sz w:val="22"/>
          <w:szCs w:val="22"/>
        </w:rPr>
        <w:t xml:space="preserve">Die griechischen Danieltexte </w:t>
      </w:r>
      <w:r w:rsidR="00A24CF8">
        <w:rPr>
          <w:sz w:val="22"/>
          <w:szCs w:val="22"/>
        </w:rPr>
        <w:t>(‘θ’</w:t>
      </w:r>
      <w:r w:rsidR="00F77A19" w:rsidRPr="00B740B4">
        <w:rPr>
          <w:sz w:val="22"/>
          <w:szCs w:val="22"/>
        </w:rPr>
        <w:t xml:space="preserve"> und o′) und das Theodotionproblem.</w:t>
      </w:r>
      <w:r w:rsidR="00934A11" w:rsidRPr="00B740B4">
        <w:rPr>
          <w:sz w:val="22"/>
          <w:szCs w:val="22"/>
        </w:rPr>
        <w:t>”</w:t>
      </w:r>
      <w:r w:rsidR="00F77A19" w:rsidRPr="00B740B4">
        <w:rPr>
          <w:sz w:val="22"/>
          <w:szCs w:val="22"/>
        </w:rPr>
        <w:t xml:space="preserve"> ———.</w:t>
      </w:r>
      <w:r w:rsidR="00DC319C" w:rsidRPr="00B740B4">
        <w:rPr>
          <w:sz w:val="22"/>
          <w:szCs w:val="22"/>
        </w:rPr>
        <w:t xml:space="preserve"> </w:t>
      </w:r>
      <w:r w:rsidR="001B2642" w:rsidRPr="00B740B4">
        <w:rPr>
          <w:i/>
          <w:sz w:val="22"/>
          <w:szCs w:val="22"/>
        </w:rPr>
        <w:t xml:space="preserve">Stammt der sogenannte </w:t>
      </w:r>
      <w:r w:rsidR="00934A11" w:rsidRPr="00B740B4">
        <w:rPr>
          <w:i/>
          <w:sz w:val="22"/>
          <w:szCs w:val="22"/>
        </w:rPr>
        <w:t>“</w:t>
      </w:r>
      <w:r w:rsidR="001B2642" w:rsidRPr="00B740B4">
        <w:rPr>
          <w:sz w:val="22"/>
          <w:szCs w:val="22"/>
        </w:rPr>
        <w:t>θ</w:t>
      </w:r>
      <w:r w:rsidR="00934A11" w:rsidRPr="00B740B4">
        <w:rPr>
          <w:i/>
          <w:sz w:val="22"/>
          <w:szCs w:val="22"/>
        </w:rPr>
        <w:t>”</w:t>
      </w:r>
      <w:r w:rsidR="001B2642" w:rsidRPr="00B740B4">
        <w:rPr>
          <w:i/>
          <w:sz w:val="22"/>
          <w:szCs w:val="22"/>
        </w:rPr>
        <w:t>-Text bei Daniel wirklich von Theodotion</w:t>
      </w:r>
      <w:r w:rsidR="001B2642" w:rsidRPr="00B740B4">
        <w:rPr>
          <w:sz w:val="22"/>
          <w:szCs w:val="22"/>
        </w:rPr>
        <w:t xml:space="preserve">? </w:t>
      </w:r>
      <w:r w:rsidR="00ED3743" w:rsidRPr="00B740B4">
        <w:rPr>
          <w:b/>
          <w:sz w:val="22"/>
          <w:szCs w:val="22"/>
        </w:rPr>
        <w:t>Schmitz, B.</w:t>
      </w:r>
      <w:r w:rsidR="00ED3743" w:rsidRPr="00B740B4">
        <w:rPr>
          <w:sz w:val="22"/>
          <w:szCs w:val="22"/>
        </w:rPr>
        <w:t xml:space="preserve"> </w:t>
      </w:r>
      <w:r w:rsidR="00934A11" w:rsidRPr="00B740B4">
        <w:rPr>
          <w:sz w:val="22"/>
          <w:szCs w:val="22"/>
        </w:rPr>
        <w:t>“</w:t>
      </w:r>
      <w:r w:rsidR="00ED3743" w:rsidRPr="00B740B4">
        <w:rPr>
          <w:sz w:val="22"/>
          <w:szCs w:val="22"/>
        </w:rPr>
        <w:t>Die Juditerzählung.</w:t>
      </w:r>
      <w:r w:rsidR="00934A11" w:rsidRPr="00B740B4">
        <w:rPr>
          <w:sz w:val="22"/>
          <w:szCs w:val="22"/>
        </w:rPr>
        <w:t>”</w:t>
      </w:r>
      <w:r w:rsidR="00ED3743" w:rsidRPr="00B740B4">
        <w:rPr>
          <w:sz w:val="22"/>
          <w:szCs w:val="22"/>
        </w:rPr>
        <w:t xml:space="preserve"> </w:t>
      </w:r>
      <w:r w:rsidR="001B2642" w:rsidRPr="00B740B4">
        <w:rPr>
          <w:b/>
          <w:sz w:val="22"/>
          <w:szCs w:val="22"/>
        </w:rPr>
        <w:t>Schmoldt, H.</w:t>
      </w:r>
      <w:r w:rsidR="001B2642" w:rsidRPr="00B740B4">
        <w:rPr>
          <w:sz w:val="22"/>
          <w:szCs w:val="22"/>
        </w:rPr>
        <w:t xml:space="preserve"> </w:t>
      </w:r>
      <w:r w:rsidR="00934A11" w:rsidRPr="00B740B4">
        <w:rPr>
          <w:sz w:val="22"/>
          <w:szCs w:val="22"/>
        </w:rPr>
        <w:t>“</w:t>
      </w:r>
      <w:r w:rsidR="001B2642" w:rsidRPr="00B740B4">
        <w:rPr>
          <w:sz w:val="22"/>
          <w:szCs w:val="22"/>
        </w:rPr>
        <w:t>Die Schrift ‘Vom jungen Daniel’</w:t>
      </w:r>
      <w:r w:rsidR="009D2503" w:rsidRPr="00B740B4">
        <w:rPr>
          <w:sz w:val="22"/>
          <w:szCs w:val="22"/>
        </w:rPr>
        <w:t xml:space="preserve"> und ‘Daniels letzte Vision.’</w:t>
      </w:r>
      <w:r w:rsidR="00934A11" w:rsidRPr="00B740B4">
        <w:rPr>
          <w:sz w:val="22"/>
          <w:szCs w:val="22"/>
        </w:rPr>
        <w:t>”</w:t>
      </w:r>
      <w:r w:rsidR="009D2503" w:rsidRPr="00B740B4">
        <w:rPr>
          <w:sz w:val="22"/>
          <w:szCs w:val="22"/>
        </w:rPr>
        <w:t xml:space="preserve"> </w:t>
      </w:r>
      <w:r w:rsidR="00DF253F" w:rsidRPr="00B740B4">
        <w:rPr>
          <w:b/>
          <w:sz w:val="22"/>
          <w:szCs w:val="22"/>
        </w:rPr>
        <w:t>Schorch, S.</w:t>
      </w:r>
      <w:r w:rsidR="00DF253F" w:rsidRPr="00B740B4">
        <w:rPr>
          <w:sz w:val="22"/>
          <w:szCs w:val="22"/>
        </w:rPr>
        <w:t xml:space="preserve"> </w:t>
      </w:r>
      <w:r w:rsidR="00934A11" w:rsidRPr="00B740B4">
        <w:rPr>
          <w:sz w:val="22"/>
          <w:szCs w:val="22"/>
        </w:rPr>
        <w:t>“</w:t>
      </w:r>
      <w:r w:rsidR="00DF253F" w:rsidRPr="00B740B4">
        <w:rPr>
          <w:sz w:val="22"/>
          <w:szCs w:val="22"/>
        </w:rPr>
        <w:t>Die Auslegung des Danielbuches in der Schrift ‘Die Quellen der Erlösung</w:t>
      </w:r>
      <w:r w:rsidR="00934A11" w:rsidRPr="00B740B4">
        <w:rPr>
          <w:sz w:val="22"/>
          <w:szCs w:val="22"/>
        </w:rPr>
        <w:t>”</w:t>
      </w:r>
      <w:r w:rsidR="00DF253F" w:rsidRPr="00B740B4">
        <w:rPr>
          <w:sz w:val="22"/>
          <w:szCs w:val="22"/>
        </w:rPr>
        <w:t xml:space="preserve"> des Don Isaak Abravanel,</w:t>
      </w:r>
      <w:r w:rsidR="00934A11" w:rsidRPr="00B740B4">
        <w:rPr>
          <w:sz w:val="22"/>
          <w:szCs w:val="22"/>
        </w:rPr>
        <w:t>”</w:t>
      </w:r>
      <w:r w:rsidR="00DF253F" w:rsidRPr="00B740B4">
        <w:rPr>
          <w:sz w:val="22"/>
          <w:szCs w:val="22"/>
        </w:rPr>
        <w:t xml:space="preserve"> in </w:t>
      </w:r>
      <w:r w:rsidR="00DF253F" w:rsidRPr="00B740B4">
        <w:rPr>
          <w:bCs/>
          <w:sz w:val="22"/>
          <w:szCs w:val="22"/>
        </w:rPr>
        <w:t>Bracht/du Toit</w:t>
      </w:r>
      <w:r w:rsidR="00DF253F" w:rsidRPr="00B740B4">
        <w:rPr>
          <w:bCs/>
          <w:i/>
          <w:iCs/>
          <w:sz w:val="22"/>
          <w:szCs w:val="22"/>
        </w:rPr>
        <w:t xml:space="preserve"> </w:t>
      </w:r>
      <w:r w:rsidR="00DF253F" w:rsidRPr="00B740B4">
        <w:rPr>
          <w:bCs/>
          <w:iCs/>
          <w:sz w:val="22"/>
          <w:szCs w:val="22"/>
        </w:rPr>
        <w:t xml:space="preserve">(eds.), </w:t>
      </w:r>
      <w:r w:rsidR="00DF253F" w:rsidRPr="00B740B4">
        <w:rPr>
          <w:bCs/>
          <w:i/>
          <w:iCs/>
          <w:sz w:val="22"/>
          <w:szCs w:val="22"/>
        </w:rPr>
        <w:t>Die Ge</w:t>
      </w:r>
      <w:r w:rsidR="008C0493" w:rsidRPr="00B740B4">
        <w:rPr>
          <w:bCs/>
          <w:i/>
          <w:iCs/>
          <w:sz w:val="22"/>
          <w:szCs w:val="22"/>
        </w:rPr>
        <w:t>schichte der Daniel-Auslegung</w:t>
      </w:r>
      <w:r w:rsidR="00DF253F" w:rsidRPr="00B740B4">
        <w:rPr>
          <w:bCs/>
          <w:iCs/>
          <w:sz w:val="22"/>
          <w:szCs w:val="22"/>
        </w:rPr>
        <w:t>,</w:t>
      </w:r>
      <w:r w:rsidR="008C0493" w:rsidRPr="00B740B4">
        <w:rPr>
          <w:bCs/>
          <w:iCs/>
          <w:sz w:val="22"/>
          <w:szCs w:val="22"/>
        </w:rPr>
        <w:t xml:space="preserve"> </w:t>
      </w:r>
      <w:r w:rsidR="00DF253F" w:rsidRPr="00B740B4">
        <w:rPr>
          <w:bCs/>
          <w:iCs/>
          <w:sz w:val="22"/>
          <w:szCs w:val="22"/>
        </w:rPr>
        <w:t>179-97.</w:t>
      </w:r>
      <w:r w:rsidR="00DF253F" w:rsidRPr="00B740B4">
        <w:rPr>
          <w:sz w:val="22"/>
          <w:szCs w:val="22"/>
        </w:rPr>
        <w:t xml:space="preserve"> </w:t>
      </w:r>
      <w:r w:rsidR="007000C5" w:rsidRPr="00B740B4">
        <w:rPr>
          <w:b/>
          <w:sz w:val="22"/>
          <w:szCs w:val="22"/>
        </w:rPr>
        <w:t>Schreiner</w:t>
      </w:r>
      <w:r w:rsidR="007000C5" w:rsidRPr="00B740B4">
        <w:rPr>
          <w:sz w:val="22"/>
          <w:szCs w:val="22"/>
        </w:rPr>
        <w:t xml:space="preserve">, P. </w:t>
      </w:r>
      <w:r w:rsidR="00934A11" w:rsidRPr="00B740B4">
        <w:rPr>
          <w:sz w:val="22"/>
          <w:szCs w:val="22"/>
        </w:rPr>
        <w:t>“</w:t>
      </w:r>
      <w:r w:rsidR="007000C5" w:rsidRPr="00B740B4">
        <w:rPr>
          <w:bCs/>
          <w:sz w:val="22"/>
          <w:szCs w:val="22"/>
        </w:rPr>
        <w:t>Peter, the Rock.</w:t>
      </w:r>
      <w:r w:rsidR="00934A11" w:rsidRPr="00B740B4">
        <w:rPr>
          <w:bCs/>
          <w:sz w:val="22"/>
          <w:szCs w:val="22"/>
        </w:rPr>
        <w:t>”</w:t>
      </w:r>
      <w:r w:rsidR="007000C5" w:rsidRPr="00B740B4">
        <w:rPr>
          <w:bCs/>
          <w:sz w:val="22"/>
          <w:szCs w:val="22"/>
        </w:rPr>
        <w:t xml:space="preserve"> </w:t>
      </w:r>
      <w:r w:rsidR="004401AD" w:rsidRPr="00B740B4">
        <w:rPr>
          <w:b/>
          <w:sz w:val="22"/>
          <w:szCs w:val="22"/>
        </w:rPr>
        <w:t>Segal</w:t>
      </w:r>
      <w:r w:rsidR="004401AD" w:rsidRPr="00B740B4">
        <w:rPr>
          <w:sz w:val="22"/>
          <w:szCs w:val="22"/>
        </w:rPr>
        <w:t xml:space="preserve">, </w:t>
      </w:r>
      <w:r w:rsidR="004401AD" w:rsidRPr="00B740B4">
        <w:rPr>
          <w:b/>
          <w:sz w:val="22"/>
          <w:szCs w:val="22"/>
        </w:rPr>
        <w:t>A. F.</w:t>
      </w:r>
      <w:r w:rsidR="004401AD" w:rsidRPr="00B740B4">
        <w:rPr>
          <w:sz w:val="22"/>
          <w:szCs w:val="22"/>
        </w:rPr>
        <w:t xml:space="preserve"> </w:t>
      </w:r>
      <w:r w:rsidR="004401AD" w:rsidRPr="00B740B4">
        <w:rPr>
          <w:i/>
          <w:sz w:val="22"/>
          <w:szCs w:val="22"/>
        </w:rPr>
        <w:t>Two Powers in Heaven</w:t>
      </w:r>
      <w:r w:rsidR="004401AD" w:rsidRPr="00B740B4">
        <w:rPr>
          <w:b/>
          <w:sz w:val="22"/>
          <w:szCs w:val="22"/>
        </w:rPr>
        <w:t xml:space="preserve">. </w:t>
      </w:r>
      <w:r w:rsidR="009D2503" w:rsidRPr="00B740B4">
        <w:rPr>
          <w:b/>
          <w:sz w:val="22"/>
          <w:szCs w:val="22"/>
        </w:rPr>
        <w:t xml:space="preserve">Sel, M. </w:t>
      </w:r>
      <w:r w:rsidR="00934A11" w:rsidRPr="00B740B4">
        <w:rPr>
          <w:sz w:val="22"/>
          <w:szCs w:val="22"/>
        </w:rPr>
        <w:t>“</w:t>
      </w:r>
      <w:r w:rsidR="009D2503" w:rsidRPr="00B740B4">
        <w:rPr>
          <w:sz w:val="22"/>
          <w:szCs w:val="22"/>
        </w:rPr>
        <w:t>Daniel—In Arabic Literature.</w:t>
      </w:r>
      <w:r w:rsidR="00934A11" w:rsidRPr="00B740B4">
        <w:rPr>
          <w:sz w:val="22"/>
          <w:szCs w:val="22"/>
        </w:rPr>
        <w:t>”</w:t>
      </w:r>
      <w:r w:rsidR="009D2503" w:rsidRPr="00B740B4">
        <w:rPr>
          <w:sz w:val="22"/>
          <w:szCs w:val="22"/>
        </w:rPr>
        <w:t xml:space="preserve"> </w:t>
      </w:r>
      <w:r w:rsidR="001B2642" w:rsidRPr="00B740B4">
        <w:rPr>
          <w:b/>
          <w:sz w:val="22"/>
          <w:szCs w:val="22"/>
        </w:rPr>
        <w:t>Shaked, S.</w:t>
      </w:r>
      <w:r w:rsidR="001B2642" w:rsidRPr="00B740B4">
        <w:rPr>
          <w:sz w:val="22"/>
          <w:szCs w:val="22"/>
        </w:rPr>
        <w:t xml:space="preserve"> </w:t>
      </w:r>
      <w:r w:rsidR="00934A11" w:rsidRPr="00B740B4">
        <w:rPr>
          <w:sz w:val="22"/>
          <w:szCs w:val="22"/>
        </w:rPr>
        <w:t>“</w:t>
      </w:r>
      <w:r w:rsidR="001B2642" w:rsidRPr="00B740B4">
        <w:rPr>
          <w:sz w:val="22"/>
          <w:szCs w:val="22"/>
        </w:rPr>
        <w:t>Fragments of Two Karaite Commentaries on Daniel in Judaeo-Persian.</w:t>
      </w:r>
      <w:r w:rsidR="00934A11" w:rsidRPr="00B740B4">
        <w:rPr>
          <w:sz w:val="22"/>
          <w:szCs w:val="22"/>
        </w:rPr>
        <w:t>”</w:t>
      </w:r>
      <w:r w:rsidR="001B2642" w:rsidRPr="00B740B4">
        <w:rPr>
          <w:sz w:val="22"/>
          <w:szCs w:val="22"/>
        </w:rPr>
        <w:t xml:space="preserve"> </w:t>
      </w:r>
      <w:r w:rsidR="00B67C4E" w:rsidRPr="00B740B4">
        <w:rPr>
          <w:b/>
          <w:bCs/>
          <w:iCs/>
          <w:sz w:val="22"/>
          <w:szCs w:val="22"/>
        </w:rPr>
        <w:t>Shep</w:t>
      </w:r>
      <w:r w:rsidR="004E3DB6" w:rsidRPr="00B740B4">
        <w:rPr>
          <w:b/>
          <w:bCs/>
          <w:iCs/>
          <w:sz w:val="22"/>
          <w:szCs w:val="22"/>
        </w:rPr>
        <w:t>h</w:t>
      </w:r>
      <w:r w:rsidR="00B67C4E" w:rsidRPr="00B740B4">
        <w:rPr>
          <w:b/>
          <w:bCs/>
          <w:iCs/>
          <w:sz w:val="22"/>
          <w:szCs w:val="22"/>
        </w:rPr>
        <w:t>erd</w:t>
      </w:r>
      <w:r w:rsidR="00B67C4E" w:rsidRPr="00B740B4">
        <w:rPr>
          <w:bCs/>
          <w:iCs/>
          <w:sz w:val="22"/>
          <w:szCs w:val="22"/>
        </w:rPr>
        <w:t xml:space="preserve">, </w:t>
      </w:r>
      <w:r w:rsidR="00B67C4E" w:rsidRPr="00B740B4">
        <w:rPr>
          <w:b/>
          <w:bCs/>
          <w:iCs/>
          <w:sz w:val="22"/>
          <w:szCs w:val="22"/>
        </w:rPr>
        <w:t>M. B.</w:t>
      </w:r>
      <w:r w:rsidR="00B67C4E" w:rsidRPr="00B740B4">
        <w:rPr>
          <w:bCs/>
          <w:iCs/>
          <w:sz w:val="22"/>
          <w:szCs w:val="22"/>
        </w:rPr>
        <w:t xml:space="preserve"> </w:t>
      </w:r>
      <w:r w:rsidR="00B67C4E" w:rsidRPr="00B740B4">
        <w:rPr>
          <w:bCs/>
          <w:i/>
          <w:iCs/>
          <w:sz w:val="22"/>
          <w:szCs w:val="22"/>
        </w:rPr>
        <w:t>Daniel in the Context of the Hebrew Bible</w:t>
      </w:r>
      <w:r w:rsidR="00B67C4E" w:rsidRPr="00B740B4">
        <w:rPr>
          <w:bCs/>
          <w:iCs/>
          <w:sz w:val="22"/>
          <w:szCs w:val="22"/>
        </w:rPr>
        <w:t xml:space="preserve">. </w:t>
      </w:r>
      <w:r w:rsidR="00C86407" w:rsidRPr="00B740B4">
        <w:rPr>
          <w:bCs/>
          <w:iCs/>
          <w:sz w:val="22"/>
          <w:szCs w:val="22"/>
        </w:rPr>
        <w:t xml:space="preserve">———. </w:t>
      </w:r>
      <w:r w:rsidR="00934A11" w:rsidRPr="00B740B4">
        <w:rPr>
          <w:bCs/>
          <w:sz w:val="22"/>
          <w:szCs w:val="22"/>
        </w:rPr>
        <w:t>“</w:t>
      </w:r>
      <w:r w:rsidR="00233A5E" w:rsidRPr="00B740B4">
        <w:rPr>
          <w:bCs/>
          <w:sz w:val="22"/>
          <w:szCs w:val="22"/>
        </w:rPr>
        <w:t>Daniel 7:13 and the NT Son of Man.</w:t>
      </w:r>
      <w:r w:rsidR="00934A11" w:rsidRPr="00B740B4">
        <w:rPr>
          <w:bCs/>
          <w:sz w:val="22"/>
          <w:szCs w:val="22"/>
        </w:rPr>
        <w:t>”</w:t>
      </w:r>
      <w:r w:rsidR="00233A5E" w:rsidRPr="00B740B4">
        <w:rPr>
          <w:b/>
          <w:bCs/>
          <w:sz w:val="22"/>
          <w:szCs w:val="22"/>
        </w:rPr>
        <w:t xml:space="preserve"> </w:t>
      </w:r>
      <w:r w:rsidR="001B2642" w:rsidRPr="00B740B4">
        <w:rPr>
          <w:b/>
          <w:sz w:val="22"/>
          <w:szCs w:val="22"/>
        </w:rPr>
        <w:t>Silver, A. H.</w:t>
      </w:r>
      <w:r w:rsidR="001B2642" w:rsidRPr="00B740B4">
        <w:rPr>
          <w:sz w:val="22"/>
          <w:szCs w:val="22"/>
        </w:rPr>
        <w:t xml:space="preserve"> </w:t>
      </w:r>
      <w:r w:rsidR="001B2642" w:rsidRPr="00B740B4">
        <w:rPr>
          <w:i/>
          <w:sz w:val="22"/>
          <w:szCs w:val="22"/>
        </w:rPr>
        <w:t>History of Messianic Speculation in Israel</w:t>
      </w:r>
      <w:r w:rsidR="001B2642" w:rsidRPr="00B740B4">
        <w:rPr>
          <w:sz w:val="22"/>
          <w:szCs w:val="22"/>
        </w:rPr>
        <w:t xml:space="preserve">. </w:t>
      </w:r>
      <w:r w:rsidR="00237A8B" w:rsidRPr="00B740B4">
        <w:rPr>
          <w:b/>
          <w:bCs/>
          <w:sz w:val="22"/>
          <w:szCs w:val="22"/>
        </w:rPr>
        <w:t xml:space="preserve">Sims, J. H. </w:t>
      </w:r>
      <w:r w:rsidR="00237A8B" w:rsidRPr="00B740B4">
        <w:rPr>
          <w:bCs/>
          <w:i/>
          <w:sz w:val="22"/>
          <w:szCs w:val="22"/>
        </w:rPr>
        <w:t>Comparative Literary</w:t>
      </w:r>
      <w:r w:rsidR="00237A8B" w:rsidRPr="00B740B4">
        <w:rPr>
          <w:bCs/>
          <w:sz w:val="22"/>
          <w:szCs w:val="22"/>
        </w:rPr>
        <w:t xml:space="preserve"> </w:t>
      </w:r>
      <w:r w:rsidR="00237A8B" w:rsidRPr="00B740B4">
        <w:rPr>
          <w:bCs/>
          <w:i/>
          <w:sz w:val="22"/>
          <w:szCs w:val="22"/>
        </w:rPr>
        <w:t>Study of Daniel and Revelation.</w:t>
      </w:r>
      <w:r w:rsidR="00237A8B" w:rsidRPr="00B740B4">
        <w:rPr>
          <w:b/>
          <w:sz w:val="22"/>
          <w:szCs w:val="22"/>
        </w:rPr>
        <w:t xml:space="preserve"> </w:t>
      </w:r>
      <w:r w:rsidR="00971558" w:rsidRPr="00B740B4">
        <w:rPr>
          <w:b/>
          <w:sz w:val="22"/>
          <w:szCs w:val="22"/>
        </w:rPr>
        <w:t xml:space="preserve">Smith-Christopher, D. L. </w:t>
      </w:r>
      <w:r w:rsidR="00934A11" w:rsidRPr="00B740B4">
        <w:rPr>
          <w:b/>
          <w:sz w:val="22"/>
          <w:szCs w:val="22"/>
        </w:rPr>
        <w:t>“</w:t>
      </w:r>
      <w:r w:rsidR="00795A41" w:rsidRPr="00B740B4">
        <w:rPr>
          <w:sz w:val="22"/>
          <w:szCs w:val="22"/>
        </w:rPr>
        <w:t>Daniel</w:t>
      </w:r>
      <w:r w:rsidR="00C86407" w:rsidRPr="00B740B4">
        <w:rPr>
          <w:sz w:val="22"/>
          <w:szCs w:val="22"/>
        </w:rPr>
        <w:t>.</w:t>
      </w:r>
      <w:r w:rsidR="00934A11" w:rsidRPr="00B740B4">
        <w:rPr>
          <w:b/>
          <w:sz w:val="22"/>
          <w:szCs w:val="22"/>
        </w:rPr>
        <w:t>”</w:t>
      </w:r>
      <w:r w:rsidR="00795A41" w:rsidRPr="00B740B4">
        <w:rPr>
          <w:b/>
          <w:sz w:val="22"/>
          <w:szCs w:val="22"/>
        </w:rPr>
        <w:t xml:space="preserve"> </w:t>
      </w:r>
      <w:r w:rsidR="00C86407" w:rsidRPr="00B740B4">
        <w:rPr>
          <w:b/>
          <w:sz w:val="22"/>
          <w:szCs w:val="22"/>
        </w:rPr>
        <w:t xml:space="preserve">———. </w:t>
      </w:r>
      <w:r w:rsidR="00934A11" w:rsidRPr="00B740B4">
        <w:rPr>
          <w:sz w:val="22"/>
          <w:szCs w:val="22"/>
        </w:rPr>
        <w:t>“</w:t>
      </w:r>
      <w:r w:rsidR="00971558" w:rsidRPr="00B740B4">
        <w:rPr>
          <w:sz w:val="22"/>
          <w:szCs w:val="22"/>
        </w:rPr>
        <w:t>Gandhi on Daniel 6.</w:t>
      </w:r>
      <w:r w:rsidR="004676C2">
        <w:rPr>
          <w:sz w:val="22"/>
          <w:szCs w:val="22"/>
        </w:rPr>
        <w:t xml:space="preserve">” </w:t>
      </w:r>
      <w:r w:rsidR="004676C2">
        <w:rPr>
          <w:b/>
          <w:sz w:val="22"/>
          <w:szCs w:val="22"/>
        </w:rPr>
        <w:t>Christopher, D. L.,</w:t>
      </w:r>
      <w:r w:rsidR="0095005C" w:rsidRPr="00B740B4">
        <w:rPr>
          <w:sz w:val="22"/>
          <w:szCs w:val="22"/>
        </w:rPr>
        <w:t xml:space="preserve"> et al. </w:t>
      </w:r>
      <w:r w:rsidR="00934A11" w:rsidRPr="00B740B4">
        <w:rPr>
          <w:sz w:val="22"/>
          <w:szCs w:val="22"/>
        </w:rPr>
        <w:t>“</w:t>
      </w:r>
      <w:r w:rsidR="0095005C" w:rsidRPr="00B740B4">
        <w:rPr>
          <w:sz w:val="22"/>
          <w:szCs w:val="22"/>
        </w:rPr>
        <w:t>Daniel (Book and Person</w:t>
      </w:r>
      <w:r w:rsidR="00420EC6" w:rsidRPr="00B740B4">
        <w:rPr>
          <w:sz w:val="22"/>
          <w:szCs w:val="22"/>
        </w:rPr>
        <w:t>)</w:t>
      </w:r>
      <w:r w:rsidR="0095005C" w:rsidRPr="00B740B4">
        <w:rPr>
          <w:sz w:val="22"/>
          <w:szCs w:val="22"/>
        </w:rPr>
        <w:t>.</w:t>
      </w:r>
      <w:r w:rsidR="00934A11" w:rsidRPr="00B740B4">
        <w:rPr>
          <w:sz w:val="22"/>
          <w:szCs w:val="22"/>
        </w:rPr>
        <w:t>”</w:t>
      </w:r>
      <w:r w:rsidR="0095005C" w:rsidRPr="00B740B4">
        <w:rPr>
          <w:sz w:val="22"/>
          <w:szCs w:val="22"/>
        </w:rPr>
        <w:t xml:space="preserve"> </w:t>
      </w:r>
      <w:r w:rsidR="00C41FFA" w:rsidRPr="00B740B4">
        <w:rPr>
          <w:b/>
          <w:sz w:val="22"/>
          <w:szCs w:val="22"/>
        </w:rPr>
        <w:t xml:space="preserve">Snobelen, S. D. </w:t>
      </w:r>
      <w:r w:rsidR="00934A11" w:rsidRPr="00B740B4">
        <w:rPr>
          <w:sz w:val="22"/>
          <w:szCs w:val="22"/>
        </w:rPr>
        <w:t>“</w:t>
      </w:r>
      <w:r w:rsidR="00C41FFA" w:rsidRPr="00B740B4">
        <w:rPr>
          <w:sz w:val="22"/>
          <w:szCs w:val="22"/>
        </w:rPr>
        <w:t xml:space="preserve">‘A Time and </w:t>
      </w:r>
      <w:r w:rsidR="003B625C" w:rsidRPr="00B740B4">
        <w:rPr>
          <w:sz w:val="22"/>
          <w:szCs w:val="22"/>
        </w:rPr>
        <w:t>Times and the Dividing of Time’</w:t>
      </w:r>
      <w:r w:rsidR="00C41FFA" w:rsidRPr="00B740B4">
        <w:rPr>
          <w:sz w:val="22"/>
          <w:szCs w:val="22"/>
        </w:rPr>
        <w:t>: Isaac Newton, the Apocalypse, and 2060 A.D.</w:t>
      </w:r>
      <w:r w:rsidR="00934A11" w:rsidRPr="00B740B4">
        <w:rPr>
          <w:sz w:val="22"/>
          <w:szCs w:val="22"/>
        </w:rPr>
        <w:t>”</w:t>
      </w:r>
      <w:r w:rsidR="00C41FFA" w:rsidRPr="00B740B4">
        <w:rPr>
          <w:sz w:val="22"/>
          <w:szCs w:val="22"/>
        </w:rPr>
        <w:t xml:space="preserve"> </w:t>
      </w:r>
      <w:r w:rsidR="00740AB8" w:rsidRPr="00B740B4">
        <w:rPr>
          <w:b/>
          <w:sz w:val="22"/>
          <w:szCs w:val="22"/>
        </w:rPr>
        <w:t xml:space="preserve">Snow, R. </w:t>
      </w:r>
      <w:r w:rsidR="00934A11" w:rsidRPr="00B740B4">
        <w:rPr>
          <w:sz w:val="22"/>
          <w:szCs w:val="22"/>
        </w:rPr>
        <w:t>“</w:t>
      </w:r>
      <w:r w:rsidR="00740AB8" w:rsidRPr="00B740B4">
        <w:rPr>
          <w:sz w:val="22"/>
          <w:szCs w:val="22"/>
        </w:rPr>
        <w:t>Daniel’s Son of Man in Mark.</w:t>
      </w:r>
      <w:r w:rsidR="00934A11" w:rsidRPr="00B740B4">
        <w:rPr>
          <w:sz w:val="22"/>
          <w:szCs w:val="22"/>
        </w:rPr>
        <w:t>”</w:t>
      </w:r>
      <w:r w:rsidR="00740AB8" w:rsidRPr="00B740B4">
        <w:rPr>
          <w:sz w:val="22"/>
          <w:szCs w:val="22"/>
        </w:rPr>
        <w:t xml:space="preserve"> </w:t>
      </w:r>
      <w:r w:rsidR="00FB7E66" w:rsidRPr="004676C2">
        <w:rPr>
          <w:b/>
          <w:sz w:val="22"/>
          <w:szCs w:val="22"/>
        </w:rPr>
        <w:t>Spangenberg</w:t>
      </w:r>
      <w:r w:rsidR="00FB7E66" w:rsidRPr="00B740B4">
        <w:rPr>
          <w:b/>
          <w:sz w:val="22"/>
          <w:szCs w:val="22"/>
        </w:rPr>
        <w:t xml:space="preserve">, I. J. J. </w:t>
      </w:r>
      <w:r w:rsidR="00934A11" w:rsidRPr="00B740B4">
        <w:rPr>
          <w:sz w:val="22"/>
          <w:szCs w:val="22"/>
        </w:rPr>
        <w:t>“</w:t>
      </w:r>
      <w:r w:rsidR="00FB7E66" w:rsidRPr="00B740B4">
        <w:rPr>
          <w:sz w:val="22"/>
          <w:szCs w:val="22"/>
        </w:rPr>
        <w:t>The Septuagint Tran</w:t>
      </w:r>
      <w:r w:rsidR="00DC319C" w:rsidRPr="00B740B4">
        <w:rPr>
          <w:sz w:val="22"/>
          <w:szCs w:val="22"/>
        </w:rPr>
        <w:t>slation of Daniel 9.</w:t>
      </w:r>
      <w:r w:rsidR="00934A11" w:rsidRPr="00B740B4">
        <w:rPr>
          <w:sz w:val="22"/>
          <w:szCs w:val="22"/>
        </w:rPr>
        <w:t>”</w:t>
      </w:r>
      <w:r w:rsidR="00FB7E66" w:rsidRPr="00B740B4">
        <w:rPr>
          <w:sz w:val="22"/>
          <w:szCs w:val="22"/>
        </w:rPr>
        <w:t xml:space="preserve"> </w:t>
      </w:r>
      <w:r w:rsidR="0084726D" w:rsidRPr="00B740B4">
        <w:rPr>
          <w:b/>
          <w:sz w:val="22"/>
          <w:szCs w:val="22"/>
        </w:rPr>
        <w:t xml:space="preserve">Stander, H. F. </w:t>
      </w:r>
      <w:r w:rsidR="00934A11" w:rsidRPr="00B740B4">
        <w:rPr>
          <w:sz w:val="22"/>
          <w:szCs w:val="22"/>
        </w:rPr>
        <w:t>“</w:t>
      </w:r>
      <w:r w:rsidR="0084726D" w:rsidRPr="00B740B4">
        <w:rPr>
          <w:sz w:val="22"/>
          <w:szCs w:val="22"/>
        </w:rPr>
        <w:t>Chrysostom’s Interpretation of the Narrative of the Three Confessors.</w:t>
      </w:r>
      <w:r w:rsidR="00934A11" w:rsidRPr="00B740B4">
        <w:rPr>
          <w:sz w:val="22"/>
          <w:szCs w:val="22"/>
        </w:rPr>
        <w:t>”</w:t>
      </w:r>
      <w:r w:rsidR="0084726D" w:rsidRPr="00B740B4">
        <w:rPr>
          <w:sz w:val="22"/>
          <w:szCs w:val="22"/>
        </w:rPr>
        <w:t xml:space="preserve"> </w:t>
      </w:r>
      <w:r w:rsidR="001B2642" w:rsidRPr="00B740B4">
        <w:rPr>
          <w:b/>
          <w:sz w:val="22"/>
          <w:szCs w:val="22"/>
        </w:rPr>
        <w:t>Stauffer, E.</w:t>
      </w:r>
      <w:r w:rsidR="001B2642" w:rsidRPr="00B740B4">
        <w:rPr>
          <w:sz w:val="22"/>
          <w:szCs w:val="22"/>
        </w:rPr>
        <w:t xml:space="preserve"> </w:t>
      </w:r>
      <w:r w:rsidR="00934A11" w:rsidRPr="00B740B4">
        <w:rPr>
          <w:sz w:val="22"/>
          <w:szCs w:val="22"/>
        </w:rPr>
        <w:t>“</w:t>
      </w:r>
      <w:r w:rsidR="001B2642" w:rsidRPr="00B740B4">
        <w:rPr>
          <w:sz w:val="22"/>
          <w:szCs w:val="22"/>
        </w:rPr>
        <w:t>Eine Bemerkung zum griechischen Danieltext.</w:t>
      </w:r>
      <w:r w:rsidR="00934A11" w:rsidRPr="00B740B4">
        <w:rPr>
          <w:sz w:val="22"/>
          <w:szCs w:val="22"/>
        </w:rPr>
        <w:t>”</w:t>
      </w:r>
      <w:r w:rsidR="001B2642" w:rsidRPr="00B740B4">
        <w:rPr>
          <w:sz w:val="22"/>
          <w:szCs w:val="22"/>
        </w:rPr>
        <w:t xml:space="preserve"> </w:t>
      </w:r>
      <w:r w:rsidR="009F0ABB" w:rsidRPr="00B740B4">
        <w:rPr>
          <w:rFonts w:eastAsiaTheme="minorHAnsi" w:cs="Times New Roman"/>
          <w:b/>
          <w:sz w:val="22"/>
          <w:szCs w:val="22"/>
        </w:rPr>
        <w:t>Stemberger, G.</w:t>
      </w:r>
      <w:r w:rsidR="009F0ABB" w:rsidRPr="00B740B4">
        <w:rPr>
          <w:rFonts w:eastAsiaTheme="minorHAnsi" w:cs="Times New Roman"/>
          <w:sz w:val="22"/>
          <w:szCs w:val="22"/>
        </w:rPr>
        <w:t xml:space="preserve"> </w:t>
      </w:r>
      <w:r w:rsidR="00934A11" w:rsidRPr="00B740B4">
        <w:rPr>
          <w:rFonts w:eastAsiaTheme="minorHAnsi" w:cs="Times New Roman"/>
          <w:sz w:val="22"/>
          <w:szCs w:val="22"/>
        </w:rPr>
        <w:t>“</w:t>
      </w:r>
      <w:r w:rsidR="009F0ABB" w:rsidRPr="00B740B4">
        <w:rPr>
          <w:rFonts w:eastAsiaTheme="minorHAnsi" w:cs="Times New Roman"/>
          <w:sz w:val="22"/>
          <w:szCs w:val="22"/>
        </w:rPr>
        <w:t>Die jüdische Danielrezeption seit der Zerstörung des zweit</w:t>
      </w:r>
      <w:r w:rsidR="003B625C" w:rsidRPr="00B740B4">
        <w:rPr>
          <w:rFonts w:eastAsiaTheme="minorHAnsi" w:cs="Times New Roman"/>
          <w:sz w:val="22"/>
          <w:szCs w:val="22"/>
        </w:rPr>
        <w:t>en Tempel</w:t>
      </w:r>
      <w:r w:rsidR="009F0ABB" w:rsidRPr="00B740B4">
        <w:rPr>
          <w:rFonts w:eastAsiaTheme="minorHAnsi" w:cs="Times New Roman"/>
          <w:sz w:val="22"/>
          <w:szCs w:val="22"/>
        </w:rPr>
        <w:t xml:space="preserve">s am Beispiel </w:t>
      </w:r>
      <w:r w:rsidR="009F0ABB" w:rsidRPr="00B740B4">
        <w:rPr>
          <w:rFonts w:eastAsiaTheme="minorHAnsi" w:cs="Times New Roman"/>
          <w:iCs/>
          <w:sz w:val="22"/>
          <w:szCs w:val="22"/>
        </w:rPr>
        <w:t>der</w:t>
      </w:r>
      <w:r w:rsidR="009F0ABB" w:rsidRPr="00B740B4">
        <w:rPr>
          <w:rFonts w:eastAsiaTheme="minorHAnsi" w:cs="Times New Roman"/>
          <w:i/>
          <w:iCs/>
          <w:sz w:val="22"/>
          <w:szCs w:val="22"/>
        </w:rPr>
        <w:t xml:space="preserve"> </w:t>
      </w:r>
      <w:r w:rsidR="006312C6" w:rsidRPr="00B740B4">
        <w:rPr>
          <w:rFonts w:eastAsiaTheme="minorHAnsi" w:cs="Times New Roman"/>
          <w:sz w:val="22"/>
          <w:szCs w:val="22"/>
        </w:rPr>
        <w:t>Endzeitberechnung,</w:t>
      </w:r>
      <w:r w:rsidR="00934A11" w:rsidRPr="00B740B4">
        <w:rPr>
          <w:rFonts w:eastAsiaTheme="minorHAnsi" w:cs="Times New Roman"/>
          <w:sz w:val="22"/>
          <w:szCs w:val="22"/>
        </w:rPr>
        <w:t>”</w:t>
      </w:r>
      <w:r w:rsidR="006312C6" w:rsidRPr="00B740B4">
        <w:rPr>
          <w:rFonts w:eastAsiaTheme="minorHAnsi" w:cs="Times New Roman"/>
          <w:sz w:val="22"/>
          <w:szCs w:val="22"/>
        </w:rPr>
        <w:t xml:space="preserve"> in </w:t>
      </w:r>
      <w:r w:rsidR="00381CF4" w:rsidRPr="00B740B4">
        <w:rPr>
          <w:rFonts w:eastAsiaTheme="minorHAnsi" w:cs="Times New Roman"/>
          <w:bCs/>
          <w:sz w:val="22"/>
          <w:szCs w:val="22"/>
        </w:rPr>
        <w:t>Delgado/Koch/Marsch</w:t>
      </w:r>
      <w:r w:rsidR="00A57608" w:rsidRPr="00B740B4">
        <w:rPr>
          <w:rFonts w:eastAsiaTheme="minorHAnsi" w:cs="Times New Roman"/>
          <w:bCs/>
          <w:sz w:val="22"/>
          <w:szCs w:val="22"/>
        </w:rPr>
        <w:t xml:space="preserve"> (eds.), </w:t>
      </w:r>
      <w:r w:rsidR="00A57608" w:rsidRPr="00B740B4">
        <w:rPr>
          <w:rFonts w:eastAsiaTheme="minorHAnsi" w:cs="Times New Roman"/>
          <w:bCs/>
          <w:i/>
          <w:sz w:val="22"/>
          <w:szCs w:val="22"/>
        </w:rPr>
        <w:t>Eu</w:t>
      </w:r>
      <w:r w:rsidR="006312C6" w:rsidRPr="00B740B4">
        <w:rPr>
          <w:rFonts w:eastAsiaTheme="minorHAnsi" w:cs="Times New Roman"/>
          <w:bCs/>
          <w:i/>
          <w:sz w:val="22"/>
          <w:szCs w:val="22"/>
        </w:rPr>
        <w:t>ropa, Tausendjähriges Reich und Neue Welt</w:t>
      </w:r>
      <w:r w:rsidR="006312C6" w:rsidRPr="00B740B4">
        <w:rPr>
          <w:rFonts w:eastAsiaTheme="minorHAnsi" w:cs="Times New Roman"/>
          <w:bCs/>
          <w:sz w:val="22"/>
          <w:szCs w:val="22"/>
        </w:rPr>
        <w:t xml:space="preserve">, 139-58. </w:t>
      </w:r>
      <w:r w:rsidR="003706C6" w:rsidRPr="00B740B4">
        <w:rPr>
          <w:rFonts w:eastAsiaTheme="minorHAnsi" w:cs="TimesBasis"/>
          <w:b/>
          <w:sz w:val="22"/>
          <w:szCs w:val="22"/>
        </w:rPr>
        <w:t xml:space="preserve">Stevenson, K., </w:t>
      </w:r>
      <w:r w:rsidR="003706C6" w:rsidRPr="004676C2">
        <w:rPr>
          <w:rFonts w:eastAsiaTheme="minorHAnsi" w:cs="TimesBasis"/>
          <w:sz w:val="22"/>
          <w:szCs w:val="22"/>
        </w:rPr>
        <w:t>and</w:t>
      </w:r>
      <w:r w:rsidR="003706C6" w:rsidRPr="00B740B4">
        <w:rPr>
          <w:rFonts w:eastAsiaTheme="minorHAnsi" w:cs="TimesBasis"/>
          <w:b/>
          <w:sz w:val="22"/>
          <w:szCs w:val="22"/>
        </w:rPr>
        <w:t xml:space="preserve"> Glerup, M. </w:t>
      </w:r>
      <w:r w:rsidR="003706C6" w:rsidRPr="00B740B4">
        <w:rPr>
          <w:rFonts w:eastAsiaTheme="minorHAnsi" w:cs="TimesBasis"/>
          <w:i/>
          <w:sz w:val="22"/>
          <w:szCs w:val="22"/>
        </w:rPr>
        <w:t>Ezekiel, Daniel</w:t>
      </w:r>
      <w:r w:rsidR="003B625C" w:rsidRPr="00B740B4">
        <w:rPr>
          <w:rFonts w:eastAsiaTheme="minorHAnsi" w:cs="TimesBasis"/>
          <w:sz w:val="22"/>
          <w:szCs w:val="22"/>
        </w:rPr>
        <w:t>:</w:t>
      </w:r>
      <w:r w:rsidR="003706C6" w:rsidRPr="00B740B4">
        <w:rPr>
          <w:rFonts w:eastAsiaTheme="minorHAnsi" w:cs="TimesBasis"/>
          <w:sz w:val="22"/>
          <w:szCs w:val="22"/>
        </w:rPr>
        <w:t xml:space="preserve"> </w:t>
      </w:r>
      <w:r w:rsidR="003706C6" w:rsidRPr="00B740B4">
        <w:rPr>
          <w:rFonts w:eastAsiaTheme="minorHAnsi" w:cs="TimesBasis"/>
          <w:i/>
          <w:sz w:val="22"/>
          <w:szCs w:val="22"/>
        </w:rPr>
        <w:t>Ancient Christia</w:t>
      </w:r>
      <w:r w:rsidR="003B625C" w:rsidRPr="00B740B4">
        <w:rPr>
          <w:rFonts w:eastAsiaTheme="minorHAnsi" w:cs="TimesBasis"/>
          <w:i/>
          <w:sz w:val="22"/>
          <w:szCs w:val="22"/>
        </w:rPr>
        <w:t>n Commentary on Scripture</w:t>
      </w:r>
      <w:r w:rsidR="003706C6" w:rsidRPr="00B740B4">
        <w:rPr>
          <w:rFonts w:eastAsiaTheme="minorHAnsi" w:cs="TimesBasis"/>
          <w:sz w:val="22"/>
          <w:szCs w:val="22"/>
        </w:rPr>
        <w:t xml:space="preserve">. </w:t>
      </w:r>
      <w:r w:rsidR="00ED55DE" w:rsidRPr="00B740B4">
        <w:rPr>
          <w:rFonts w:eastAsiaTheme="minorHAnsi" w:cs="TimesBasis"/>
          <w:b/>
          <w:sz w:val="22"/>
          <w:szCs w:val="22"/>
        </w:rPr>
        <w:t>Stokes, R. E.</w:t>
      </w:r>
      <w:r w:rsidR="00ED55DE" w:rsidRPr="00B740B4">
        <w:rPr>
          <w:rFonts w:eastAsiaTheme="minorHAnsi" w:cs="TimesBasis"/>
          <w:sz w:val="22"/>
          <w:szCs w:val="22"/>
        </w:rPr>
        <w:t xml:space="preserve"> </w:t>
      </w:r>
      <w:r w:rsidR="00934A11" w:rsidRPr="00B740B4">
        <w:rPr>
          <w:rFonts w:eastAsiaTheme="minorHAnsi" w:cs="TimesBasis"/>
          <w:sz w:val="22"/>
          <w:szCs w:val="22"/>
        </w:rPr>
        <w:t>“</w:t>
      </w:r>
      <w:r w:rsidR="00ED55DE" w:rsidRPr="00B740B4">
        <w:rPr>
          <w:rFonts w:eastAsiaTheme="minorHAnsi" w:cs="TimesBasis"/>
          <w:sz w:val="22"/>
          <w:szCs w:val="22"/>
        </w:rPr>
        <w:t xml:space="preserve">The Throne Visions </w:t>
      </w:r>
      <w:r w:rsidR="00ED55DE" w:rsidRPr="00B740B4">
        <w:rPr>
          <w:rFonts w:eastAsiaTheme="minorHAnsi" w:cs="TimesBasis"/>
          <w:sz w:val="22"/>
          <w:szCs w:val="22"/>
        </w:rPr>
        <w:lastRenderedPageBreak/>
        <w:t xml:space="preserve">of Daniel 7, </w:t>
      </w:r>
      <w:r w:rsidR="00ED55DE" w:rsidRPr="00B740B4">
        <w:rPr>
          <w:rFonts w:eastAsiaTheme="minorHAnsi" w:cs="TimesBasis-Italic"/>
          <w:i/>
          <w:iCs/>
          <w:sz w:val="22"/>
          <w:szCs w:val="22"/>
        </w:rPr>
        <w:t xml:space="preserve">1 Enoch </w:t>
      </w:r>
      <w:r w:rsidR="00ED55DE" w:rsidRPr="00B740B4">
        <w:rPr>
          <w:rFonts w:eastAsiaTheme="minorHAnsi" w:cs="TimesBasis"/>
          <w:sz w:val="22"/>
          <w:szCs w:val="22"/>
        </w:rPr>
        <w:t xml:space="preserve">14, and the Qumran </w:t>
      </w:r>
      <w:r w:rsidR="004676C2">
        <w:rPr>
          <w:rFonts w:eastAsiaTheme="minorHAnsi" w:cs="TimesBasis-Italic"/>
          <w:i/>
          <w:iCs/>
          <w:sz w:val="22"/>
          <w:szCs w:val="22"/>
        </w:rPr>
        <w:t>Book of Giants</w:t>
      </w:r>
      <w:r w:rsidR="00ED55DE" w:rsidRPr="00B740B4">
        <w:rPr>
          <w:rFonts w:eastAsiaTheme="minorHAnsi" w:cs="TimesBasis"/>
          <w:sz w:val="22"/>
          <w:szCs w:val="22"/>
        </w:rPr>
        <w:t>.</w:t>
      </w:r>
      <w:r w:rsidR="00934A11" w:rsidRPr="00B740B4">
        <w:rPr>
          <w:rFonts w:eastAsiaTheme="minorHAnsi" w:cs="TimesBasis"/>
          <w:sz w:val="22"/>
          <w:szCs w:val="22"/>
        </w:rPr>
        <w:t>”</w:t>
      </w:r>
      <w:r w:rsidR="00ED55DE" w:rsidRPr="00B740B4">
        <w:rPr>
          <w:rFonts w:eastAsiaTheme="minorHAnsi" w:cs="TimesBasis"/>
          <w:sz w:val="22"/>
          <w:szCs w:val="22"/>
        </w:rPr>
        <w:t xml:space="preserve"> </w:t>
      </w:r>
      <w:r w:rsidR="0014765D" w:rsidRPr="00B740B4">
        <w:rPr>
          <w:b/>
          <w:sz w:val="22"/>
          <w:szCs w:val="22"/>
        </w:rPr>
        <w:t>Strohm, S.</w:t>
      </w:r>
      <w:r w:rsidR="0014765D" w:rsidRPr="00B740B4">
        <w:rPr>
          <w:sz w:val="22"/>
          <w:szCs w:val="22"/>
        </w:rPr>
        <w:t xml:space="preserve"> </w:t>
      </w:r>
      <w:r w:rsidR="00934A11" w:rsidRPr="00B740B4">
        <w:rPr>
          <w:sz w:val="22"/>
          <w:szCs w:val="22"/>
        </w:rPr>
        <w:t>“</w:t>
      </w:r>
      <w:r w:rsidR="0014765D" w:rsidRPr="00B740B4">
        <w:rPr>
          <w:sz w:val="22"/>
          <w:szCs w:val="22"/>
        </w:rPr>
        <w:t>Luthers Vorrede zum Propheten Daniel,</w:t>
      </w:r>
      <w:r w:rsidR="00934A11" w:rsidRPr="00B740B4">
        <w:rPr>
          <w:sz w:val="22"/>
          <w:szCs w:val="22"/>
        </w:rPr>
        <w:t>”</w:t>
      </w:r>
      <w:r w:rsidR="0014765D" w:rsidRPr="00B740B4">
        <w:rPr>
          <w:sz w:val="22"/>
          <w:szCs w:val="22"/>
        </w:rPr>
        <w:t xml:space="preserve"> in </w:t>
      </w:r>
      <w:r w:rsidR="0014765D" w:rsidRPr="00B740B4">
        <w:rPr>
          <w:bCs/>
          <w:sz w:val="22"/>
          <w:szCs w:val="22"/>
        </w:rPr>
        <w:t>Bracht/du Toit</w:t>
      </w:r>
      <w:r w:rsidR="0014765D" w:rsidRPr="00B740B4">
        <w:rPr>
          <w:bCs/>
          <w:i/>
          <w:iCs/>
          <w:sz w:val="22"/>
          <w:szCs w:val="22"/>
        </w:rPr>
        <w:t xml:space="preserve"> </w:t>
      </w:r>
      <w:r w:rsidR="0014765D" w:rsidRPr="00B740B4">
        <w:rPr>
          <w:bCs/>
          <w:iCs/>
          <w:sz w:val="22"/>
          <w:szCs w:val="22"/>
        </w:rPr>
        <w:t xml:space="preserve">(eds.), </w:t>
      </w:r>
      <w:r w:rsidR="0014765D" w:rsidRPr="00B740B4">
        <w:rPr>
          <w:bCs/>
          <w:i/>
          <w:iCs/>
          <w:sz w:val="22"/>
          <w:szCs w:val="22"/>
        </w:rPr>
        <w:t>Die Ge</w:t>
      </w:r>
      <w:r w:rsidR="008C0493" w:rsidRPr="00B740B4">
        <w:rPr>
          <w:bCs/>
          <w:i/>
          <w:iCs/>
          <w:sz w:val="22"/>
          <w:szCs w:val="22"/>
        </w:rPr>
        <w:t>schichte der Daniel-Auslegung</w:t>
      </w:r>
      <w:r w:rsidR="0014765D" w:rsidRPr="00B740B4">
        <w:rPr>
          <w:bCs/>
          <w:iCs/>
          <w:sz w:val="22"/>
          <w:szCs w:val="22"/>
        </w:rPr>
        <w:t>, 219-43.</w:t>
      </w:r>
      <w:r w:rsidR="0014765D" w:rsidRPr="00B740B4">
        <w:rPr>
          <w:sz w:val="22"/>
          <w:szCs w:val="22"/>
        </w:rPr>
        <w:t xml:space="preserve"> </w:t>
      </w:r>
      <w:r w:rsidR="00DD182A" w:rsidRPr="00B740B4">
        <w:rPr>
          <w:b/>
          <w:bCs/>
          <w:sz w:val="22"/>
          <w:szCs w:val="22"/>
        </w:rPr>
        <w:t>Stuckenbruck, L. T.</w:t>
      </w:r>
      <w:r w:rsidR="00DD182A" w:rsidRPr="00B740B4">
        <w:rPr>
          <w:bCs/>
          <w:sz w:val="22"/>
          <w:szCs w:val="22"/>
        </w:rPr>
        <w:t xml:space="preserve"> </w:t>
      </w:r>
      <w:r w:rsidR="00934A11" w:rsidRPr="00B740B4">
        <w:rPr>
          <w:bCs/>
          <w:sz w:val="22"/>
          <w:szCs w:val="22"/>
        </w:rPr>
        <w:t>“</w:t>
      </w:r>
      <w:r w:rsidR="00DD182A" w:rsidRPr="00B740B4">
        <w:rPr>
          <w:bCs/>
          <w:sz w:val="22"/>
          <w:szCs w:val="22"/>
        </w:rPr>
        <w:t>Daniel and Early Enoch Tra</w:t>
      </w:r>
      <w:r w:rsidR="00762CF5" w:rsidRPr="00B740B4">
        <w:rPr>
          <w:bCs/>
          <w:sz w:val="22"/>
          <w:szCs w:val="22"/>
        </w:rPr>
        <w:t>ditions in the Dead Sea Scrolls,</w:t>
      </w:r>
      <w:r w:rsidR="00934A11" w:rsidRPr="00B740B4">
        <w:rPr>
          <w:bCs/>
          <w:sz w:val="22"/>
          <w:szCs w:val="22"/>
        </w:rPr>
        <w:t>”</w:t>
      </w:r>
      <w:r w:rsidR="00DD182A" w:rsidRPr="00B740B4">
        <w:rPr>
          <w:bCs/>
          <w:sz w:val="22"/>
          <w:szCs w:val="22"/>
        </w:rPr>
        <w:t xml:space="preserve"> </w:t>
      </w:r>
      <w:r w:rsidR="00762CF5" w:rsidRPr="00B740B4">
        <w:rPr>
          <w:bCs/>
          <w:sz w:val="22"/>
          <w:szCs w:val="22"/>
        </w:rPr>
        <w:t xml:space="preserve">in Collins/Flint (eds.), </w:t>
      </w:r>
      <w:r w:rsidR="00762CF5" w:rsidRPr="00B740B4">
        <w:rPr>
          <w:bCs/>
          <w:i/>
          <w:sz w:val="22"/>
          <w:szCs w:val="22"/>
        </w:rPr>
        <w:t xml:space="preserve">The Book </w:t>
      </w:r>
      <w:r w:rsidR="00762CF5" w:rsidRPr="009C26A6">
        <w:rPr>
          <w:bCs/>
          <w:i/>
          <w:sz w:val="22"/>
          <w:szCs w:val="22"/>
        </w:rPr>
        <w:t xml:space="preserve">of Daniel </w:t>
      </w:r>
      <w:r w:rsidR="00971033" w:rsidRPr="009C26A6">
        <w:rPr>
          <w:bCs/>
          <w:sz w:val="22"/>
          <w:szCs w:val="22"/>
        </w:rPr>
        <w:t>2:368-86.</w:t>
      </w:r>
      <w:r w:rsidR="00971033" w:rsidRPr="009C26A6">
        <w:rPr>
          <w:sz w:val="22"/>
          <w:szCs w:val="22"/>
        </w:rPr>
        <w:t xml:space="preserve"> </w:t>
      </w:r>
      <w:r w:rsidR="00971033" w:rsidRPr="009C26A6">
        <w:rPr>
          <w:bCs/>
          <w:sz w:val="22"/>
          <w:szCs w:val="22"/>
        </w:rPr>
        <w:t xml:space="preserve">———.  </w:t>
      </w:r>
      <w:r w:rsidR="00934A11" w:rsidRPr="009C26A6">
        <w:rPr>
          <w:bCs/>
          <w:sz w:val="22"/>
          <w:szCs w:val="22"/>
        </w:rPr>
        <w:t>“</w:t>
      </w:r>
      <w:r w:rsidR="00971033" w:rsidRPr="009C26A6">
        <w:rPr>
          <w:bCs/>
          <w:sz w:val="22"/>
          <w:szCs w:val="22"/>
        </w:rPr>
        <w:t>The Formation and Re-Formation of Daniel in the Dead Sea Scrolls.</w:t>
      </w:r>
      <w:r w:rsidR="00934A11" w:rsidRPr="009C26A6">
        <w:rPr>
          <w:bCs/>
          <w:sz w:val="22"/>
          <w:szCs w:val="22"/>
        </w:rPr>
        <w:t>”</w:t>
      </w:r>
      <w:r w:rsidR="00971033" w:rsidRPr="009C26A6">
        <w:rPr>
          <w:bCs/>
          <w:sz w:val="22"/>
          <w:szCs w:val="22"/>
        </w:rPr>
        <w:t xml:space="preserve"> </w:t>
      </w:r>
      <w:r w:rsidR="00B231FA" w:rsidRPr="009C26A6">
        <w:rPr>
          <w:rFonts w:eastAsiaTheme="minorHAnsi" w:cs="TimesNewRomanPS-BoldMT"/>
          <w:bCs/>
          <w:sz w:val="22"/>
          <w:szCs w:val="22"/>
        </w:rPr>
        <w:t xml:space="preserve">———. “‘One Like a Son of Man as the Ancient of Days.’” </w:t>
      </w:r>
      <w:r w:rsidR="005A5575" w:rsidRPr="009C26A6">
        <w:rPr>
          <w:b/>
          <w:sz w:val="22"/>
          <w:szCs w:val="22"/>
        </w:rPr>
        <w:t>Suh, D. K.</w:t>
      </w:r>
      <w:r w:rsidR="005A5575" w:rsidRPr="009C26A6">
        <w:rPr>
          <w:sz w:val="22"/>
          <w:szCs w:val="22"/>
        </w:rPr>
        <w:t xml:space="preserve"> </w:t>
      </w:r>
      <w:r w:rsidR="005A5575" w:rsidRPr="009C26A6">
        <w:rPr>
          <w:i/>
          <w:sz w:val="22"/>
          <w:szCs w:val="22"/>
        </w:rPr>
        <w:t>Korean Minjung in Christ</w:t>
      </w:r>
      <w:r w:rsidR="005A5575" w:rsidRPr="009C26A6">
        <w:rPr>
          <w:sz w:val="22"/>
          <w:szCs w:val="22"/>
        </w:rPr>
        <w:t>.</w:t>
      </w:r>
      <w:r w:rsidR="005A5575" w:rsidRPr="009C26A6">
        <w:rPr>
          <w:b/>
          <w:bCs/>
          <w:sz w:val="22"/>
          <w:szCs w:val="22"/>
        </w:rPr>
        <w:t xml:space="preserve"> </w:t>
      </w:r>
      <w:r w:rsidR="008F0875" w:rsidRPr="009C26A6">
        <w:rPr>
          <w:b/>
          <w:bCs/>
          <w:sz w:val="22"/>
          <w:szCs w:val="22"/>
        </w:rPr>
        <w:t xml:space="preserve">Swart, G. J. </w:t>
      </w:r>
      <w:r w:rsidR="00934A11" w:rsidRPr="009C26A6">
        <w:rPr>
          <w:bCs/>
          <w:sz w:val="22"/>
          <w:szCs w:val="22"/>
        </w:rPr>
        <w:t>“</w:t>
      </w:r>
      <w:r w:rsidR="008F0875" w:rsidRPr="009C26A6">
        <w:rPr>
          <w:bCs/>
          <w:sz w:val="22"/>
          <w:szCs w:val="22"/>
        </w:rPr>
        <w:t>Divergences</w:t>
      </w:r>
      <w:r w:rsidR="008F0875" w:rsidRPr="00B740B4">
        <w:rPr>
          <w:bCs/>
          <w:sz w:val="22"/>
          <w:szCs w:val="22"/>
        </w:rPr>
        <w:t xml:space="preserve"> between the OG and Th Versions of Daniel 3.</w:t>
      </w:r>
      <w:r w:rsidR="00934A11" w:rsidRPr="00B740B4">
        <w:rPr>
          <w:bCs/>
          <w:sz w:val="22"/>
          <w:szCs w:val="22"/>
        </w:rPr>
        <w:t>”</w:t>
      </w:r>
      <w:r w:rsidR="008F0875" w:rsidRPr="00B740B4">
        <w:rPr>
          <w:bCs/>
          <w:sz w:val="22"/>
          <w:szCs w:val="22"/>
        </w:rPr>
        <w:t xml:space="preserve"> </w:t>
      </w:r>
      <w:r w:rsidR="00D01AA4" w:rsidRPr="00B740B4">
        <w:rPr>
          <w:b/>
          <w:sz w:val="22"/>
          <w:szCs w:val="22"/>
        </w:rPr>
        <w:t>Tamcke, M.</w:t>
      </w:r>
      <w:r w:rsidR="00D01AA4" w:rsidRPr="00B740B4">
        <w:rPr>
          <w:sz w:val="22"/>
          <w:szCs w:val="22"/>
        </w:rPr>
        <w:t xml:space="preserve"> </w:t>
      </w:r>
      <w:r w:rsidR="00934A11" w:rsidRPr="00B740B4">
        <w:rPr>
          <w:sz w:val="22"/>
          <w:szCs w:val="22"/>
        </w:rPr>
        <w:t>“</w:t>
      </w:r>
      <w:r w:rsidR="00D01AA4" w:rsidRPr="00B740B4">
        <w:rPr>
          <w:sz w:val="22"/>
          <w:szCs w:val="22"/>
        </w:rPr>
        <w:t>Die byzantisch-russische Reichseschatologie,</w:t>
      </w:r>
      <w:r w:rsidR="00934A11" w:rsidRPr="00B740B4">
        <w:rPr>
          <w:sz w:val="22"/>
          <w:szCs w:val="22"/>
        </w:rPr>
        <w:t>”</w:t>
      </w:r>
      <w:r w:rsidR="00D01AA4" w:rsidRPr="00B740B4">
        <w:rPr>
          <w:sz w:val="22"/>
          <w:szCs w:val="22"/>
        </w:rPr>
        <w:t xml:space="preserve"> in </w:t>
      </w:r>
      <w:r w:rsidR="00381CF4" w:rsidRPr="00B740B4">
        <w:rPr>
          <w:bCs/>
          <w:sz w:val="22"/>
          <w:szCs w:val="22"/>
        </w:rPr>
        <w:t>Delgado/Koch/Marsch</w:t>
      </w:r>
      <w:r w:rsidR="00D01AA4" w:rsidRPr="00B740B4">
        <w:rPr>
          <w:bCs/>
          <w:sz w:val="22"/>
          <w:szCs w:val="22"/>
        </w:rPr>
        <w:t xml:space="preserve"> (eds.), </w:t>
      </w:r>
      <w:r w:rsidR="00D01AA4" w:rsidRPr="00B740B4">
        <w:rPr>
          <w:bCs/>
          <w:i/>
          <w:sz w:val="22"/>
          <w:szCs w:val="22"/>
        </w:rPr>
        <w:t>Europa, Tausendjähriges Reich und Neue</w:t>
      </w:r>
      <w:r w:rsidR="00D01AA4" w:rsidRPr="00B740B4">
        <w:rPr>
          <w:bCs/>
          <w:sz w:val="22"/>
          <w:szCs w:val="22"/>
        </w:rPr>
        <w:t xml:space="preserve"> </w:t>
      </w:r>
      <w:r w:rsidR="00D01AA4" w:rsidRPr="00B740B4">
        <w:rPr>
          <w:bCs/>
          <w:i/>
          <w:sz w:val="22"/>
          <w:szCs w:val="22"/>
        </w:rPr>
        <w:t>Welt</w:t>
      </w:r>
      <w:r w:rsidR="00D01AA4" w:rsidRPr="00B740B4">
        <w:rPr>
          <w:bCs/>
          <w:sz w:val="22"/>
          <w:szCs w:val="22"/>
        </w:rPr>
        <w:t>, 197-224.</w:t>
      </w:r>
      <w:r w:rsidR="00D01AA4" w:rsidRPr="00B740B4">
        <w:rPr>
          <w:sz w:val="22"/>
          <w:szCs w:val="22"/>
        </w:rPr>
        <w:t xml:space="preserve"> </w:t>
      </w:r>
      <w:r w:rsidR="000769F2" w:rsidRPr="00B740B4">
        <w:rPr>
          <w:b/>
          <w:sz w:val="22"/>
          <w:szCs w:val="22"/>
        </w:rPr>
        <w:t xml:space="preserve">Tanner, J. P. </w:t>
      </w:r>
      <w:r w:rsidR="00934A11" w:rsidRPr="00B740B4">
        <w:rPr>
          <w:sz w:val="22"/>
          <w:szCs w:val="22"/>
        </w:rPr>
        <w:t>“</w:t>
      </w:r>
      <w:r w:rsidR="000769F2" w:rsidRPr="00B740B4">
        <w:rPr>
          <w:sz w:val="22"/>
          <w:szCs w:val="22"/>
        </w:rPr>
        <w:t>Do We Owe an Apology to Russia?</w:t>
      </w:r>
      <w:r w:rsidR="00934A11" w:rsidRPr="00B740B4">
        <w:rPr>
          <w:sz w:val="22"/>
          <w:szCs w:val="22"/>
        </w:rPr>
        <w:t>”</w:t>
      </w:r>
      <w:r w:rsidR="000769F2" w:rsidRPr="00B740B4">
        <w:rPr>
          <w:sz w:val="22"/>
          <w:szCs w:val="22"/>
        </w:rPr>
        <w:t xml:space="preserve"> </w:t>
      </w:r>
      <w:r w:rsidR="00AD5CF6" w:rsidRPr="00B740B4">
        <w:rPr>
          <w:b/>
          <w:sz w:val="22"/>
          <w:szCs w:val="22"/>
        </w:rPr>
        <w:t xml:space="preserve">———. </w:t>
      </w:r>
      <w:r w:rsidR="00C271E6" w:rsidRPr="00B740B4">
        <w:rPr>
          <w:b/>
          <w:bCs/>
          <w:sz w:val="22"/>
          <w:szCs w:val="22"/>
        </w:rPr>
        <w:t xml:space="preserve">Taylor, R. A. </w:t>
      </w:r>
      <w:r w:rsidR="00934A11" w:rsidRPr="00B740B4">
        <w:rPr>
          <w:b/>
          <w:bCs/>
          <w:sz w:val="22"/>
          <w:szCs w:val="22"/>
        </w:rPr>
        <w:t>“</w:t>
      </w:r>
      <w:r w:rsidR="00C271E6" w:rsidRPr="00B740B4">
        <w:rPr>
          <w:bCs/>
          <w:sz w:val="22"/>
          <w:szCs w:val="22"/>
        </w:rPr>
        <w:t>The Book of Daniel in the Bible of Edessa.</w:t>
      </w:r>
      <w:r w:rsidR="00934A11" w:rsidRPr="00B740B4">
        <w:rPr>
          <w:bCs/>
          <w:sz w:val="22"/>
          <w:szCs w:val="22"/>
        </w:rPr>
        <w:t>”</w:t>
      </w:r>
      <w:r w:rsidR="00C271E6" w:rsidRPr="00B740B4">
        <w:rPr>
          <w:b/>
          <w:sz w:val="22"/>
          <w:szCs w:val="22"/>
        </w:rPr>
        <w:t xml:space="preserve"> </w:t>
      </w:r>
      <w:r w:rsidR="00AE30BD" w:rsidRPr="00B740B4">
        <w:rPr>
          <w:b/>
          <w:sz w:val="22"/>
          <w:szCs w:val="22"/>
        </w:rPr>
        <w:t xml:space="preserve">———. </w:t>
      </w:r>
      <w:r w:rsidR="00AE30BD" w:rsidRPr="00B740B4">
        <w:rPr>
          <w:rFonts w:eastAsiaTheme="minorHAnsi" w:cs="TimesNewRomanPSMT"/>
          <w:i/>
          <w:sz w:val="22"/>
          <w:szCs w:val="22"/>
          <w:lang w:bidi="he-IL"/>
        </w:rPr>
        <w:t>The Peshiṭta of Daniel</w:t>
      </w:r>
      <w:r w:rsidR="00AE30BD" w:rsidRPr="00B740B4">
        <w:rPr>
          <w:rFonts w:eastAsiaTheme="minorHAnsi" w:cs="TimesNewRomanPSMT"/>
          <w:sz w:val="22"/>
          <w:szCs w:val="22"/>
          <w:lang w:bidi="he-IL"/>
        </w:rPr>
        <w:t xml:space="preserve">. </w:t>
      </w:r>
      <w:r w:rsidR="001B2642" w:rsidRPr="00B740B4">
        <w:rPr>
          <w:b/>
          <w:sz w:val="22"/>
          <w:szCs w:val="22"/>
        </w:rPr>
        <w:t>Theisohn, J.</w:t>
      </w:r>
      <w:r w:rsidR="001B2642" w:rsidRPr="00B740B4">
        <w:rPr>
          <w:sz w:val="22"/>
          <w:szCs w:val="22"/>
        </w:rPr>
        <w:t xml:space="preserve"> </w:t>
      </w:r>
      <w:r w:rsidR="001B2642" w:rsidRPr="00B740B4">
        <w:rPr>
          <w:i/>
          <w:sz w:val="22"/>
          <w:szCs w:val="22"/>
        </w:rPr>
        <w:t>Der auserwählte Richter</w:t>
      </w:r>
      <w:r w:rsidR="001B2642" w:rsidRPr="00376A8E">
        <w:rPr>
          <w:sz w:val="22"/>
          <w:szCs w:val="22"/>
        </w:rPr>
        <w:t xml:space="preserve">. </w:t>
      </w:r>
      <w:r w:rsidR="00376A8E" w:rsidRPr="00376A8E">
        <w:rPr>
          <w:rFonts w:ascii="Calibri" w:eastAsia="Times New Roman" w:hAnsi="Calibri" w:cs="Times New Roman"/>
          <w:b/>
          <w:bCs/>
          <w:sz w:val="22"/>
          <w:szCs w:val="22"/>
        </w:rPr>
        <w:t>Theophilos</w:t>
      </w:r>
      <w:r w:rsidR="00376A8E" w:rsidRPr="00376A8E">
        <w:rPr>
          <w:rFonts w:ascii="Calibri" w:eastAsia="Times New Roman" w:hAnsi="Calibri" w:cs="Times New Roman"/>
          <w:bCs/>
          <w:sz w:val="22"/>
          <w:szCs w:val="22"/>
        </w:rPr>
        <w:t xml:space="preserve">, </w:t>
      </w:r>
      <w:r w:rsidR="00376A8E" w:rsidRPr="00376A8E">
        <w:rPr>
          <w:rFonts w:ascii="Calibri" w:eastAsia="Times New Roman" w:hAnsi="Calibri" w:cs="Times New Roman"/>
          <w:b/>
          <w:bCs/>
          <w:sz w:val="22"/>
          <w:szCs w:val="22"/>
        </w:rPr>
        <w:t>M.</w:t>
      </w:r>
      <w:r w:rsidR="00376A8E" w:rsidRPr="00376A8E">
        <w:rPr>
          <w:rFonts w:ascii="Calibri" w:eastAsia="Times New Roman" w:hAnsi="Calibri" w:cs="Times New Roman"/>
          <w:bCs/>
          <w:sz w:val="22"/>
          <w:szCs w:val="22"/>
        </w:rPr>
        <w:t xml:space="preserve"> </w:t>
      </w:r>
      <w:r w:rsidR="00376A8E" w:rsidRPr="00376A8E">
        <w:rPr>
          <w:rFonts w:ascii="Calibri" w:eastAsia="Times New Roman" w:hAnsi="Calibri" w:cs="Times New Roman"/>
          <w:bCs/>
          <w:i/>
          <w:iCs/>
          <w:sz w:val="22"/>
          <w:szCs w:val="22"/>
        </w:rPr>
        <w:t>The Abomina</w:t>
      </w:r>
      <w:r w:rsidR="00376A8E">
        <w:rPr>
          <w:rFonts w:ascii="Calibri" w:eastAsia="Times New Roman" w:hAnsi="Calibri" w:cs="Times New Roman"/>
          <w:bCs/>
          <w:i/>
          <w:iCs/>
          <w:sz w:val="22"/>
          <w:szCs w:val="22"/>
        </w:rPr>
        <w:t>tion ofDesolation in Matthew 24</w:t>
      </w:r>
      <w:r w:rsidR="00376A8E" w:rsidRPr="00376A8E">
        <w:rPr>
          <w:rFonts w:ascii="Calibri" w:eastAsia="Times New Roman" w:hAnsi="Calibri" w:cs="Times New Roman"/>
          <w:bCs/>
          <w:iCs/>
          <w:sz w:val="22"/>
          <w:szCs w:val="22"/>
        </w:rPr>
        <w:t>.</w:t>
      </w:r>
      <w:r w:rsidR="00376A8E" w:rsidRPr="00376A8E">
        <w:rPr>
          <w:rFonts w:ascii="Calibri" w:eastAsia="Times New Roman" w:hAnsi="Calibri" w:cs="Times New Roman"/>
          <w:bCs/>
          <w:sz w:val="22"/>
          <w:szCs w:val="22"/>
        </w:rPr>
        <w:t xml:space="preserve"> </w:t>
      </w:r>
      <w:r w:rsidR="006F51F2" w:rsidRPr="00376A8E">
        <w:rPr>
          <w:b/>
          <w:sz w:val="22"/>
          <w:szCs w:val="22"/>
        </w:rPr>
        <w:t>Tilly, M.</w:t>
      </w:r>
      <w:r w:rsidR="006F51F2" w:rsidRPr="00376A8E">
        <w:rPr>
          <w:sz w:val="22"/>
          <w:szCs w:val="22"/>
        </w:rPr>
        <w:t xml:space="preserve"> </w:t>
      </w:r>
      <w:r w:rsidR="00934A11" w:rsidRPr="00376A8E">
        <w:rPr>
          <w:sz w:val="22"/>
          <w:szCs w:val="22"/>
        </w:rPr>
        <w:t>“</w:t>
      </w:r>
      <w:r w:rsidR="006F51F2" w:rsidRPr="00376A8E">
        <w:rPr>
          <w:sz w:val="22"/>
          <w:szCs w:val="22"/>
        </w:rPr>
        <w:t>Die Rezeption</w:t>
      </w:r>
      <w:r w:rsidR="003B625C" w:rsidRPr="00376A8E">
        <w:rPr>
          <w:sz w:val="22"/>
          <w:szCs w:val="22"/>
        </w:rPr>
        <w:t xml:space="preserve"> des Danielbuches</w:t>
      </w:r>
      <w:r w:rsidR="003B625C" w:rsidRPr="00B740B4">
        <w:rPr>
          <w:sz w:val="22"/>
          <w:szCs w:val="22"/>
        </w:rPr>
        <w:t xml:space="preserve"> im hellenisti</w:t>
      </w:r>
      <w:r w:rsidR="006F51F2" w:rsidRPr="00B740B4">
        <w:rPr>
          <w:sz w:val="22"/>
          <w:szCs w:val="22"/>
        </w:rPr>
        <w:t>schen Judentum</w:t>
      </w:r>
      <w:r w:rsidR="008C0493" w:rsidRPr="00B740B4">
        <w:rPr>
          <w:sz w:val="22"/>
          <w:szCs w:val="22"/>
        </w:rPr>
        <w:t>,</w:t>
      </w:r>
      <w:r w:rsidR="00934A11" w:rsidRPr="00B740B4">
        <w:rPr>
          <w:sz w:val="22"/>
          <w:szCs w:val="22"/>
        </w:rPr>
        <w:t>”</w:t>
      </w:r>
      <w:r w:rsidR="008C0493" w:rsidRPr="00B740B4">
        <w:rPr>
          <w:sz w:val="22"/>
          <w:szCs w:val="22"/>
        </w:rPr>
        <w:t xml:space="preserve"> in</w:t>
      </w:r>
      <w:r w:rsidR="006F51F2" w:rsidRPr="00B740B4">
        <w:rPr>
          <w:sz w:val="22"/>
          <w:szCs w:val="22"/>
        </w:rPr>
        <w:t xml:space="preserve"> </w:t>
      </w:r>
      <w:r w:rsidR="006F51F2" w:rsidRPr="00B740B4">
        <w:rPr>
          <w:bCs/>
          <w:sz w:val="22"/>
          <w:szCs w:val="22"/>
        </w:rPr>
        <w:t>Bracht/du Toit</w:t>
      </w:r>
      <w:r w:rsidR="006F51F2" w:rsidRPr="00B740B4">
        <w:rPr>
          <w:bCs/>
          <w:i/>
          <w:iCs/>
          <w:sz w:val="22"/>
          <w:szCs w:val="22"/>
        </w:rPr>
        <w:t xml:space="preserve"> </w:t>
      </w:r>
      <w:r w:rsidR="006F51F2" w:rsidRPr="00B740B4">
        <w:rPr>
          <w:bCs/>
          <w:iCs/>
          <w:sz w:val="22"/>
          <w:szCs w:val="22"/>
        </w:rPr>
        <w:t xml:space="preserve">(eds.), </w:t>
      </w:r>
      <w:r w:rsidR="006F51F2" w:rsidRPr="00B740B4">
        <w:rPr>
          <w:bCs/>
          <w:i/>
          <w:iCs/>
          <w:sz w:val="22"/>
          <w:szCs w:val="22"/>
        </w:rPr>
        <w:t>Die Geschichte der Daniel-Auslegung</w:t>
      </w:r>
      <w:r w:rsidR="006F51F2" w:rsidRPr="00B740B4">
        <w:rPr>
          <w:bCs/>
          <w:iCs/>
          <w:sz w:val="22"/>
          <w:szCs w:val="22"/>
        </w:rPr>
        <w:t>, 31-54.</w:t>
      </w:r>
      <w:r w:rsidR="006F51F2" w:rsidRPr="00B740B4">
        <w:rPr>
          <w:b/>
          <w:sz w:val="22"/>
          <w:szCs w:val="22"/>
        </w:rPr>
        <w:t xml:space="preserve"> </w:t>
      </w:r>
      <w:r w:rsidR="001B2642" w:rsidRPr="00B740B4">
        <w:rPr>
          <w:b/>
          <w:sz w:val="22"/>
          <w:szCs w:val="22"/>
        </w:rPr>
        <w:t>Toon, P.</w:t>
      </w:r>
      <w:r w:rsidR="001B2642" w:rsidRPr="00B740B4">
        <w:rPr>
          <w:sz w:val="22"/>
          <w:szCs w:val="22"/>
        </w:rPr>
        <w:t xml:space="preserve"> </w:t>
      </w:r>
      <w:r w:rsidR="001B2642" w:rsidRPr="00B740B4">
        <w:rPr>
          <w:i/>
          <w:sz w:val="22"/>
          <w:szCs w:val="22"/>
        </w:rPr>
        <w:t>Puritans, the Millennium, and the Future of Israel</w:t>
      </w:r>
      <w:r w:rsidR="001B2642" w:rsidRPr="00B740B4">
        <w:rPr>
          <w:sz w:val="22"/>
          <w:szCs w:val="22"/>
        </w:rPr>
        <w:t xml:space="preserve">. </w:t>
      </w:r>
      <w:r w:rsidR="00833C7C" w:rsidRPr="00B740B4">
        <w:rPr>
          <w:b/>
          <w:sz w:val="22"/>
          <w:szCs w:val="22"/>
        </w:rPr>
        <w:t>Tov, E.</w:t>
      </w:r>
      <w:r w:rsidR="00833C7C" w:rsidRPr="00B740B4">
        <w:rPr>
          <w:sz w:val="22"/>
          <w:szCs w:val="22"/>
        </w:rPr>
        <w:t xml:space="preserve"> </w:t>
      </w:r>
      <w:r w:rsidR="00833C7C" w:rsidRPr="00B740B4">
        <w:rPr>
          <w:i/>
          <w:sz w:val="22"/>
          <w:szCs w:val="22"/>
        </w:rPr>
        <w:t>The Text-Critical Use of the Septuagint in Biblical Research</w:t>
      </w:r>
      <w:r w:rsidR="00833C7C" w:rsidRPr="00B740B4">
        <w:rPr>
          <w:sz w:val="22"/>
          <w:szCs w:val="22"/>
        </w:rPr>
        <w:t xml:space="preserve">. ———. </w:t>
      </w:r>
      <w:r w:rsidR="00A12626" w:rsidRPr="00B740B4">
        <w:rPr>
          <w:i/>
          <w:sz w:val="22"/>
          <w:szCs w:val="22"/>
        </w:rPr>
        <w:t>Textual Criticism of the Hebrew Bible</w:t>
      </w:r>
      <w:r w:rsidR="00A12626" w:rsidRPr="00B740B4">
        <w:rPr>
          <w:sz w:val="22"/>
          <w:szCs w:val="22"/>
        </w:rPr>
        <w:t xml:space="preserve">. </w:t>
      </w:r>
      <w:r w:rsidR="00A12626" w:rsidRPr="00B740B4">
        <w:rPr>
          <w:i/>
          <w:sz w:val="22"/>
          <w:szCs w:val="22"/>
        </w:rPr>
        <w:t xml:space="preserve">———. </w:t>
      </w:r>
      <w:r w:rsidR="00934A11" w:rsidRPr="00B740B4">
        <w:rPr>
          <w:bCs/>
          <w:sz w:val="22"/>
          <w:szCs w:val="22"/>
        </w:rPr>
        <w:t>“</w:t>
      </w:r>
      <w:r w:rsidR="00F76893" w:rsidRPr="00B740B4">
        <w:rPr>
          <w:bCs/>
          <w:sz w:val="22"/>
          <w:szCs w:val="22"/>
        </w:rPr>
        <w:t>Three Strange Books of the LXX.</w:t>
      </w:r>
      <w:r w:rsidR="00934A11" w:rsidRPr="00B740B4">
        <w:rPr>
          <w:bCs/>
          <w:sz w:val="22"/>
          <w:szCs w:val="22"/>
        </w:rPr>
        <w:t>”</w:t>
      </w:r>
      <w:r w:rsidR="00F76893" w:rsidRPr="00B740B4">
        <w:rPr>
          <w:bCs/>
          <w:sz w:val="22"/>
          <w:szCs w:val="22"/>
        </w:rPr>
        <w:t xml:space="preserve"> </w:t>
      </w:r>
      <w:r w:rsidR="001B2642" w:rsidRPr="00B740B4">
        <w:rPr>
          <w:b/>
          <w:sz w:val="22"/>
          <w:szCs w:val="22"/>
        </w:rPr>
        <w:t>Towner, W. S.</w:t>
      </w:r>
      <w:r w:rsidR="001B2642" w:rsidRPr="00B740B4">
        <w:rPr>
          <w:sz w:val="22"/>
          <w:szCs w:val="22"/>
        </w:rPr>
        <w:t xml:space="preserve"> </w:t>
      </w:r>
      <w:r w:rsidR="00934A11" w:rsidRPr="00B740B4">
        <w:rPr>
          <w:sz w:val="22"/>
          <w:szCs w:val="22"/>
        </w:rPr>
        <w:t>“</w:t>
      </w:r>
      <w:r w:rsidR="001B2642" w:rsidRPr="00B740B4">
        <w:rPr>
          <w:sz w:val="22"/>
          <w:szCs w:val="22"/>
        </w:rPr>
        <w:t>Were the English Puritans ‘the Saints of the Most High’?</w:t>
      </w:r>
      <w:r w:rsidR="00934A11" w:rsidRPr="00B740B4">
        <w:rPr>
          <w:sz w:val="22"/>
          <w:szCs w:val="22"/>
        </w:rPr>
        <w:t>”</w:t>
      </w:r>
      <w:r w:rsidR="001B2642" w:rsidRPr="00B740B4">
        <w:rPr>
          <w:sz w:val="22"/>
          <w:szCs w:val="22"/>
        </w:rPr>
        <w:t xml:space="preserve"> </w:t>
      </w:r>
      <w:r w:rsidR="00E9348A" w:rsidRPr="00B740B4">
        <w:rPr>
          <w:b/>
          <w:sz w:val="22"/>
          <w:szCs w:val="22"/>
        </w:rPr>
        <w:t xml:space="preserve">Trakatallis, D. </w:t>
      </w:r>
      <w:r w:rsidR="00934A11" w:rsidRPr="00B740B4">
        <w:rPr>
          <w:sz w:val="22"/>
          <w:szCs w:val="22"/>
        </w:rPr>
        <w:t>“</w:t>
      </w:r>
      <w:r w:rsidR="00E9348A" w:rsidRPr="00B740B4">
        <w:rPr>
          <w:sz w:val="22"/>
          <w:szCs w:val="22"/>
          <w:lang w:val="el-GR"/>
        </w:rPr>
        <w:t>Λογος</w:t>
      </w:r>
      <w:r w:rsidR="00E9348A" w:rsidRPr="00B740B4">
        <w:rPr>
          <w:sz w:val="22"/>
          <w:szCs w:val="22"/>
        </w:rPr>
        <w:t xml:space="preserve">  </w:t>
      </w:r>
      <w:r w:rsidR="00E9348A" w:rsidRPr="00B740B4">
        <w:rPr>
          <w:sz w:val="22"/>
          <w:szCs w:val="22"/>
          <w:lang w:val="el-GR"/>
        </w:rPr>
        <w:t>Αγωνιστικος</w:t>
      </w:r>
      <w:r w:rsidR="00E9348A" w:rsidRPr="00B740B4">
        <w:rPr>
          <w:sz w:val="22"/>
          <w:szCs w:val="22"/>
        </w:rPr>
        <w:t>: Hippolytus’ Commentary on Daniel.</w:t>
      </w:r>
      <w:r w:rsidR="00934A11" w:rsidRPr="00B740B4">
        <w:rPr>
          <w:sz w:val="22"/>
          <w:szCs w:val="22"/>
        </w:rPr>
        <w:t>”</w:t>
      </w:r>
      <w:r w:rsidR="00E9348A" w:rsidRPr="00B740B4">
        <w:rPr>
          <w:sz w:val="22"/>
          <w:szCs w:val="22"/>
        </w:rPr>
        <w:t xml:space="preserve"> </w:t>
      </w:r>
      <w:r w:rsidR="001B2642" w:rsidRPr="00B740B4">
        <w:rPr>
          <w:b/>
          <w:sz w:val="22"/>
          <w:szCs w:val="22"/>
        </w:rPr>
        <w:t>Trever, J. C.</w:t>
      </w:r>
      <w:r w:rsidR="001B2642" w:rsidRPr="00B740B4">
        <w:rPr>
          <w:sz w:val="22"/>
          <w:szCs w:val="22"/>
        </w:rPr>
        <w:t xml:space="preserve"> </w:t>
      </w:r>
      <w:r w:rsidR="00934A11" w:rsidRPr="00B740B4">
        <w:rPr>
          <w:sz w:val="22"/>
          <w:szCs w:val="22"/>
        </w:rPr>
        <w:t>“</w:t>
      </w:r>
      <w:r w:rsidR="001B2642" w:rsidRPr="00B740B4">
        <w:rPr>
          <w:sz w:val="22"/>
          <w:szCs w:val="22"/>
        </w:rPr>
        <w:t>The Book of Daniel and the Origin of the Qumran Community.</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Completion of the Publication of Some Fragments from Qumran Cave 1.</w:t>
      </w:r>
      <w:r w:rsidR="00934A11" w:rsidRPr="00B740B4">
        <w:rPr>
          <w:sz w:val="22"/>
          <w:szCs w:val="22"/>
        </w:rPr>
        <w:t>”</w:t>
      </w:r>
      <w:r w:rsidR="001B2642" w:rsidRPr="00B740B4">
        <w:rPr>
          <w:sz w:val="22"/>
          <w:szCs w:val="22"/>
        </w:rPr>
        <w:t xml:space="preserve"> ———. </w:t>
      </w:r>
      <w:r w:rsidR="00934A11" w:rsidRPr="00B740B4">
        <w:rPr>
          <w:sz w:val="22"/>
          <w:szCs w:val="22"/>
        </w:rPr>
        <w:t>“</w:t>
      </w:r>
      <w:r w:rsidR="001B2642" w:rsidRPr="00B740B4">
        <w:rPr>
          <w:sz w:val="22"/>
          <w:szCs w:val="22"/>
        </w:rPr>
        <w:t>1QDan</w:t>
      </w:r>
      <w:r w:rsidR="001B2642" w:rsidRPr="00B740B4">
        <w:rPr>
          <w:sz w:val="22"/>
          <w:szCs w:val="22"/>
          <w:vertAlign w:val="superscript"/>
        </w:rPr>
        <w:t>a</w:t>
      </w:r>
      <w:r w:rsidR="001B2642" w:rsidRPr="00B740B4">
        <w:rPr>
          <w:sz w:val="22"/>
          <w:szCs w:val="22"/>
        </w:rPr>
        <w:t>.</w:t>
      </w:r>
      <w:r w:rsidR="00934A11" w:rsidRPr="00B740B4">
        <w:rPr>
          <w:sz w:val="22"/>
          <w:szCs w:val="22"/>
        </w:rPr>
        <w:t>”</w:t>
      </w:r>
      <w:r w:rsidR="001B2642" w:rsidRPr="00B740B4">
        <w:rPr>
          <w:sz w:val="22"/>
          <w:szCs w:val="22"/>
        </w:rPr>
        <w:t xml:space="preserve"> </w:t>
      </w:r>
      <w:r w:rsidR="00382426" w:rsidRPr="00B740B4">
        <w:rPr>
          <w:b/>
          <w:sz w:val="22"/>
          <w:szCs w:val="22"/>
        </w:rPr>
        <w:t xml:space="preserve">Trotter, J. R. </w:t>
      </w:r>
      <w:r w:rsidR="00934A11" w:rsidRPr="00B740B4">
        <w:rPr>
          <w:sz w:val="22"/>
          <w:szCs w:val="22"/>
        </w:rPr>
        <w:t>“</w:t>
      </w:r>
      <w:r w:rsidR="00382426" w:rsidRPr="00B740B4">
        <w:rPr>
          <w:sz w:val="22"/>
          <w:szCs w:val="22"/>
        </w:rPr>
        <w:t>The Tradiiton of the Throne Vision in the Second Temple Period.</w:t>
      </w:r>
      <w:r w:rsidR="00934A11" w:rsidRPr="00B740B4">
        <w:rPr>
          <w:sz w:val="22"/>
          <w:szCs w:val="22"/>
        </w:rPr>
        <w:t>”</w:t>
      </w:r>
      <w:r w:rsidR="00382426" w:rsidRPr="00B740B4">
        <w:rPr>
          <w:sz w:val="22"/>
          <w:szCs w:val="22"/>
        </w:rPr>
        <w:t xml:space="preserve"> </w:t>
      </w:r>
      <w:r w:rsidR="00573146" w:rsidRPr="00B740B4">
        <w:rPr>
          <w:b/>
          <w:sz w:val="22"/>
          <w:szCs w:val="22"/>
        </w:rPr>
        <w:t>Tübach, J</w:t>
      </w:r>
      <w:r w:rsidR="00573146" w:rsidRPr="00B740B4">
        <w:rPr>
          <w:sz w:val="22"/>
          <w:szCs w:val="22"/>
        </w:rPr>
        <w:t xml:space="preserve">. </w:t>
      </w:r>
      <w:r w:rsidR="00934A11" w:rsidRPr="00B740B4">
        <w:rPr>
          <w:sz w:val="22"/>
          <w:szCs w:val="22"/>
        </w:rPr>
        <w:t>“</w:t>
      </w:r>
      <w:r w:rsidR="00573146" w:rsidRPr="00B740B4">
        <w:rPr>
          <w:sz w:val="22"/>
          <w:szCs w:val="22"/>
        </w:rPr>
        <w:t>Die syrische Danielrezeption,</w:t>
      </w:r>
      <w:r w:rsidR="004676C2">
        <w:rPr>
          <w:sz w:val="22"/>
          <w:szCs w:val="22"/>
        </w:rPr>
        <w:t>”</w:t>
      </w:r>
      <w:r w:rsidR="00573146" w:rsidRPr="00B740B4">
        <w:rPr>
          <w:sz w:val="22"/>
          <w:szCs w:val="22"/>
        </w:rPr>
        <w:t xml:space="preserve"> in </w:t>
      </w:r>
      <w:r w:rsidR="00A57608" w:rsidRPr="00B740B4">
        <w:rPr>
          <w:bCs/>
          <w:sz w:val="22"/>
          <w:szCs w:val="22"/>
        </w:rPr>
        <w:t xml:space="preserve"> </w:t>
      </w:r>
      <w:r w:rsidR="00381CF4" w:rsidRPr="00B740B4">
        <w:rPr>
          <w:bCs/>
          <w:sz w:val="22"/>
          <w:szCs w:val="22"/>
        </w:rPr>
        <w:t>Delgado/Koch/Marsch</w:t>
      </w:r>
      <w:r w:rsidR="00A57608" w:rsidRPr="00B740B4">
        <w:rPr>
          <w:bCs/>
          <w:sz w:val="22"/>
          <w:szCs w:val="22"/>
        </w:rPr>
        <w:t xml:space="preserve"> (eds.),</w:t>
      </w:r>
      <w:r w:rsidR="00573146" w:rsidRPr="00B740B4">
        <w:rPr>
          <w:bCs/>
          <w:sz w:val="22"/>
          <w:szCs w:val="22"/>
        </w:rPr>
        <w:t xml:space="preserve"> </w:t>
      </w:r>
      <w:r w:rsidR="00573146" w:rsidRPr="00B740B4">
        <w:rPr>
          <w:bCs/>
          <w:i/>
          <w:sz w:val="22"/>
          <w:szCs w:val="22"/>
        </w:rPr>
        <w:t>Europa, Tausendjähriges Reich und Neue</w:t>
      </w:r>
      <w:r w:rsidR="00573146" w:rsidRPr="00B740B4">
        <w:rPr>
          <w:bCs/>
          <w:sz w:val="22"/>
          <w:szCs w:val="22"/>
        </w:rPr>
        <w:t xml:space="preserve"> </w:t>
      </w:r>
      <w:r w:rsidR="00573146" w:rsidRPr="00B740B4">
        <w:rPr>
          <w:bCs/>
          <w:i/>
          <w:sz w:val="22"/>
          <w:szCs w:val="22"/>
        </w:rPr>
        <w:t>Welt</w:t>
      </w:r>
      <w:r w:rsidR="00573146" w:rsidRPr="00B740B4">
        <w:rPr>
          <w:bCs/>
          <w:sz w:val="22"/>
          <w:szCs w:val="22"/>
        </w:rPr>
        <w:t>, 105-38.</w:t>
      </w:r>
      <w:r w:rsidR="00573146" w:rsidRPr="00B740B4">
        <w:rPr>
          <w:sz w:val="22"/>
          <w:szCs w:val="22"/>
        </w:rPr>
        <w:t xml:space="preserve"> </w:t>
      </w:r>
      <w:r w:rsidR="000C4D94" w:rsidRPr="00B740B4">
        <w:rPr>
          <w:b/>
          <w:sz w:val="22"/>
          <w:szCs w:val="22"/>
        </w:rPr>
        <w:t>Ulrich, D. R.</w:t>
      </w:r>
      <w:r w:rsidR="000C4D94" w:rsidRPr="00B740B4">
        <w:rPr>
          <w:sz w:val="22"/>
          <w:szCs w:val="22"/>
        </w:rPr>
        <w:t xml:space="preserve"> </w:t>
      </w:r>
      <w:r w:rsidR="00934A11" w:rsidRPr="00B740B4">
        <w:rPr>
          <w:sz w:val="22"/>
          <w:szCs w:val="22"/>
        </w:rPr>
        <w:t>“</w:t>
      </w:r>
      <w:r w:rsidR="000C4D94" w:rsidRPr="00B740B4">
        <w:rPr>
          <w:sz w:val="22"/>
          <w:szCs w:val="22"/>
        </w:rPr>
        <w:t>How Early Judaism Read Daniel 9:24-27.</w:t>
      </w:r>
      <w:r w:rsidR="00934A11" w:rsidRPr="00B740B4">
        <w:rPr>
          <w:sz w:val="22"/>
          <w:szCs w:val="22"/>
        </w:rPr>
        <w:t>”</w:t>
      </w:r>
      <w:r w:rsidR="00DE334E" w:rsidRPr="00B740B4">
        <w:rPr>
          <w:sz w:val="22"/>
          <w:szCs w:val="22"/>
        </w:rPr>
        <w:t xml:space="preserve"> </w:t>
      </w:r>
      <w:r w:rsidR="00E77A16" w:rsidRPr="00B740B4">
        <w:rPr>
          <w:rFonts w:eastAsiaTheme="minorHAnsi"/>
          <w:b/>
          <w:bCs/>
          <w:sz w:val="22"/>
          <w:szCs w:val="22"/>
        </w:rPr>
        <w:t>Ulrich, E</w:t>
      </w:r>
      <w:r w:rsidR="00E77A16" w:rsidRPr="004676C2">
        <w:rPr>
          <w:rFonts w:eastAsiaTheme="minorHAnsi"/>
          <w:b/>
          <w:bCs/>
          <w:sz w:val="22"/>
          <w:szCs w:val="22"/>
        </w:rPr>
        <w:t xml:space="preserve">. </w:t>
      </w:r>
      <w:r w:rsidR="00F26979" w:rsidRPr="004676C2">
        <w:rPr>
          <w:rFonts w:eastAsiaTheme="minorHAnsi"/>
          <w:bCs/>
          <w:i/>
          <w:sz w:val="22"/>
          <w:szCs w:val="22"/>
        </w:rPr>
        <w:t>The Biblical Qumran Scrolls,</w:t>
      </w:r>
      <w:r w:rsidR="00F26979" w:rsidRPr="004676C2">
        <w:rPr>
          <w:rFonts w:eastAsiaTheme="minorHAnsi"/>
          <w:bCs/>
          <w:sz w:val="22"/>
          <w:szCs w:val="22"/>
        </w:rPr>
        <w:t xml:space="preserve"> 755-75. </w:t>
      </w:r>
      <w:r w:rsidR="00F26979" w:rsidRPr="004676C2">
        <w:rPr>
          <w:rFonts w:eastAsiaTheme="minorHAnsi"/>
          <w:b/>
          <w:bCs/>
          <w:sz w:val="22"/>
          <w:szCs w:val="22"/>
        </w:rPr>
        <w:t>—</w:t>
      </w:r>
      <w:r w:rsidR="00F26979" w:rsidRPr="00F26979">
        <w:rPr>
          <w:rFonts w:eastAsiaTheme="minorHAnsi"/>
          <w:b/>
          <w:bCs/>
          <w:sz w:val="22"/>
          <w:szCs w:val="22"/>
        </w:rPr>
        <w:t>——.</w:t>
      </w:r>
      <w:r w:rsidR="00F26979" w:rsidRPr="00F26979">
        <w:rPr>
          <w:rFonts w:eastAsiaTheme="minorHAnsi"/>
          <w:bCs/>
          <w:sz w:val="22"/>
          <w:szCs w:val="22"/>
        </w:rPr>
        <w:t xml:space="preserve"> </w:t>
      </w:r>
      <w:r w:rsidR="00934A11" w:rsidRPr="00B740B4">
        <w:rPr>
          <w:rFonts w:eastAsiaTheme="minorHAnsi"/>
          <w:bCs/>
          <w:sz w:val="22"/>
          <w:szCs w:val="22"/>
        </w:rPr>
        <w:t>“</w:t>
      </w:r>
      <w:r w:rsidR="00E77A16" w:rsidRPr="00B740B4">
        <w:rPr>
          <w:rFonts w:eastAsiaTheme="minorHAnsi"/>
          <w:bCs/>
          <w:sz w:val="22"/>
          <w:szCs w:val="22"/>
        </w:rPr>
        <w:t>Daniel Manuscri</w:t>
      </w:r>
      <w:r w:rsidR="00DC319C" w:rsidRPr="00B740B4">
        <w:rPr>
          <w:rFonts w:eastAsiaTheme="minorHAnsi"/>
          <w:bCs/>
          <w:sz w:val="22"/>
          <w:szCs w:val="22"/>
        </w:rPr>
        <w:t>p</w:t>
      </w:r>
      <w:r w:rsidR="00E77A16" w:rsidRPr="00B740B4">
        <w:rPr>
          <w:rFonts w:eastAsiaTheme="minorHAnsi"/>
          <w:bCs/>
          <w:sz w:val="22"/>
          <w:szCs w:val="22"/>
        </w:rPr>
        <w:t>ts from Qumran.</w:t>
      </w:r>
      <w:r w:rsidR="00934A11" w:rsidRPr="00B740B4">
        <w:rPr>
          <w:rFonts w:eastAsiaTheme="minorHAnsi"/>
          <w:bCs/>
          <w:sz w:val="22"/>
          <w:szCs w:val="22"/>
        </w:rPr>
        <w:t>”</w:t>
      </w:r>
      <w:r w:rsidR="00E77A16" w:rsidRPr="00B740B4">
        <w:rPr>
          <w:rFonts w:eastAsiaTheme="minorHAnsi"/>
          <w:bCs/>
          <w:sz w:val="22"/>
          <w:szCs w:val="22"/>
        </w:rPr>
        <w:t xml:space="preserve"> </w:t>
      </w:r>
      <w:r w:rsidR="00E77A16" w:rsidRPr="00B740B4">
        <w:rPr>
          <w:rFonts w:eastAsiaTheme="minorHAnsi"/>
          <w:b/>
          <w:bCs/>
          <w:sz w:val="22"/>
          <w:szCs w:val="22"/>
        </w:rPr>
        <w:t>———.</w:t>
      </w:r>
      <w:r w:rsidR="00240052" w:rsidRPr="00B740B4">
        <w:rPr>
          <w:sz w:val="22"/>
          <w:szCs w:val="22"/>
        </w:rPr>
        <w:t xml:space="preserve"> </w:t>
      </w:r>
      <w:r w:rsidR="00240052" w:rsidRPr="00B740B4">
        <w:rPr>
          <w:i/>
          <w:sz w:val="22"/>
          <w:szCs w:val="22"/>
        </w:rPr>
        <w:t>The Dead Sea Scrolls and the Developmental Composition of the Bible</w:t>
      </w:r>
      <w:r w:rsidR="00240052" w:rsidRPr="00B740B4">
        <w:rPr>
          <w:sz w:val="22"/>
          <w:szCs w:val="22"/>
        </w:rPr>
        <w:t xml:space="preserve">. </w:t>
      </w:r>
      <w:r w:rsidR="003F2796" w:rsidRPr="004676C2">
        <w:rPr>
          <w:b/>
          <w:bCs/>
          <w:sz w:val="22"/>
          <w:szCs w:val="22"/>
        </w:rPr>
        <w:t xml:space="preserve">———. </w:t>
      </w:r>
      <w:r w:rsidR="003F2796" w:rsidRPr="004676C2">
        <w:rPr>
          <w:rFonts w:eastAsiaTheme="minorHAnsi"/>
          <w:sz w:val="22"/>
          <w:szCs w:val="22"/>
        </w:rPr>
        <w:t>“Orthography and Text in 4QDan</w:t>
      </w:r>
      <w:r w:rsidR="003F2796" w:rsidRPr="004676C2">
        <w:rPr>
          <w:rFonts w:eastAsiaTheme="minorHAnsi"/>
          <w:sz w:val="22"/>
          <w:szCs w:val="22"/>
          <w:vertAlign w:val="superscript"/>
        </w:rPr>
        <w:t>a</w:t>
      </w:r>
      <w:r w:rsidR="003F2796" w:rsidRPr="004676C2">
        <w:rPr>
          <w:rFonts w:eastAsiaTheme="minorHAnsi"/>
          <w:sz w:val="22"/>
          <w:szCs w:val="22"/>
        </w:rPr>
        <w:t xml:space="preserve"> and 4QDan</w:t>
      </w:r>
      <w:r w:rsidR="003F2796" w:rsidRPr="004676C2">
        <w:rPr>
          <w:rFonts w:eastAsiaTheme="minorHAnsi"/>
          <w:sz w:val="22"/>
          <w:szCs w:val="22"/>
          <w:vertAlign w:val="superscript"/>
        </w:rPr>
        <w:t>b</w:t>
      </w:r>
      <w:r w:rsidR="003F2796" w:rsidRPr="004676C2">
        <w:rPr>
          <w:rFonts w:eastAsiaTheme="minorHAnsi"/>
          <w:sz w:val="22"/>
          <w:szCs w:val="22"/>
        </w:rPr>
        <w:t xml:space="preserve"> and in the Received Masoretic Text.” </w:t>
      </w:r>
      <w:r w:rsidR="00240052" w:rsidRPr="004676C2">
        <w:rPr>
          <w:sz w:val="22"/>
          <w:szCs w:val="22"/>
        </w:rPr>
        <w:t xml:space="preserve">———. </w:t>
      </w:r>
      <w:r w:rsidR="00934A11" w:rsidRPr="004676C2">
        <w:rPr>
          <w:sz w:val="22"/>
          <w:szCs w:val="22"/>
        </w:rPr>
        <w:t>“</w:t>
      </w:r>
      <w:r w:rsidR="00363A72" w:rsidRPr="004676C2">
        <w:rPr>
          <w:sz w:val="22"/>
          <w:szCs w:val="22"/>
        </w:rPr>
        <w:t>The Pa</w:t>
      </w:r>
      <w:r w:rsidR="00F26979" w:rsidRPr="004676C2">
        <w:rPr>
          <w:sz w:val="22"/>
          <w:szCs w:val="22"/>
        </w:rPr>
        <w:t>ra</w:t>
      </w:r>
      <w:r w:rsidR="00F26979">
        <w:rPr>
          <w:sz w:val="22"/>
          <w:szCs w:val="22"/>
        </w:rPr>
        <w:t>llel Editions of the OG and MT</w:t>
      </w:r>
      <w:r w:rsidR="002C268A">
        <w:rPr>
          <w:sz w:val="22"/>
          <w:szCs w:val="22"/>
        </w:rPr>
        <w:t xml:space="preserve"> of Daniel 5</w:t>
      </w:r>
      <w:r w:rsidR="00363A72" w:rsidRPr="00B740B4">
        <w:rPr>
          <w:sz w:val="22"/>
          <w:szCs w:val="22"/>
        </w:rPr>
        <w:t>.</w:t>
      </w:r>
      <w:r w:rsidR="002C268A">
        <w:rPr>
          <w:sz w:val="22"/>
          <w:szCs w:val="22"/>
        </w:rPr>
        <w:t>”</w:t>
      </w:r>
      <w:r w:rsidR="00363A72" w:rsidRPr="00B740B4">
        <w:rPr>
          <w:sz w:val="22"/>
          <w:szCs w:val="22"/>
        </w:rPr>
        <w:t xml:space="preserve"> ———. </w:t>
      </w:r>
      <w:r w:rsidR="00934A11" w:rsidRPr="00B740B4">
        <w:rPr>
          <w:sz w:val="22"/>
          <w:szCs w:val="22"/>
        </w:rPr>
        <w:t>“</w:t>
      </w:r>
      <w:r w:rsidR="00DE334E" w:rsidRPr="00B740B4">
        <w:rPr>
          <w:sz w:val="22"/>
          <w:szCs w:val="22"/>
        </w:rPr>
        <w:t>The Text of Daniel in the Qumran Scrolls,</w:t>
      </w:r>
      <w:r w:rsidR="00934A11" w:rsidRPr="00B740B4">
        <w:rPr>
          <w:sz w:val="22"/>
          <w:szCs w:val="22"/>
        </w:rPr>
        <w:t>”</w:t>
      </w:r>
      <w:r w:rsidR="00DE334E" w:rsidRPr="00B740B4">
        <w:rPr>
          <w:sz w:val="22"/>
          <w:szCs w:val="22"/>
        </w:rPr>
        <w:t xml:space="preserve"> </w:t>
      </w:r>
      <w:r w:rsidR="00DE334E" w:rsidRPr="00B740B4">
        <w:rPr>
          <w:bCs/>
          <w:sz w:val="22"/>
          <w:szCs w:val="22"/>
        </w:rPr>
        <w:t xml:space="preserve">in Collins/Flint (eds.), </w:t>
      </w:r>
      <w:r w:rsidR="00DE334E" w:rsidRPr="00B740B4">
        <w:rPr>
          <w:bCs/>
          <w:i/>
          <w:sz w:val="22"/>
          <w:szCs w:val="22"/>
        </w:rPr>
        <w:t>The Book of Daniel</w:t>
      </w:r>
      <w:r w:rsidR="00DE334E" w:rsidRPr="00B740B4">
        <w:rPr>
          <w:bCs/>
          <w:sz w:val="22"/>
          <w:szCs w:val="22"/>
        </w:rPr>
        <w:t xml:space="preserve"> 2:573-85.</w:t>
      </w:r>
      <w:r w:rsidR="004676C2" w:rsidRPr="004676C2">
        <w:rPr>
          <w:rFonts w:eastAsiaTheme="minorHAnsi"/>
          <w:b/>
          <w:bCs/>
          <w:sz w:val="22"/>
          <w:szCs w:val="22"/>
        </w:rPr>
        <w:t xml:space="preserve"> </w:t>
      </w:r>
      <w:r w:rsidR="004676C2">
        <w:rPr>
          <w:b/>
          <w:bCs/>
          <w:sz w:val="22"/>
          <w:szCs w:val="22"/>
        </w:rPr>
        <w:t>Ulrich, E.,</w:t>
      </w:r>
      <w:r w:rsidR="009F603F" w:rsidRPr="00B740B4">
        <w:rPr>
          <w:b/>
          <w:sz w:val="22"/>
          <w:szCs w:val="22"/>
        </w:rPr>
        <w:t xml:space="preserve"> </w:t>
      </w:r>
      <w:r w:rsidR="00475A8C" w:rsidRPr="00B740B4">
        <w:rPr>
          <w:sz w:val="22"/>
          <w:szCs w:val="22"/>
        </w:rPr>
        <w:t xml:space="preserve">et al. </w:t>
      </w:r>
      <w:r w:rsidR="009F603F" w:rsidRPr="00B740B4">
        <w:rPr>
          <w:rStyle w:val="Strong"/>
          <w:b w:val="0"/>
          <w:i/>
          <w:sz w:val="22"/>
          <w:szCs w:val="22"/>
        </w:rPr>
        <w:t>Qumran</w:t>
      </w:r>
      <w:r w:rsidR="004676C2">
        <w:rPr>
          <w:rStyle w:val="Strong"/>
          <w:b w:val="0"/>
          <w:i/>
          <w:sz w:val="22"/>
          <w:szCs w:val="22"/>
        </w:rPr>
        <w:t xml:space="preserve"> Cave 4.XI</w:t>
      </w:r>
      <w:r w:rsidR="009F603F" w:rsidRPr="00B740B4">
        <w:rPr>
          <w:sz w:val="22"/>
          <w:szCs w:val="22"/>
        </w:rPr>
        <w:t xml:space="preserve">. </w:t>
      </w:r>
      <w:r w:rsidR="00E10CED" w:rsidRPr="00B740B4">
        <w:rPr>
          <w:b/>
          <w:bCs/>
          <w:sz w:val="22"/>
          <w:szCs w:val="22"/>
        </w:rPr>
        <w:t xml:space="preserve">Valeta, D. M. </w:t>
      </w:r>
      <w:r w:rsidR="00934A11" w:rsidRPr="00B740B4">
        <w:rPr>
          <w:rFonts w:eastAsiaTheme="minorHAnsi" w:cs="TimesNewRomanPS-BoldMT"/>
          <w:bCs/>
          <w:sz w:val="22"/>
          <w:szCs w:val="22"/>
        </w:rPr>
        <w:t>“</w:t>
      </w:r>
      <w:r w:rsidR="00D51FD7" w:rsidRPr="00B740B4">
        <w:rPr>
          <w:rFonts w:eastAsiaTheme="minorHAnsi" w:cs="TimesNewRomanPS-BoldMT"/>
          <w:bCs/>
          <w:sz w:val="22"/>
          <w:szCs w:val="22"/>
        </w:rPr>
        <w:t>The Book of Da</w:t>
      </w:r>
      <w:r w:rsidR="004676C2">
        <w:rPr>
          <w:rFonts w:eastAsiaTheme="minorHAnsi" w:cs="TimesNewRomanPS-BoldMT"/>
          <w:bCs/>
          <w:sz w:val="22"/>
          <w:szCs w:val="22"/>
        </w:rPr>
        <w:t>niel in Recent Research</w:t>
      </w:r>
      <w:r w:rsidR="00D51FD7" w:rsidRPr="00B740B4">
        <w:rPr>
          <w:rFonts w:eastAsiaTheme="minorHAnsi" w:cs="TimesNewRomanPS-BoldMT"/>
          <w:bCs/>
          <w:sz w:val="22"/>
          <w:szCs w:val="22"/>
        </w:rPr>
        <w:t>.</w:t>
      </w:r>
      <w:r w:rsidR="00934A11" w:rsidRPr="00B740B4">
        <w:rPr>
          <w:rFonts w:eastAsiaTheme="minorHAnsi" w:cs="TimesNewRomanPS-BoldMT"/>
          <w:bCs/>
          <w:sz w:val="22"/>
          <w:szCs w:val="22"/>
        </w:rPr>
        <w:t>”</w:t>
      </w:r>
      <w:r w:rsidR="00D51FD7" w:rsidRPr="00B740B4">
        <w:rPr>
          <w:rFonts w:eastAsiaTheme="minorHAnsi" w:cs="TimesNewRomanPS-BoldMT"/>
          <w:bCs/>
          <w:sz w:val="22"/>
          <w:szCs w:val="22"/>
        </w:rPr>
        <w:t xml:space="preserve"> ———. </w:t>
      </w:r>
      <w:r w:rsidR="009F603F" w:rsidRPr="00B740B4">
        <w:rPr>
          <w:b/>
          <w:sz w:val="22"/>
          <w:szCs w:val="22"/>
        </w:rPr>
        <w:t xml:space="preserve">VanderKam, J. C., </w:t>
      </w:r>
      <w:r w:rsidR="00475A8C" w:rsidRPr="004676C2">
        <w:rPr>
          <w:sz w:val="22"/>
          <w:szCs w:val="22"/>
        </w:rPr>
        <w:t>et al.</w:t>
      </w:r>
      <w:r w:rsidR="00475A8C" w:rsidRPr="00B740B4">
        <w:rPr>
          <w:b/>
          <w:sz w:val="22"/>
          <w:szCs w:val="22"/>
        </w:rPr>
        <w:t xml:space="preserve"> </w:t>
      </w:r>
      <w:hyperlink r:id="rId12" w:tgtFrame="parent" w:history="1">
        <w:r w:rsidR="009F603F" w:rsidRPr="00B740B4">
          <w:rPr>
            <w:rStyle w:val="Hyperlink"/>
            <w:bCs/>
            <w:i/>
            <w:sz w:val="22"/>
            <w:szCs w:val="22"/>
            <w:u w:val="none"/>
          </w:rPr>
          <w:t>Qumran Cave 4.</w:t>
        </w:r>
        <w:r w:rsidR="004676C2">
          <w:rPr>
            <w:rStyle w:val="Hyperlink"/>
            <w:bCs/>
            <w:i/>
            <w:sz w:val="22"/>
            <w:szCs w:val="22"/>
            <w:u w:val="none"/>
          </w:rPr>
          <w:t>XVII</w:t>
        </w:r>
        <w:r w:rsidR="009F603F" w:rsidRPr="00B740B4">
          <w:rPr>
            <w:rStyle w:val="Hyperlink"/>
            <w:bCs/>
            <w:i/>
            <w:sz w:val="22"/>
            <w:szCs w:val="22"/>
            <w:u w:val="none"/>
          </w:rPr>
          <w:t xml:space="preserve">. </w:t>
        </w:r>
      </w:hyperlink>
      <w:r w:rsidR="008E6BC8" w:rsidRPr="00B740B4">
        <w:rPr>
          <w:b/>
          <w:sz w:val="22"/>
          <w:szCs w:val="22"/>
        </w:rPr>
        <w:t xml:space="preserve"> </w:t>
      </w:r>
      <w:r w:rsidR="004676C2">
        <w:rPr>
          <w:b/>
          <w:sz w:val="22"/>
          <w:szCs w:val="22"/>
        </w:rPr>
        <w:t xml:space="preserve">Van der </w:t>
      </w:r>
      <w:r w:rsidR="009B5AA1" w:rsidRPr="00B740B4">
        <w:rPr>
          <w:b/>
          <w:sz w:val="22"/>
          <w:szCs w:val="22"/>
        </w:rPr>
        <w:t>Kooij, A</w:t>
      </w:r>
      <w:r w:rsidR="009B5AA1" w:rsidRPr="00B740B4">
        <w:rPr>
          <w:sz w:val="22"/>
          <w:szCs w:val="22"/>
        </w:rPr>
        <w:t>. “A Case of Reinterpretation in the Old Greek of Daniel 11.” ———.</w:t>
      </w:r>
      <w:r w:rsidR="009B5AA1" w:rsidRPr="00B740B4">
        <w:rPr>
          <w:b/>
          <w:sz w:val="22"/>
          <w:szCs w:val="22"/>
        </w:rPr>
        <w:t xml:space="preserve"> </w:t>
      </w:r>
      <w:r w:rsidR="009B5AA1" w:rsidRPr="00B740B4">
        <w:rPr>
          <w:sz w:val="22"/>
          <w:szCs w:val="22"/>
        </w:rPr>
        <w:t xml:space="preserve">“The Four Kingdoms in Peshitta Daniel 7.” </w:t>
      </w:r>
      <w:r w:rsidR="00D72740" w:rsidRPr="00D72740">
        <w:rPr>
          <w:b/>
          <w:sz w:val="22"/>
          <w:szCs w:val="22"/>
        </w:rPr>
        <w:t xml:space="preserve">Van </w:t>
      </w:r>
      <w:r w:rsidR="008E6BC8" w:rsidRPr="00B740B4">
        <w:rPr>
          <w:b/>
          <w:sz w:val="22"/>
          <w:szCs w:val="22"/>
        </w:rPr>
        <w:t>Deventer, H. J. M.</w:t>
      </w:r>
      <w:r w:rsidR="008E6BC8" w:rsidRPr="00B740B4">
        <w:rPr>
          <w:sz w:val="22"/>
          <w:szCs w:val="22"/>
        </w:rPr>
        <w:t xml:space="preserve"> </w:t>
      </w:r>
      <w:r w:rsidR="00984775" w:rsidRPr="00B740B4">
        <w:rPr>
          <w:sz w:val="22"/>
          <w:szCs w:val="22"/>
        </w:rPr>
        <w:t xml:space="preserve">“Did Someone Say ‘History’?” </w:t>
      </w:r>
      <w:r w:rsidR="007440FA" w:rsidRPr="00B740B4">
        <w:rPr>
          <w:b/>
          <w:bCs/>
          <w:sz w:val="22"/>
          <w:szCs w:val="22"/>
        </w:rPr>
        <w:t>Van</w:t>
      </w:r>
      <w:r w:rsidR="007440FA" w:rsidRPr="00B740B4">
        <w:rPr>
          <w:bCs/>
          <w:sz w:val="22"/>
          <w:szCs w:val="22"/>
        </w:rPr>
        <w:t xml:space="preserve"> </w:t>
      </w:r>
      <w:r w:rsidR="007440FA" w:rsidRPr="00B740B4">
        <w:rPr>
          <w:b/>
          <w:bCs/>
          <w:sz w:val="22"/>
          <w:szCs w:val="22"/>
        </w:rPr>
        <w:t>Henten,  J. W</w:t>
      </w:r>
      <w:r w:rsidR="007440FA" w:rsidRPr="00B740B4">
        <w:rPr>
          <w:bCs/>
          <w:sz w:val="22"/>
          <w:szCs w:val="22"/>
        </w:rPr>
        <w:t xml:space="preserve">.“Daniel 3 and 6 in Early Christian Literature,” in Collins/Flint (eds.), </w:t>
      </w:r>
      <w:r w:rsidR="007440FA" w:rsidRPr="00B740B4">
        <w:rPr>
          <w:bCs/>
          <w:i/>
          <w:sz w:val="22"/>
          <w:szCs w:val="22"/>
        </w:rPr>
        <w:t>The Book of Daniel</w:t>
      </w:r>
      <w:r w:rsidR="007440FA" w:rsidRPr="00B740B4">
        <w:rPr>
          <w:bCs/>
          <w:sz w:val="22"/>
          <w:szCs w:val="22"/>
        </w:rPr>
        <w:t xml:space="preserve"> 1:149-69. ———. “The Reception of Daniel 3 and 6 and the Maccabean Martyrdoms in Hebrews 11:33-38.” </w:t>
      </w:r>
      <w:r w:rsidR="001B2642" w:rsidRPr="00B740B4">
        <w:rPr>
          <w:b/>
          <w:sz w:val="22"/>
          <w:szCs w:val="22"/>
        </w:rPr>
        <w:t>Vaucher, A.-F.</w:t>
      </w:r>
      <w:r w:rsidR="001B2642" w:rsidRPr="00B740B4">
        <w:rPr>
          <w:sz w:val="22"/>
          <w:szCs w:val="22"/>
        </w:rPr>
        <w:t xml:space="preserve"> </w:t>
      </w:r>
      <w:r w:rsidR="00934A11" w:rsidRPr="00B740B4">
        <w:rPr>
          <w:sz w:val="22"/>
          <w:szCs w:val="22"/>
        </w:rPr>
        <w:t>“</w:t>
      </w:r>
      <w:r w:rsidR="001B2642" w:rsidRPr="00B740B4">
        <w:rPr>
          <w:sz w:val="22"/>
          <w:szCs w:val="22"/>
        </w:rPr>
        <w:t>Daniel 8:14 en occident jusqu’au Cardinal Nicolas de Cusa.</w:t>
      </w:r>
      <w:r w:rsidR="00934A11" w:rsidRPr="00B740B4">
        <w:rPr>
          <w:sz w:val="22"/>
          <w:szCs w:val="22"/>
        </w:rPr>
        <w:t>”</w:t>
      </w:r>
      <w:r w:rsidR="001B2642" w:rsidRPr="00B740B4">
        <w:rPr>
          <w:sz w:val="22"/>
          <w:szCs w:val="22"/>
        </w:rPr>
        <w:t xml:space="preserve"> </w:t>
      </w:r>
      <w:r w:rsidR="004F26D7" w:rsidRPr="00B740B4">
        <w:rPr>
          <w:b/>
          <w:sz w:val="22"/>
          <w:szCs w:val="22"/>
        </w:rPr>
        <w:t>Vermes, G.</w:t>
      </w:r>
      <w:r w:rsidR="004F26D7" w:rsidRPr="00B740B4">
        <w:rPr>
          <w:sz w:val="22"/>
          <w:szCs w:val="22"/>
        </w:rPr>
        <w:t xml:space="preserve"> </w:t>
      </w:r>
      <w:r w:rsidR="008277D5" w:rsidRPr="00B740B4">
        <w:rPr>
          <w:i/>
          <w:sz w:val="22"/>
          <w:szCs w:val="22"/>
        </w:rPr>
        <w:t>The Dead Sea Scrolls in English</w:t>
      </w:r>
      <w:r w:rsidR="008277D5" w:rsidRPr="00B740B4">
        <w:rPr>
          <w:sz w:val="22"/>
          <w:szCs w:val="22"/>
        </w:rPr>
        <w:t xml:space="preserve">. ———. </w:t>
      </w:r>
      <w:r w:rsidR="00934A11" w:rsidRPr="00B740B4">
        <w:rPr>
          <w:sz w:val="22"/>
          <w:szCs w:val="22"/>
        </w:rPr>
        <w:t>“</w:t>
      </w:r>
      <w:r w:rsidR="004F26D7" w:rsidRPr="00B740B4">
        <w:rPr>
          <w:sz w:val="22"/>
          <w:szCs w:val="22"/>
        </w:rPr>
        <w:t>Josephus’ Treatment of the Book of Daniel.</w:t>
      </w:r>
      <w:r w:rsidR="00934A11" w:rsidRPr="00B740B4">
        <w:rPr>
          <w:sz w:val="22"/>
          <w:szCs w:val="22"/>
        </w:rPr>
        <w:t>”</w:t>
      </w:r>
      <w:r w:rsidR="004F26D7" w:rsidRPr="00B740B4">
        <w:rPr>
          <w:sz w:val="22"/>
          <w:szCs w:val="22"/>
        </w:rPr>
        <w:t xml:space="preserve"> </w:t>
      </w:r>
      <w:r w:rsidR="00F512D5" w:rsidRPr="00C24F58">
        <w:rPr>
          <w:rFonts w:eastAsiaTheme="minorHAnsi"/>
          <w:b/>
          <w:sz w:val="22"/>
          <w:szCs w:val="22"/>
        </w:rPr>
        <w:t>Vetne, R</w:t>
      </w:r>
      <w:r w:rsidR="00F512D5" w:rsidRPr="00C24F58">
        <w:rPr>
          <w:rFonts w:eastAsiaTheme="minorHAnsi"/>
          <w:sz w:val="22"/>
          <w:szCs w:val="22"/>
        </w:rPr>
        <w:t>. “A Definition and Short History of Historicism as a Method for Interpreting Daniel and Revelation.”‖</w:t>
      </w:r>
      <w:r w:rsidR="00286400" w:rsidRPr="00B740B4">
        <w:rPr>
          <w:rFonts w:eastAsiaTheme="minorHAnsi" w:cs="Times New Roman"/>
          <w:b/>
          <w:sz w:val="22"/>
          <w:szCs w:val="22"/>
        </w:rPr>
        <w:t>Vogel, W.</w:t>
      </w:r>
      <w:r w:rsidR="00286400" w:rsidRPr="00B740B4">
        <w:rPr>
          <w:rFonts w:eastAsiaTheme="minorHAnsi" w:cs="Times New Roman"/>
          <w:sz w:val="22"/>
          <w:szCs w:val="22"/>
        </w:rPr>
        <w:t xml:space="preserve"> </w:t>
      </w:r>
      <w:r w:rsidR="00934A11" w:rsidRPr="00B740B4">
        <w:rPr>
          <w:rFonts w:eastAsiaTheme="minorHAnsi" w:cs="Times New Roman"/>
          <w:sz w:val="22"/>
          <w:szCs w:val="22"/>
        </w:rPr>
        <w:t>“</w:t>
      </w:r>
      <w:r w:rsidR="00286400" w:rsidRPr="00B740B4">
        <w:rPr>
          <w:rFonts w:eastAsiaTheme="minorHAnsi" w:cs="Times New Roman"/>
          <w:sz w:val="22"/>
          <w:szCs w:val="22"/>
        </w:rPr>
        <w:t>The Eschatological Theology of Martin Luther.</w:t>
      </w:r>
      <w:r w:rsidR="00934A11" w:rsidRPr="00B740B4">
        <w:rPr>
          <w:rFonts w:eastAsiaTheme="minorHAnsi" w:cs="Times New Roman"/>
          <w:sz w:val="22"/>
          <w:szCs w:val="22"/>
        </w:rPr>
        <w:t>”</w:t>
      </w:r>
      <w:r w:rsidR="00286400" w:rsidRPr="00B740B4">
        <w:rPr>
          <w:rFonts w:eastAsiaTheme="minorHAnsi" w:cs="Times New Roman"/>
          <w:sz w:val="22"/>
          <w:szCs w:val="22"/>
        </w:rPr>
        <w:t xml:space="preserve"> </w:t>
      </w:r>
      <w:r w:rsidR="00966DDB" w:rsidRPr="00B740B4">
        <w:rPr>
          <w:b/>
          <w:bCs/>
          <w:sz w:val="22"/>
          <w:szCs w:val="22"/>
        </w:rPr>
        <w:t xml:space="preserve">Volp, U. </w:t>
      </w:r>
      <w:r w:rsidR="00934A11" w:rsidRPr="00B740B4">
        <w:rPr>
          <w:bCs/>
          <w:sz w:val="22"/>
          <w:szCs w:val="22"/>
        </w:rPr>
        <w:t>“</w:t>
      </w:r>
      <w:r w:rsidR="00966DDB" w:rsidRPr="00B740B4">
        <w:rPr>
          <w:bCs/>
          <w:sz w:val="22"/>
          <w:szCs w:val="22"/>
        </w:rPr>
        <w:t>Hippolytus of Rome.</w:t>
      </w:r>
      <w:r w:rsidR="00934A11" w:rsidRPr="00B740B4">
        <w:rPr>
          <w:bCs/>
          <w:sz w:val="22"/>
          <w:szCs w:val="22"/>
        </w:rPr>
        <w:t>”</w:t>
      </w:r>
      <w:r w:rsidR="00966DDB" w:rsidRPr="00B740B4">
        <w:rPr>
          <w:bCs/>
          <w:sz w:val="22"/>
          <w:szCs w:val="22"/>
        </w:rPr>
        <w:t xml:space="preserve"> </w:t>
      </w:r>
      <w:r w:rsidR="001B2642" w:rsidRPr="00B740B4">
        <w:rPr>
          <w:b/>
          <w:sz w:val="22"/>
          <w:szCs w:val="22"/>
        </w:rPr>
        <w:t>Volz, H.</w:t>
      </w:r>
      <w:r w:rsidR="001B2642" w:rsidRPr="00B740B4">
        <w:rPr>
          <w:sz w:val="22"/>
          <w:szCs w:val="22"/>
        </w:rPr>
        <w:t xml:space="preserve"> </w:t>
      </w:r>
      <w:r w:rsidR="00934A11" w:rsidRPr="00B740B4">
        <w:rPr>
          <w:sz w:val="22"/>
          <w:szCs w:val="22"/>
        </w:rPr>
        <w:t>“</w:t>
      </w:r>
      <w:r w:rsidR="001B2642" w:rsidRPr="00B740B4">
        <w:rPr>
          <w:sz w:val="22"/>
          <w:szCs w:val="22"/>
        </w:rPr>
        <w:t>Beiträge zu Melancthons und Calvins Auslegungen des Propheten Daniel</w:t>
      </w:r>
      <w:r w:rsidR="001B2642" w:rsidRPr="00C24F58">
        <w:rPr>
          <w:sz w:val="22"/>
          <w:szCs w:val="22"/>
        </w:rPr>
        <w:t>.</w:t>
      </w:r>
      <w:r w:rsidR="00934A11" w:rsidRPr="00C24F58">
        <w:rPr>
          <w:sz w:val="22"/>
          <w:szCs w:val="22"/>
        </w:rPr>
        <w:t>”</w:t>
      </w:r>
      <w:r w:rsidR="001B2642" w:rsidRPr="00C24F58">
        <w:rPr>
          <w:sz w:val="22"/>
          <w:szCs w:val="22"/>
        </w:rPr>
        <w:t xml:space="preserve"> </w:t>
      </w:r>
      <w:r w:rsidR="00C24F58" w:rsidRPr="00C24F58">
        <w:rPr>
          <w:rFonts w:eastAsiaTheme="minorHAnsi" w:cs="TimesNewRomanPS-BoldMT"/>
          <w:b/>
          <w:bCs/>
          <w:sz w:val="22"/>
          <w:szCs w:val="22"/>
        </w:rPr>
        <w:t xml:space="preserve">Walter, D. M., </w:t>
      </w:r>
      <w:r w:rsidR="00C24F58" w:rsidRPr="00C24F58">
        <w:rPr>
          <w:rFonts w:eastAsiaTheme="minorHAnsi" w:cs="TimesNewRomanPS-BoldMT"/>
          <w:bCs/>
          <w:sz w:val="22"/>
          <w:szCs w:val="22"/>
        </w:rPr>
        <w:t xml:space="preserve">et al. (ed. and trans.). </w:t>
      </w:r>
      <w:r w:rsidR="00C24F58" w:rsidRPr="00C24F58">
        <w:rPr>
          <w:rFonts w:eastAsiaTheme="minorHAnsi" w:cs="TimesNewRomanPS-BoldMT"/>
          <w:bCs/>
          <w:i/>
          <w:sz w:val="22"/>
          <w:szCs w:val="22"/>
        </w:rPr>
        <w:t xml:space="preserve">The Syriac Peshiṭta Bible with English Translation: </w:t>
      </w:r>
      <w:r w:rsidR="00C24F58" w:rsidRPr="00C24F58">
        <w:rPr>
          <w:rFonts w:eastAsiaTheme="minorHAnsi" w:cs="TimesNewRomanPS-BoldMT"/>
          <w:bCs/>
          <w:sz w:val="22"/>
          <w:szCs w:val="22"/>
        </w:rPr>
        <w:t xml:space="preserve"> </w:t>
      </w:r>
      <w:r w:rsidR="00C24F58" w:rsidRPr="00C24F58">
        <w:rPr>
          <w:rFonts w:eastAsiaTheme="minorHAnsi" w:cs="TimesNewRomanPS-BoldMT"/>
          <w:bCs/>
          <w:i/>
          <w:sz w:val="22"/>
          <w:szCs w:val="22"/>
        </w:rPr>
        <w:t>Daniel</w:t>
      </w:r>
      <w:r w:rsidR="00C24F58" w:rsidRPr="00C24F58">
        <w:rPr>
          <w:rFonts w:eastAsiaTheme="minorHAnsi" w:cs="TimesNewRomanPS-BoldMT"/>
          <w:bCs/>
          <w:sz w:val="22"/>
          <w:szCs w:val="22"/>
        </w:rPr>
        <w:t xml:space="preserve">. </w:t>
      </w:r>
      <w:r w:rsidR="00E27F7F" w:rsidRPr="00C24F58">
        <w:rPr>
          <w:rStyle w:val="b"/>
          <w:color w:val="auto"/>
          <w:sz w:val="22"/>
          <w:szCs w:val="22"/>
        </w:rPr>
        <w:t>Walters, S. D</w:t>
      </w:r>
      <w:r w:rsidR="00E27F7F" w:rsidRPr="00B740B4">
        <w:rPr>
          <w:rStyle w:val="b"/>
          <w:color w:val="auto"/>
          <w:sz w:val="22"/>
          <w:szCs w:val="22"/>
        </w:rPr>
        <w:t xml:space="preserve">. </w:t>
      </w:r>
      <w:r w:rsidR="00E27F7F" w:rsidRPr="00B740B4">
        <w:rPr>
          <w:rStyle w:val="b"/>
          <w:b w:val="0"/>
          <w:color w:val="auto"/>
          <w:sz w:val="22"/>
          <w:szCs w:val="22"/>
        </w:rPr>
        <w:t xml:space="preserve">“The World Will End in 1919.” </w:t>
      </w:r>
      <w:r w:rsidR="00FE7840" w:rsidRPr="00B740B4">
        <w:rPr>
          <w:b/>
          <w:bCs/>
          <w:sz w:val="22"/>
          <w:szCs w:val="22"/>
        </w:rPr>
        <w:t>Webb, J. R.</w:t>
      </w:r>
      <w:r w:rsidR="00FE7840" w:rsidRPr="00B740B4">
        <w:rPr>
          <w:bCs/>
          <w:sz w:val="22"/>
          <w:szCs w:val="22"/>
        </w:rPr>
        <w:t xml:space="preserve"> </w:t>
      </w:r>
      <w:r w:rsidR="00934A11" w:rsidRPr="00B740B4">
        <w:rPr>
          <w:bCs/>
          <w:sz w:val="22"/>
          <w:szCs w:val="22"/>
        </w:rPr>
        <w:t>“</w:t>
      </w:r>
      <w:r w:rsidR="00FE7840" w:rsidRPr="00B740B4">
        <w:rPr>
          <w:bCs/>
          <w:sz w:val="22"/>
          <w:szCs w:val="22"/>
        </w:rPr>
        <w:t>‘Knowledge Will Be Manifold.’</w:t>
      </w:r>
      <w:r w:rsidR="00934A11" w:rsidRPr="00B740B4">
        <w:rPr>
          <w:bCs/>
          <w:sz w:val="22"/>
          <w:szCs w:val="22"/>
        </w:rPr>
        <w:t>”</w:t>
      </w:r>
      <w:r w:rsidR="00FE7840" w:rsidRPr="00B740B4">
        <w:rPr>
          <w:bCs/>
          <w:sz w:val="22"/>
          <w:szCs w:val="22"/>
        </w:rPr>
        <w:t xml:space="preserve"> </w:t>
      </w:r>
      <w:r w:rsidR="001B2642" w:rsidRPr="00B740B4">
        <w:rPr>
          <w:b/>
          <w:sz w:val="22"/>
          <w:szCs w:val="22"/>
        </w:rPr>
        <w:t>Wegner, M.</w:t>
      </w:r>
      <w:r w:rsidR="001B2642" w:rsidRPr="00B740B4">
        <w:rPr>
          <w:sz w:val="22"/>
          <w:szCs w:val="22"/>
        </w:rPr>
        <w:t xml:space="preserve"> </w:t>
      </w:r>
      <w:r w:rsidR="00934A11" w:rsidRPr="00B740B4">
        <w:rPr>
          <w:sz w:val="22"/>
          <w:szCs w:val="22"/>
        </w:rPr>
        <w:t>“</w:t>
      </w:r>
      <w:r w:rsidR="001B2642" w:rsidRPr="00B740B4">
        <w:rPr>
          <w:sz w:val="22"/>
          <w:szCs w:val="22"/>
        </w:rPr>
        <w:t>Das Nabuchodonosor-Bild.</w:t>
      </w:r>
      <w:r w:rsidR="00934A11" w:rsidRPr="00B740B4">
        <w:rPr>
          <w:sz w:val="22"/>
          <w:szCs w:val="22"/>
        </w:rPr>
        <w:t>”</w:t>
      </w:r>
      <w:r w:rsidR="001B2642" w:rsidRPr="00B740B4">
        <w:rPr>
          <w:sz w:val="22"/>
          <w:szCs w:val="22"/>
        </w:rPr>
        <w:t xml:space="preserve"> </w:t>
      </w:r>
      <w:r w:rsidR="00212EE1" w:rsidRPr="00B740B4">
        <w:rPr>
          <w:b/>
          <w:sz w:val="22"/>
          <w:szCs w:val="22"/>
        </w:rPr>
        <w:t>Wengert, T. J.</w:t>
      </w:r>
      <w:r w:rsidR="00212EE1" w:rsidRPr="00B740B4">
        <w:rPr>
          <w:sz w:val="22"/>
          <w:szCs w:val="22"/>
        </w:rPr>
        <w:t xml:space="preserve"> </w:t>
      </w:r>
      <w:r w:rsidR="00934A11" w:rsidRPr="00B740B4">
        <w:rPr>
          <w:sz w:val="22"/>
          <w:szCs w:val="22"/>
        </w:rPr>
        <w:t>“</w:t>
      </w:r>
      <w:r w:rsidR="00212EE1" w:rsidRPr="00B740B4">
        <w:rPr>
          <w:sz w:val="22"/>
          <w:szCs w:val="22"/>
        </w:rPr>
        <w:t>The Biblical Commentaries of Philip Melanchthon.</w:t>
      </w:r>
      <w:r w:rsidR="00934A11" w:rsidRPr="00B740B4">
        <w:rPr>
          <w:sz w:val="22"/>
          <w:szCs w:val="22"/>
        </w:rPr>
        <w:t>”</w:t>
      </w:r>
      <w:r w:rsidR="00212EE1" w:rsidRPr="00B740B4">
        <w:rPr>
          <w:sz w:val="22"/>
          <w:szCs w:val="22"/>
        </w:rPr>
        <w:t xml:space="preserve"> </w:t>
      </w:r>
      <w:r w:rsidR="00C06BDD" w:rsidRPr="00B740B4">
        <w:rPr>
          <w:rFonts w:eastAsiaTheme="minorHAnsi"/>
          <w:b/>
          <w:sz w:val="22"/>
          <w:szCs w:val="22"/>
        </w:rPr>
        <w:t xml:space="preserve">Whitla, W. </w:t>
      </w:r>
      <w:r w:rsidR="00C06BDD" w:rsidRPr="00B740B4">
        <w:rPr>
          <w:rFonts w:eastAsiaTheme="minorHAnsi"/>
          <w:i/>
          <w:sz w:val="22"/>
          <w:szCs w:val="22"/>
        </w:rPr>
        <w:t>Sir Isaac Newton’s Daniel and the Apocalypse.</w:t>
      </w:r>
      <w:r w:rsidR="00C06BDD" w:rsidRPr="00B740B4">
        <w:rPr>
          <w:b/>
          <w:sz w:val="22"/>
          <w:szCs w:val="22"/>
        </w:rPr>
        <w:t xml:space="preserve"> </w:t>
      </w:r>
      <w:r w:rsidR="001B2642" w:rsidRPr="00B740B4">
        <w:rPr>
          <w:b/>
          <w:sz w:val="22"/>
          <w:szCs w:val="22"/>
        </w:rPr>
        <w:t>Wieder, N.</w:t>
      </w:r>
      <w:r w:rsidR="001B2642" w:rsidRPr="00B740B4">
        <w:rPr>
          <w:sz w:val="22"/>
          <w:szCs w:val="22"/>
        </w:rPr>
        <w:t xml:space="preserve"> </w:t>
      </w:r>
      <w:r w:rsidR="00934A11" w:rsidRPr="00B740B4">
        <w:rPr>
          <w:sz w:val="22"/>
          <w:szCs w:val="22"/>
        </w:rPr>
        <w:t>“</w:t>
      </w:r>
      <w:r w:rsidR="001B2642" w:rsidRPr="00B740B4">
        <w:rPr>
          <w:sz w:val="22"/>
          <w:szCs w:val="22"/>
        </w:rPr>
        <w:t>The Dead Sea Scrolls Type of Biblical Exegesis among the Karaites.</w:t>
      </w:r>
      <w:r w:rsidR="00934A11" w:rsidRPr="00B740B4">
        <w:rPr>
          <w:sz w:val="22"/>
          <w:szCs w:val="22"/>
        </w:rPr>
        <w:t>”</w:t>
      </w:r>
      <w:r w:rsidR="001B2642" w:rsidRPr="00B740B4">
        <w:rPr>
          <w:b/>
          <w:sz w:val="22"/>
          <w:szCs w:val="22"/>
        </w:rPr>
        <w:t xml:space="preserve"> </w:t>
      </w:r>
      <w:r w:rsidR="00C01679" w:rsidRPr="00B740B4">
        <w:rPr>
          <w:b/>
          <w:sz w:val="22"/>
          <w:szCs w:val="22"/>
        </w:rPr>
        <w:t>Würffel, S. B.</w:t>
      </w:r>
      <w:r w:rsidR="00C01679" w:rsidRPr="00B740B4">
        <w:rPr>
          <w:sz w:val="22"/>
          <w:szCs w:val="22"/>
        </w:rPr>
        <w:t xml:space="preserve"> </w:t>
      </w:r>
      <w:r w:rsidR="00934A11" w:rsidRPr="00B740B4">
        <w:rPr>
          <w:sz w:val="22"/>
          <w:szCs w:val="22"/>
        </w:rPr>
        <w:t>“</w:t>
      </w:r>
      <w:r w:rsidR="00C01679" w:rsidRPr="00B740B4">
        <w:rPr>
          <w:sz w:val="22"/>
          <w:szCs w:val="22"/>
        </w:rPr>
        <w:t>Reichs-Traum und Reichs-Trauma,</w:t>
      </w:r>
      <w:r w:rsidR="00934A11" w:rsidRPr="00B740B4">
        <w:rPr>
          <w:sz w:val="22"/>
          <w:szCs w:val="22"/>
        </w:rPr>
        <w:t>”</w:t>
      </w:r>
      <w:r w:rsidR="00C01679" w:rsidRPr="00B740B4">
        <w:rPr>
          <w:sz w:val="22"/>
          <w:szCs w:val="22"/>
        </w:rPr>
        <w:t xml:space="preserve"> in </w:t>
      </w:r>
      <w:r w:rsidR="00381CF4" w:rsidRPr="00B740B4">
        <w:rPr>
          <w:bCs/>
          <w:sz w:val="22"/>
          <w:szCs w:val="22"/>
        </w:rPr>
        <w:t>Delgado/Koch/Marsch</w:t>
      </w:r>
      <w:r w:rsidR="00C01679" w:rsidRPr="00B740B4">
        <w:rPr>
          <w:bCs/>
          <w:sz w:val="22"/>
          <w:szCs w:val="22"/>
        </w:rPr>
        <w:t xml:space="preserve"> (eds.), </w:t>
      </w:r>
      <w:r w:rsidR="00C01679" w:rsidRPr="00B740B4">
        <w:rPr>
          <w:bCs/>
          <w:i/>
          <w:sz w:val="22"/>
          <w:szCs w:val="22"/>
        </w:rPr>
        <w:t>Europa, Tausendjähriges Reich und Neue</w:t>
      </w:r>
      <w:r w:rsidR="00C01679" w:rsidRPr="00B740B4">
        <w:rPr>
          <w:bCs/>
          <w:sz w:val="22"/>
          <w:szCs w:val="22"/>
        </w:rPr>
        <w:t xml:space="preserve"> </w:t>
      </w:r>
      <w:r w:rsidR="00C01679" w:rsidRPr="00B740B4">
        <w:rPr>
          <w:bCs/>
          <w:i/>
          <w:sz w:val="22"/>
          <w:szCs w:val="22"/>
        </w:rPr>
        <w:t>Welt</w:t>
      </w:r>
      <w:r w:rsidR="00C01679" w:rsidRPr="00B740B4">
        <w:rPr>
          <w:bCs/>
          <w:sz w:val="22"/>
          <w:szCs w:val="22"/>
        </w:rPr>
        <w:t>,</w:t>
      </w:r>
      <w:r w:rsidR="00934A11" w:rsidRPr="00B740B4">
        <w:rPr>
          <w:bCs/>
          <w:sz w:val="22"/>
          <w:szCs w:val="22"/>
        </w:rPr>
        <w:t xml:space="preserve"> 405-25. </w:t>
      </w:r>
      <w:r w:rsidR="001B2642" w:rsidRPr="00B740B4">
        <w:rPr>
          <w:b/>
          <w:sz w:val="22"/>
          <w:szCs w:val="22"/>
        </w:rPr>
        <w:t>Wyngarden, M. J.</w:t>
      </w:r>
      <w:r w:rsidR="001B2642" w:rsidRPr="00B740B4">
        <w:rPr>
          <w:sz w:val="22"/>
          <w:szCs w:val="22"/>
        </w:rPr>
        <w:t xml:space="preserve"> </w:t>
      </w:r>
      <w:r w:rsidR="001B2642" w:rsidRPr="00B740B4">
        <w:rPr>
          <w:i/>
          <w:sz w:val="22"/>
          <w:szCs w:val="22"/>
        </w:rPr>
        <w:t>The Syriac Version of the Book of Daniel</w:t>
      </w:r>
      <w:r w:rsidR="001B2642" w:rsidRPr="00B740B4">
        <w:rPr>
          <w:sz w:val="22"/>
          <w:szCs w:val="22"/>
        </w:rPr>
        <w:t xml:space="preserve">. </w:t>
      </w:r>
      <w:r w:rsidR="001B2642" w:rsidRPr="00B740B4">
        <w:rPr>
          <w:b/>
          <w:sz w:val="22"/>
          <w:szCs w:val="22"/>
        </w:rPr>
        <w:t>Yamauchi, E. M.</w:t>
      </w:r>
      <w:r w:rsidR="001B2642" w:rsidRPr="00B740B4">
        <w:rPr>
          <w:sz w:val="22"/>
          <w:szCs w:val="22"/>
        </w:rPr>
        <w:t xml:space="preserve"> </w:t>
      </w:r>
      <w:r w:rsidR="00934A11" w:rsidRPr="00B740B4">
        <w:rPr>
          <w:sz w:val="22"/>
          <w:szCs w:val="22"/>
        </w:rPr>
        <w:t>“</w:t>
      </w:r>
      <w:r w:rsidR="001B2642" w:rsidRPr="00B740B4">
        <w:rPr>
          <w:sz w:val="22"/>
          <w:szCs w:val="22"/>
        </w:rPr>
        <w:t>Hermeneutical Issues in the Book of Daniel.</w:t>
      </w:r>
      <w:r w:rsidR="00934A11" w:rsidRPr="00B740B4">
        <w:rPr>
          <w:sz w:val="22"/>
          <w:szCs w:val="22"/>
        </w:rPr>
        <w:t>”</w:t>
      </w:r>
      <w:r w:rsidR="001B2642" w:rsidRPr="00B740B4">
        <w:rPr>
          <w:sz w:val="22"/>
          <w:szCs w:val="22"/>
        </w:rPr>
        <w:t xml:space="preserve"> </w:t>
      </w:r>
      <w:r w:rsidR="00817979" w:rsidRPr="00B740B4">
        <w:rPr>
          <w:b/>
          <w:sz w:val="22"/>
          <w:szCs w:val="22"/>
        </w:rPr>
        <w:t>Yarbro Collins, A.,</w:t>
      </w:r>
      <w:r w:rsidR="00817979" w:rsidRPr="00B740B4">
        <w:rPr>
          <w:sz w:val="22"/>
          <w:szCs w:val="22"/>
        </w:rPr>
        <w:t xml:space="preserve"> </w:t>
      </w:r>
      <w:r w:rsidR="00934A11" w:rsidRPr="00B740B4">
        <w:rPr>
          <w:sz w:val="22"/>
          <w:szCs w:val="22"/>
        </w:rPr>
        <w:t>“</w:t>
      </w:r>
      <w:r w:rsidR="00817979" w:rsidRPr="00B740B4">
        <w:rPr>
          <w:sz w:val="22"/>
          <w:szCs w:val="22"/>
        </w:rPr>
        <w:t>The Influence of Daniel on the NT.</w:t>
      </w:r>
      <w:r w:rsidR="00934A11" w:rsidRPr="00B740B4">
        <w:rPr>
          <w:sz w:val="22"/>
          <w:szCs w:val="22"/>
        </w:rPr>
        <w:t>”</w:t>
      </w:r>
      <w:r w:rsidR="00C24F58">
        <w:rPr>
          <w:sz w:val="22"/>
          <w:szCs w:val="22"/>
        </w:rPr>
        <w:t xml:space="preserve"> </w:t>
      </w:r>
      <w:r w:rsidR="00C24F58" w:rsidRPr="00C24F58">
        <w:rPr>
          <w:b/>
          <w:sz w:val="22"/>
          <w:szCs w:val="22"/>
        </w:rPr>
        <w:t>Yarbro Collins, A.,</w:t>
      </w:r>
      <w:r w:rsidR="00C24F58" w:rsidRPr="00C24F58">
        <w:rPr>
          <w:sz w:val="22"/>
          <w:szCs w:val="22"/>
        </w:rPr>
        <w:t xml:space="preserve"> </w:t>
      </w:r>
      <w:r w:rsidR="00DB6D6B" w:rsidRPr="00B740B4">
        <w:rPr>
          <w:b/>
          <w:sz w:val="22"/>
          <w:szCs w:val="22"/>
        </w:rPr>
        <w:t xml:space="preserve"> </w:t>
      </w:r>
      <w:r w:rsidR="00DB6D6B" w:rsidRPr="00C24F58">
        <w:rPr>
          <w:sz w:val="22"/>
          <w:szCs w:val="22"/>
        </w:rPr>
        <w:t>and</w:t>
      </w:r>
      <w:r w:rsidR="00C24F58">
        <w:rPr>
          <w:b/>
          <w:sz w:val="22"/>
          <w:szCs w:val="22"/>
        </w:rPr>
        <w:t xml:space="preserve"> Collins, J.</w:t>
      </w:r>
      <w:r w:rsidR="00DB6D6B" w:rsidRPr="00B740B4">
        <w:rPr>
          <w:b/>
          <w:sz w:val="22"/>
          <w:szCs w:val="22"/>
        </w:rPr>
        <w:t xml:space="preserve"> J. </w:t>
      </w:r>
      <w:r w:rsidR="00934A11" w:rsidRPr="00B740B4">
        <w:rPr>
          <w:sz w:val="22"/>
          <w:szCs w:val="22"/>
        </w:rPr>
        <w:t>“</w:t>
      </w:r>
      <w:r w:rsidR="00DB6D6B" w:rsidRPr="00B740B4">
        <w:rPr>
          <w:sz w:val="22"/>
          <w:szCs w:val="22"/>
        </w:rPr>
        <w:t>The Book of Truth,</w:t>
      </w:r>
      <w:r w:rsidR="00934A11" w:rsidRPr="00B740B4">
        <w:rPr>
          <w:sz w:val="22"/>
          <w:szCs w:val="22"/>
        </w:rPr>
        <w:t>”</w:t>
      </w:r>
      <w:r w:rsidR="00DB6D6B" w:rsidRPr="00B740B4">
        <w:rPr>
          <w:sz w:val="22"/>
          <w:szCs w:val="22"/>
        </w:rPr>
        <w:t xml:space="preserve"> in </w:t>
      </w:r>
      <w:r w:rsidR="00381CF4" w:rsidRPr="00B740B4">
        <w:rPr>
          <w:bCs/>
          <w:sz w:val="22"/>
          <w:szCs w:val="22"/>
        </w:rPr>
        <w:t>Delgado/Koch/Marsch</w:t>
      </w:r>
      <w:r w:rsidR="00404A6C" w:rsidRPr="00B740B4">
        <w:rPr>
          <w:bCs/>
          <w:sz w:val="22"/>
          <w:szCs w:val="22"/>
        </w:rPr>
        <w:t xml:space="preserve"> (eds.), </w:t>
      </w:r>
      <w:r w:rsidR="00404A6C" w:rsidRPr="00B740B4">
        <w:rPr>
          <w:bCs/>
          <w:i/>
          <w:sz w:val="22"/>
          <w:szCs w:val="22"/>
        </w:rPr>
        <w:t>Europa, Tausendjähriges Reich und Neue</w:t>
      </w:r>
      <w:r w:rsidR="00404A6C" w:rsidRPr="00B740B4">
        <w:rPr>
          <w:bCs/>
          <w:sz w:val="22"/>
          <w:szCs w:val="22"/>
        </w:rPr>
        <w:t xml:space="preserve"> </w:t>
      </w:r>
      <w:r w:rsidR="00404A6C" w:rsidRPr="00B740B4">
        <w:rPr>
          <w:bCs/>
          <w:i/>
          <w:sz w:val="22"/>
          <w:szCs w:val="22"/>
        </w:rPr>
        <w:t>Welt</w:t>
      </w:r>
      <w:r w:rsidR="00404A6C" w:rsidRPr="00B740B4">
        <w:rPr>
          <w:bCs/>
          <w:sz w:val="22"/>
          <w:szCs w:val="22"/>
        </w:rPr>
        <w:t>, 385-404.</w:t>
      </w:r>
      <w:r w:rsidR="00DB6D6B" w:rsidRPr="00B740B4">
        <w:rPr>
          <w:b/>
          <w:sz w:val="22"/>
          <w:szCs w:val="22"/>
        </w:rPr>
        <w:t xml:space="preserve"> </w:t>
      </w:r>
      <w:r w:rsidR="001B2642" w:rsidRPr="00B740B4">
        <w:rPr>
          <w:b/>
          <w:sz w:val="22"/>
          <w:szCs w:val="22"/>
        </w:rPr>
        <w:t>Ziegler, J.</w:t>
      </w:r>
      <w:r w:rsidR="001B2642" w:rsidRPr="00B740B4">
        <w:rPr>
          <w:sz w:val="22"/>
          <w:szCs w:val="22"/>
        </w:rPr>
        <w:t xml:space="preserve"> </w:t>
      </w:r>
      <w:r w:rsidR="001B2642" w:rsidRPr="00B740B4">
        <w:rPr>
          <w:i/>
          <w:sz w:val="22"/>
          <w:szCs w:val="22"/>
        </w:rPr>
        <w:t>Der Bibeltext im Daniel-Kommentar des Hippolyt von Rom</w:t>
      </w:r>
      <w:r w:rsidR="00C61CFD" w:rsidRPr="00B740B4">
        <w:rPr>
          <w:sz w:val="22"/>
          <w:szCs w:val="22"/>
        </w:rPr>
        <w:t>. ———</w:t>
      </w:r>
      <w:r w:rsidR="001B2642" w:rsidRPr="00B740B4">
        <w:rPr>
          <w:sz w:val="22"/>
          <w:szCs w:val="22"/>
        </w:rPr>
        <w:t xml:space="preserve"> </w:t>
      </w:r>
      <w:r w:rsidR="00A54D82" w:rsidRPr="00A54D82">
        <w:rPr>
          <w:b/>
          <w:sz w:val="22"/>
          <w:szCs w:val="22"/>
        </w:rPr>
        <w:t>and Munnich, O.</w:t>
      </w:r>
      <w:r w:rsidR="00A54D82">
        <w:rPr>
          <w:sz w:val="22"/>
          <w:szCs w:val="22"/>
        </w:rPr>
        <w:t xml:space="preserve"> </w:t>
      </w:r>
      <w:r w:rsidR="00C61CFD" w:rsidRPr="00B740B4">
        <w:rPr>
          <w:sz w:val="22"/>
          <w:szCs w:val="22"/>
        </w:rPr>
        <w:t>(</w:t>
      </w:r>
      <w:r w:rsidR="001B2642" w:rsidRPr="00B740B4">
        <w:rPr>
          <w:sz w:val="22"/>
          <w:szCs w:val="22"/>
        </w:rPr>
        <w:t>ed</w:t>
      </w:r>
      <w:r w:rsidR="00A54D82">
        <w:rPr>
          <w:sz w:val="22"/>
          <w:szCs w:val="22"/>
        </w:rPr>
        <w:t>s</w:t>
      </w:r>
      <w:r w:rsidR="00C61CFD" w:rsidRPr="00B740B4">
        <w:rPr>
          <w:sz w:val="22"/>
          <w:szCs w:val="22"/>
        </w:rPr>
        <w:t>)</w:t>
      </w:r>
      <w:r w:rsidR="001B2642" w:rsidRPr="00B740B4">
        <w:rPr>
          <w:sz w:val="22"/>
          <w:szCs w:val="22"/>
        </w:rPr>
        <w:t xml:space="preserve">. </w:t>
      </w:r>
      <w:r w:rsidR="001B2642" w:rsidRPr="00B740B4">
        <w:rPr>
          <w:i/>
          <w:sz w:val="22"/>
          <w:szCs w:val="22"/>
        </w:rPr>
        <w:t>Susanna—Daniel—Bel et Draco</w:t>
      </w:r>
      <w:r w:rsidR="001B2642" w:rsidRPr="00B740B4">
        <w:rPr>
          <w:sz w:val="22"/>
          <w:szCs w:val="22"/>
        </w:rPr>
        <w:t xml:space="preserve">. </w:t>
      </w:r>
      <w:r w:rsidR="00C622E2" w:rsidRPr="00B740B4">
        <w:rPr>
          <w:b/>
          <w:bCs/>
          <w:iCs/>
          <w:sz w:val="22"/>
          <w:szCs w:val="22"/>
        </w:rPr>
        <w:t>Zier, M.</w:t>
      </w:r>
      <w:r w:rsidR="00C622E2" w:rsidRPr="00B740B4">
        <w:rPr>
          <w:bCs/>
          <w:iCs/>
          <w:sz w:val="22"/>
          <w:szCs w:val="22"/>
        </w:rPr>
        <w:t xml:space="preserve"> </w:t>
      </w:r>
      <w:r w:rsidR="00934A11" w:rsidRPr="00B740B4">
        <w:rPr>
          <w:bCs/>
          <w:iCs/>
          <w:sz w:val="22"/>
          <w:szCs w:val="22"/>
        </w:rPr>
        <w:t>“</w:t>
      </w:r>
      <w:r w:rsidR="00C622E2" w:rsidRPr="00B740B4">
        <w:rPr>
          <w:bCs/>
          <w:iCs/>
          <w:sz w:val="22"/>
          <w:szCs w:val="22"/>
        </w:rPr>
        <w:t>Nicholas of Lyra on the Book of Daniel.</w:t>
      </w:r>
      <w:r w:rsidR="00934A11" w:rsidRPr="00B740B4">
        <w:rPr>
          <w:bCs/>
          <w:iCs/>
          <w:sz w:val="22"/>
          <w:szCs w:val="22"/>
        </w:rPr>
        <w:t>”</w:t>
      </w:r>
      <w:r w:rsidR="00721105">
        <w:rPr>
          <w:bCs/>
          <w:iCs/>
          <w:sz w:val="22"/>
          <w:szCs w:val="22"/>
        </w:rPr>
        <w:t xml:space="preserve"> </w:t>
      </w:r>
      <w:r w:rsidR="00721105" w:rsidRPr="00C24F58">
        <w:rPr>
          <w:b/>
          <w:bCs/>
          <w:iCs/>
          <w:sz w:val="22"/>
          <w:szCs w:val="22"/>
        </w:rPr>
        <w:t xml:space="preserve">Zissu, B. </w:t>
      </w:r>
      <w:r w:rsidR="00721105" w:rsidRPr="00C24F58">
        <w:rPr>
          <w:bCs/>
          <w:iCs/>
          <w:sz w:val="22"/>
          <w:szCs w:val="22"/>
        </w:rPr>
        <w:t>“Daniel in the Lion's Den (?) at Tel Lavnin.”</w:t>
      </w:r>
    </w:p>
    <w:p w:rsidR="001B2642" w:rsidRPr="00B740B4" w:rsidRDefault="001B2642" w:rsidP="001B2642"/>
    <w:p w:rsidR="001B2642" w:rsidRPr="00B740B4" w:rsidRDefault="001B2642" w:rsidP="001B2642">
      <w:r w:rsidRPr="00B740B4">
        <w:lastRenderedPageBreak/>
        <w:t>The Book of Daniel which this commentary studies is one recension of the varied literature associated with Daniel’s name,</w:t>
      </w:r>
      <w:r w:rsidR="00B13B23" w:rsidRPr="00B740B4">
        <w:rPr>
          <w:rStyle w:val="FootnoteReference"/>
        </w:rPr>
        <w:footnoteReference w:id="4"/>
      </w:r>
      <w:r w:rsidRPr="00B740B4">
        <w:t xml:space="preserve"> the recension written partly in Hebrew and partly in Aramaic which appears in the Jewish scriptures among the Writings and in</w:t>
      </w:r>
      <w:r w:rsidR="005F77AA" w:rsidRPr="00B740B4">
        <w:t xml:space="preserve"> the Christian scriptures</w:t>
      </w:r>
      <w:r w:rsidRPr="00B740B4">
        <w:t xml:space="preserve"> among the P</w:t>
      </w:r>
      <w:r w:rsidR="009A2C00" w:rsidRPr="00B740B4">
        <w:t>rophets. It</w:t>
      </w:r>
      <w:r w:rsidR="007E067C" w:rsidRPr="00B740B4">
        <w:t>s narrative</w:t>
      </w:r>
      <w:r w:rsidR="009A2C00" w:rsidRPr="00B740B4">
        <w:t xml:space="preserve"> is set in the time</w:t>
      </w:r>
      <w:r w:rsidRPr="00B740B4">
        <w:t xml:space="preserve"> of the</w:t>
      </w:r>
      <w:r w:rsidR="009A2C00" w:rsidRPr="00B740B4">
        <w:t xml:space="preserve"> neo-</w:t>
      </w:r>
      <w:r w:rsidRPr="00B740B4">
        <w:t>Babylonian empire and the first years of the Persian era. After the scene is</w:t>
      </w:r>
      <w:r w:rsidR="006441B0" w:rsidRPr="00B740B4">
        <w:t xml:space="preserve"> introduced in chap. 1</w:t>
      </w:r>
      <w:r w:rsidRPr="00B740B4">
        <w:t>, Daniel takes center stage in chap. 2</w:t>
      </w:r>
      <w:r w:rsidR="009A2C00" w:rsidRPr="00B740B4">
        <w:t>, outdoing the expertise of the Babylonian royal advisers</w:t>
      </w:r>
      <w:r w:rsidR="004B16A8">
        <w:t xml:space="preserve"> by the power of God, and thereby</w:t>
      </w:r>
      <w:r w:rsidRPr="00B740B4">
        <w:t xml:space="preserve"> </w:t>
      </w:r>
      <w:r w:rsidR="009A2C00" w:rsidRPr="00B740B4">
        <w:t xml:space="preserve">being </w:t>
      </w:r>
      <w:r w:rsidR="007E067C" w:rsidRPr="00B740B4">
        <w:t xml:space="preserve">able to reveal how </w:t>
      </w:r>
      <w:r w:rsidRPr="00B740B4">
        <w:t xml:space="preserve">political events are to unfold until God sets up his own rule and brings an end to all others. </w:t>
      </w:r>
      <w:r w:rsidR="008818B6" w:rsidRPr="00B740B4">
        <w:t>Chap.</w:t>
      </w:r>
      <w:r w:rsidRPr="00B740B4">
        <w:t xml:space="preserve"> 2 thus opens up the book’s two main </w:t>
      </w:r>
      <w:r w:rsidR="006441B0" w:rsidRPr="00B740B4">
        <w:t xml:space="preserve">subsequent </w:t>
      </w:r>
      <w:r w:rsidRPr="00B740B4">
        <w:t xml:space="preserve">themes, the exploits of Daniel and his friends as members of the royal court (chaps. 3–6) and the revelations regarding </w:t>
      </w:r>
      <w:r w:rsidR="009A2C00" w:rsidRPr="00B740B4">
        <w:t xml:space="preserve">the future that are </w:t>
      </w:r>
      <w:r w:rsidR="007E067C" w:rsidRPr="00B740B4">
        <w:t>given to him</w:t>
      </w:r>
      <w:r w:rsidRPr="00B740B4">
        <w:t xml:space="preserve"> (chaps. 7–12). The revelations are cryptica</w:t>
      </w:r>
      <w:r w:rsidR="006441B0" w:rsidRPr="00B740B4">
        <w:t>lly expressed, but when</w:t>
      </w:r>
      <w:r w:rsidRPr="00B740B4">
        <w:t xml:space="preserve"> explicitly interpreted within the book they focus on events to take place in Jerusalem in the </w:t>
      </w:r>
      <w:r w:rsidR="008B6F5D">
        <w:t xml:space="preserve">Persian and </w:t>
      </w:r>
      <w:r w:rsidRPr="00B740B4">
        <w:t>Hellenistic period</w:t>
      </w:r>
      <w:r w:rsidR="008B6F5D">
        <w:t>s</w:t>
      </w:r>
      <w:r w:rsidRPr="00B740B4">
        <w:t xml:space="preserve">. Story and vision give the book as a </w:t>
      </w:r>
      <w:r w:rsidR="005F77AA" w:rsidRPr="00B740B4">
        <w:t>whole a double focus: it trac</w:t>
      </w:r>
      <w:r w:rsidRPr="00B740B4">
        <w:t>es an arc leading from the dis</w:t>
      </w:r>
      <w:r w:rsidR="005F77AA" w:rsidRPr="00B740B4">
        <w:t xml:space="preserve">persion in the sixth century </w:t>
      </w:r>
      <w:r w:rsidRPr="00B740B4">
        <w:t>to the Jerusalem of the second century.</w:t>
      </w:r>
    </w:p>
    <w:p w:rsidR="001B2642" w:rsidRPr="00B740B4" w:rsidRDefault="001B2642" w:rsidP="001B2642">
      <w:r w:rsidRPr="00B740B4">
        <w:t xml:space="preserve">The </w:t>
      </w:r>
      <w:r w:rsidR="007E067C" w:rsidRPr="00B740B4">
        <w:t>book’s Aramaic in 2:4b–7:28</w:t>
      </w:r>
      <w:r w:rsidRPr="00B740B4">
        <w:t xml:space="preserve"> is a form of Imperial Aramaic, the international language of the Middle East through much of OT times (cf. 2 Kgs 18:26).</w:t>
      </w:r>
      <w:r w:rsidR="005807DE" w:rsidRPr="00B740B4">
        <w:rPr>
          <w:rStyle w:val="FootnoteReference"/>
        </w:rPr>
        <w:footnoteReference w:id="5"/>
      </w:r>
      <w:r w:rsidRPr="00B740B4">
        <w:t xml:space="preserve"> It contains a fair number of Akkadian a</w:t>
      </w:r>
      <w:r w:rsidR="00F01359" w:rsidRPr="00B740B4">
        <w:t>nd Persian words and</w:t>
      </w:r>
      <w:r w:rsidR="008B6F5D">
        <w:t xml:space="preserve"> in chap. 3 three Greek ones. </w:t>
      </w:r>
      <w:r w:rsidR="00BE7ED0">
        <w:t>Its</w:t>
      </w:r>
      <w:r w:rsidR="008B6F5D">
        <w:t xml:space="preserve"> use of Aramaic</w:t>
      </w:r>
      <w:r w:rsidRPr="00B740B4">
        <w:t xml:space="preserve"> matches the stories’ setting in the eastern dispersion</w:t>
      </w:r>
      <w:r w:rsidR="006C16DE" w:rsidRPr="00B740B4">
        <w:t xml:space="preserve"> of the Jewish</w:t>
      </w:r>
      <w:r w:rsidR="006441B0" w:rsidRPr="00B740B4">
        <w:t xml:space="preserve"> people</w:t>
      </w:r>
      <w:r w:rsidRPr="00B740B4">
        <w:t xml:space="preserve">. It is distinguishable from the later Aramaic of Qumran but </w:t>
      </w:r>
      <w:r w:rsidR="00F01359" w:rsidRPr="00B740B4">
        <w:t xml:space="preserve">it </w:t>
      </w:r>
      <w:r w:rsidRPr="00B740B4">
        <w:t>might be dated anywhere between the late sixth an</w:t>
      </w:r>
      <w:r w:rsidR="00F01359" w:rsidRPr="00B740B4">
        <w:t>d early second centuries BC</w:t>
      </w:r>
      <w:r w:rsidRPr="00B740B4">
        <w:t>, though</w:t>
      </w:r>
      <w:r w:rsidR="006441B0" w:rsidRPr="00B740B4">
        <w:t xml:space="preserve"> its</w:t>
      </w:r>
      <w:r w:rsidRPr="00B740B4">
        <w:t xml:space="preserve"> spelling ma</w:t>
      </w:r>
      <w:r w:rsidR="006441B0" w:rsidRPr="00B740B4">
        <w:t>y have been updated later in</w:t>
      </w:r>
      <w:r w:rsidRPr="00B740B4">
        <w:t xml:space="preserve"> light of the ongoing development of the living language</w:t>
      </w:r>
      <w:r w:rsidR="00F01359" w:rsidRPr="00B740B4">
        <w:t>.</w:t>
      </w:r>
      <w:r w:rsidR="00F01359" w:rsidRPr="00B740B4">
        <w:rPr>
          <w:rStyle w:val="FootnoteReference"/>
        </w:rPr>
        <w:footnoteReference w:id="6"/>
      </w:r>
      <w:r w:rsidRPr="00B740B4">
        <w:t xml:space="preserve"> The Greek words</w:t>
      </w:r>
      <w:r w:rsidR="007E067C" w:rsidRPr="00B740B4">
        <w:t xml:space="preserve"> hardly necessitate a </w:t>
      </w:r>
      <w:r w:rsidRPr="00B740B4">
        <w:t>date</w:t>
      </w:r>
      <w:r w:rsidR="007E067C" w:rsidRPr="00B740B4">
        <w:t xml:space="preserve"> after the Greek conquest of the Middle East</w:t>
      </w:r>
      <w:r w:rsidRPr="00B740B4">
        <w:t xml:space="preserve">, given the </w:t>
      </w:r>
      <w:r w:rsidR="007E067C" w:rsidRPr="00B740B4">
        <w:t xml:space="preserve">earlier </w:t>
      </w:r>
      <w:r w:rsidRPr="00B740B4">
        <w:t>spre</w:t>
      </w:r>
      <w:r w:rsidR="007E067C" w:rsidRPr="00B740B4">
        <w:t>ad of Greek culture</w:t>
      </w:r>
      <w:r w:rsidRPr="00B740B4">
        <w:t xml:space="preserve"> even in Palestine.</w:t>
      </w:r>
      <w:r w:rsidR="00F01359" w:rsidRPr="00B740B4">
        <w:rPr>
          <w:rStyle w:val="FootnoteReference"/>
        </w:rPr>
        <w:footnoteReference w:id="7"/>
      </w:r>
      <w:r w:rsidRPr="00B740B4">
        <w:t xml:space="preserve"> The Hebrew of 1:1–2:4a; 8</w:t>
      </w:r>
      <w:r w:rsidR="007E067C" w:rsidRPr="00B740B4">
        <w:t>:1</w:t>
      </w:r>
      <w:r w:rsidRPr="00B740B4">
        <w:t>–12</w:t>
      </w:r>
      <w:r w:rsidR="007E067C" w:rsidRPr="00B740B4">
        <w:t>:13</w:t>
      </w:r>
      <w:r w:rsidRPr="00B740B4">
        <w:t xml:space="preserve"> also includes some Persian wo</w:t>
      </w:r>
      <w:r w:rsidR="00283748" w:rsidRPr="00B740B4">
        <w:t>rds and a number of Aramaisms, and i</w:t>
      </w:r>
      <w:r w:rsidRPr="00B740B4">
        <w:t xml:space="preserve">t </w:t>
      </w:r>
      <w:r w:rsidR="00BE7ED0">
        <w:t>is written in a distinctive</w:t>
      </w:r>
      <w:r w:rsidRPr="00B740B4">
        <w:t xml:space="preserve"> style and idiom with a number of uncertainties about the meaning of</w:t>
      </w:r>
      <w:r w:rsidR="00BE7ED0">
        <w:t xml:space="preserve"> individual words and phrases. It has been suggested that the Hebrew sections were</w:t>
      </w:r>
      <w:r w:rsidRPr="00B740B4">
        <w:t xml:space="preserve"> translated from Aramaic,</w:t>
      </w:r>
      <w:r w:rsidR="00F01359" w:rsidRPr="00B740B4">
        <w:rPr>
          <w:rStyle w:val="FootnoteReference"/>
        </w:rPr>
        <w:footnoteReference w:id="8"/>
      </w:r>
      <w:r w:rsidRPr="00B740B4">
        <w:t xml:space="preserve"> or a</w:t>
      </w:r>
      <w:r w:rsidR="00BE7ED0">
        <w:t xml:space="preserve">t least </w:t>
      </w:r>
      <w:r w:rsidRPr="00B740B4">
        <w:t>written by author(s) more at home in Aramaic. The range of possible dates for the Hebrew would be similar to that for the Aramaic.</w:t>
      </w:r>
      <w:r w:rsidR="00F01359" w:rsidRPr="00B740B4">
        <w:rPr>
          <w:rStyle w:val="FootnoteReference"/>
        </w:rPr>
        <w:footnoteReference w:id="9"/>
      </w:r>
    </w:p>
    <w:p w:rsidR="001B2642" w:rsidRPr="00B740B4" w:rsidRDefault="001B2642" w:rsidP="001B2642">
      <w:r w:rsidRPr="00B740B4">
        <w:t>Over the millennia since its composition, Daniel has been continuou</w:t>
      </w:r>
      <w:r w:rsidR="00F337B9" w:rsidRPr="00B740B4">
        <w:t>sly studied and expounded. A</w:t>
      </w:r>
      <w:r w:rsidR="0083010F" w:rsidRPr="00B740B4">
        <w:t xml:space="preserve"> consideration of this study and exposition</w:t>
      </w:r>
      <w:r w:rsidR="00F337B9" w:rsidRPr="00B740B4">
        <w:t xml:space="preserve"> is interesting in its own right and</w:t>
      </w:r>
      <w:r w:rsidRPr="00B740B4">
        <w:t xml:space="preserve"> rev</w:t>
      </w:r>
      <w:r w:rsidR="00F337B9" w:rsidRPr="00B740B4">
        <w:t>ealing of</w:t>
      </w:r>
      <w:r w:rsidRPr="00B740B4">
        <w:t xml:space="preserve"> a series of questions regarding the book’s content, ba</w:t>
      </w:r>
      <w:r w:rsidR="00F337B9" w:rsidRPr="00B740B4">
        <w:t xml:space="preserve">ckground, and meaning that </w:t>
      </w:r>
      <w:r w:rsidRPr="00B740B4">
        <w:t xml:space="preserve">provide part of the agenda for our own interaction with the book. We will return to some of them in the </w:t>
      </w:r>
      <w:r w:rsidRPr="004B16A8">
        <w:rPr>
          <w:i/>
        </w:rPr>
        <w:t>Conclusion</w:t>
      </w:r>
      <w:r w:rsidR="0083010F" w:rsidRPr="00B740B4">
        <w:t xml:space="preserve"> to the commentary, in </w:t>
      </w:r>
      <w:r w:rsidR="003930B3">
        <w:t xml:space="preserve">light of the </w:t>
      </w:r>
      <w:r w:rsidRPr="00B740B4">
        <w:t>chapter-by-chapter study.</w:t>
      </w:r>
    </w:p>
    <w:p w:rsidR="006441B0" w:rsidRPr="00B740B4" w:rsidRDefault="006441B0" w:rsidP="009479B1">
      <w:pPr>
        <w:pStyle w:val="Heading2"/>
      </w:pPr>
      <w:r w:rsidRPr="00B740B4">
        <w:lastRenderedPageBreak/>
        <w:t>Daniel at Qumran</w:t>
      </w:r>
      <w:r w:rsidR="0045569B" w:rsidRPr="00B740B4">
        <w:t>: Manuscripts of the the Book</w:t>
      </w:r>
    </w:p>
    <w:p w:rsidR="006D54B2" w:rsidRPr="00B740B4" w:rsidRDefault="002E4D6A" w:rsidP="006441B0">
      <w:r w:rsidRPr="00B740B4">
        <w:t>T</w:t>
      </w:r>
      <w:r w:rsidR="006D54B2" w:rsidRPr="00B740B4">
        <w:t xml:space="preserve">he visions in </w:t>
      </w:r>
      <w:r w:rsidR="0045569B" w:rsidRPr="00B740B4">
        <w:t xml:space="preserve">Daniel </w:t>
      </w:r>
      <w:r w:rsidR="00FC60FB" w:rsidRPr="00B740B4">
        <w:t>promise</w:t>
      </w:r>
      <w:r w:rsidR="00F337B9" w:rsidRPr="00B740B4">
        <w:t xml:space="preserve"> </w:t>
      </w:r>
      <w:r w:rsidRPr="00B740B4">
        <w:t xml:space="preserve">(among other things) </w:t>
      </w:r>
      <w:r w:rsidR="00F337B9" w:rsidRPr="00B740B4">
        <w:t>a miraculous deliverance</w:t>
      </w:r>
      <w:r w:rsidR="00FC60FB" w:rsidRPr="00B740B4">
        <w:t xml:space="preserve"> from the oppressive ru</w:t>
      </w:r>
      <w:r w:rsidR="00F337B9" w:rsidRPr="00B740B4">
        <w:t xml:space="preserve">le of Antiochus Epiphanes, </w:t>
      </w:r>
      <w:r w:rsidR="006D54B2" w:rsidRPr="00B740B4">
        <w:t xml:space="preserve">and </w:t>
      </w:r>
      <w:r w:rsidRPr="00B740B4">
        <w:t>such</w:t>
      </w:r>
      <w:r w:rsidR="00E61B69" w:rsidRPr="00B740B4">
        <w:t xml:space="preserve"> </w:t>
      </w:r>
      <w:r w:rsidR="006D54B2" w:rsidRPr="00B740B4">
        <w:t>a deliverance happen</w:t>
      </w:r>
      <w:r w:rsidR="00E61B69" w:rsidRPr="00B740B4">
        <w:t>ed</w:t>
      </w:r>
      <w:r w:rsidRPr="00B740B4">
        <w:t>. I</w:t>
      </w:r>
      <w:r w:rsidR="005F67B5" w:rsidRPr="00B740B4">
        <w:t>t would</w:t>
      </w:r>
      <w:r w:rsidR="00FC60FB" w:rsidRPr="00B740B4">
        <w:t xml:space="preserve"> hardly </w:t>
      </w:r>
      <w:r w:rsidR="005F67B5" w:rsidRPr="00B740B4">
        <w:t xml:space="preserve">be </w:t>
      </w:r>
      <w:r w:rsidR="00FC60FB" w:rsidRPr="00B740B4">
        <w:t>sur</w:t>
      </w:r>
      <w:r w:rsidR="00F337B9" w:rsidRPr="00B740B4">
        <w:t xml:space="preserve">prising </w:t>
      </w:r>
      <w:r w:rsidR="0045569B" w:rsidRPr="00B740B4">
        <w:t>if</w:t>
      </w:r>
      <w:r w:rsidR="00FC60FB" w:rsidRPr="00B740B4">
        <w:t xml:space="preserve"> </w:t>
      </w:r>
      <w:r w:rsidR="006D54B2" w:rsidRPr="00B740B4">
        <w:t>this event</w:t>
      </w:r>
      <w:r w:rsidR="00FC60FB" w:rsidRPr="00B740B4">
        <w:t xml:space="preserve"> dissol</w:t>
      </w:r>
      <w:r w:rsidR="00E61B69" w:rsidRPr="00B740B4">
        <w:t xml:space="preserve">ved any </w:t>
      </w:r>
      <w:r w:rsidR="00FC60FB" w:rsidRPr="00B740B4">
        <w:t>doubt regarding the divine origin of the visions</w:t>
      </w:r>
      <w:r w:rsidR="006D54B2" w:rsidRPr="00B740B4">
        <w:t>,</w:t>
      </w:r>
      <w:r w:rsidR="00FC60FB" w:rsidRPr="00B740B4">
        <w:t xml:space="preserve"> </w:t>
      </w:r>
      <w:r w:rsidR="005F67B5" w:rsidRPr="00B740B4">
        <w:t xml:space="preserve">and </w:t>
      </w:r>
      <w:r w:rsidR="006D54B2" w:rsidRPr="00B740B4">
        <w:t xml:space="preserve">also </w:t>
      </w:r>
      <w:r w:rsidR="005F67B5" w:rsidRPr="00B740B4">
        <w:t>encouraged study of the book</w:t>
      </w:r>
      <w:r w:rsidRPr="00B740B4">
        <w:t xml:space="preserve"> to see what further insight might emerge from it</w:t>
      </w:r>
      <w:r w:rsidR="00F337B9" w:rsidRPr="00B740B4">
        <w:t>. T</w:t>
      </w:r>
      <w:r w:rsidR="005F67B5" w:rsidRPr="00B740B4">
        <w:t>he incompleteness of the visions’ fulfillment would reinforce that encouragement.</w:t>
      </w:r>
      <w:r w:rsidR="001022AC">
        <w:rPr>
          <w:rStyle w:val="FootnoteReference"/>
        </w:rPr>
        <w:footnoteReference w:id="10"/>
      </w:r>
      <w:r w:rsidR="0045569B" w:rsidRPr="00B740B4">
        <w:t xml:space="preserve"> </w:t>
      </w:r>
    </w:p>
    <w:p w:rsidR="00E134C3" w:rsidRPr="00B740B4" w:rsidRDefault="002E4D6A" w:rsidP="006441B0">
      <w:r w:rsidRPr="00B740B4">
        <w:t>The Qumran scrolls are a key resource for our knowledge of the varied</w:t>
      </w:r>
      <w:r w:rsidR="006D54B2" w:rsidRPr="00B740B4">
        <w:t xml:space="preserve"> Daniel literature from late Second Temple times. </w:t>
      </w:r>
      <w:r w:rsidR="00E61B69" w:rsidRPr="00B740B4">
        <w:t>It seems plausible that the Qumran community’s in</w:t>
      </w:r>
      <w:r w:rsidRPr="00B740B4">
        <w:t xml:space="preserve">terest in Daniel links with the </w:t>
      </w:r>
      <w:r w:rsidR="00E61B69" w:rsidRPr="00B740B4">
        <w:t xml:space="preserve">sense </w:t>
      </w:r>
      <w:r w:rsidRPr="00B740B4">
        <w:t>of a need for deliverance and of</w:t>
      </w:r>
      <w:r w:rsidR="00E61B69" w:rsidRPr="00B740B4">
        <w:t xml:space="preserve"> the </w:t>
      </w:r>
      <w:r w:rsidRPr="00B740B4">
        <w:t xml:space="preserve">prospect of the </w:t>
      </w:r>
      <w:r w:rsidR="00E61B69" w:rsidRPr="00B740B4">
        <w:t>end of the age</w:t>
      </w:r>
      <w:r w:rsidRPr="00B740B4">
        <w:t>,</w:t>
      </w:r>
      <w:r w:rsidR="00E61B69" w:rsidRPr="00B740B4">
        <w:t xml:space="preserve"> which it shares</w:t>
      </w:r>
      <w:r w:rsidRPr="00B740B4">
        <w:t xml:space="preserve"> with the visions</w:t>
      </w:r>
      <w:r w:rsidR="00E61B69" w:rsidRPr="00B740B4">
        <w:t xml:space="preserve">. </w:t>
      </w:r>
      <w:r w:rsidR="006D54B2" w:rsidRPr="00B740B4">
        <w:t>Among the</w:t>
      </w:r>
      <w:r w:rsidR="00EA0B55" w:rsidRPr="00B740B4">
        <w:t xml:space="preserve"> scrolls</w:t>
      </w:r>
      <w:r w:rsidR="006D54B2" w:rsidRPr="00B740B4">
        <w:t xml:space="preserve"> there </w:t>
      </w:r>
      <w:r w:rsidR="003B2E87" w:rsidRPr="00B740B4">
        <w:t>are</w:t>
      </w:r>
      <w:r w:rsidR="00E61B69" w:rsidRPr="00B740B4">
        <w:t xml:space="preserve"> a eight fragmentary copies </w:t>
      </w:r>
      <w:r w:rsidR="003B2E87" w:rsidRPr="00B740B4">
        <w:t xml:space="preserve">of </w:t>
      </w:r>
      <w:r w:rsidR="00EA0B55" w:rsidRPr="00B740B4">
        <w:t xml:space="preserve">the </w:t>
      </w:r>
      <w:r w:rsidR="003930B3">
        <w:t xml:space="preserve">collection of </w:t>
      </w:r>
      <w:r w:rsidR="003B2E87" w:rsidRPr="00B740B4">
        <w:t>stories and visions</w:t>
      </w:r>
      <w:r w:rsidR="00E61B69" w:rsidRPr="00B740B4">
        <w:t xml:space="preserve"> </w:t>
      </w:r>
      <w:r w:rsidR="00EA0B55" w:rsidRPr="00B740B4">
        <w:t xml:space="preserve">which </w:t>
      </w:r>
      <w:r w:rsidR="00131C06">
        <w:t xml:space="preserve">appears in the </w:t>
      </w:r>
      <w:r w:rsidR="003930B3">
        <w:t xml:space="preserve">version of Daniel in the </w:t>
      </w:r>
      <w:r w:rsidR="00131C06">
        <w:t>Hebrew s</w:t>
      </w:r>
      <w:r w:rsidR="0045569B" w:rsidRPr="00B740B4">
        <w:t xml:space="preserve">criptures, </w:t>
      </w:r>
      <w:r w:rsidR="003930B3">
        <w:t xml:space="preserve">which </w:t>
      </w:r>
      <w:r w:rsidR="004B16A8">
        <w:t>copied over</w:t>
      </w:r>
      <w:r w:rsidR="00EA0B55" w:rsidRPr="00B740B4">
        <w:t xml:space="preserve"> a period beginning </w:t>
      </w:r>
      <w:r w:rsidR="003930B3">
        <w:t xml:space="preserve">only </w:t>
      </w:r>
      <w:r w:rsidR="00EA0B55" w:rsidRPr="00B740B4">
        <w:t xml:space="preserve">two or three decades after the deliverance in the 160s. There are thus more copies of Daniel </w:t>
      </w:r>
      <w:r w:rsidR="003930B3">
        <w:t xml:space="preserve">from Qumran </w:t>
      </w:r>
      <w:r w:rsidR="00EA0B55" w:rsidRPr="00B740B4">
        <w:t>than</w:t>
      </w:r>
      <w:r w:rsidR="0045569B" w:rsidRPr="00B740B4">
        <w:t xml:space="preserve"> of any other book</w:t>
      </w:r>
      <w:r w:rsidR="003930B3">
        <w:t xml:space="preserve"> within the Hebrew scriptures</w:t>
      </w:r>
      <w:r w:rsidR="00EA0B55" w:rsidRPr="00B740B4">
        <w:t xml:space="preserve">, which </w:t>
      </w:r>
      <w:r w:rsidR="00E61B69" w:rsidRPr="00B740B4">
        <w:t>in itself suggests that this Daniel scroll</w:t>
      </w:r>
      <w:r w:rsidR="003930B3">
        <w:t xml:space="preserve"> had a special importance</w:t>
      </w:r>
      <w:r w:rsidR="003B2E87" w:rsidRPr="00B740B4">
        <w:t xml:space="preserve"> </w:t>
      </w:r>
      <w:r w:rsidR="00E61B69" w:rsidRPr="00B740B4">
        <w:t xml:space="preserve">for the community. </w:t>
      </w:r>
      <w:r w:rsidR="00E134C3" w:rsidRPr="00B740B4">
        <w:t xml:space="preserve">The manuscripts are as follows: </w:t>
      </w:r>
    </w:p>
    <w:p w:rsidR="00E134C3" w:rsidRPr="00B740B4" w:rsidRDefault="00E134C3" w:rsidP="006441B0"/>
    <w:p w:rsidR="00E134C3" w:rsidRPr="00B740B4" w:rsidRDefault="00E134C3" w:rsidP="006441B0">
      <w:r w:rsidRPr="00B740B4">
        <w:t>1QDan</w:t>
      </w:r>
      <w:r w:rsidRPr="00B740B4">
        <w:rPr>
          <w:vertAlign w:val="superscript"/>
        </w:rPr>
        <w:t>a</w:t>
      </w:r>
      <w:r w:rsidRPr="00B740B4">
        <w:t>: 1:10-17; 2:2-6</w:t>
      </w:r>
    </w:p>
    <w:p w:rsidR="00E134C3" w:rsidRPr="00B740B4" w:rsidRDefault="00E134C3" w:rsidP="006441B0">
      <w:r w:rsidRPr="00B740B4">
        <w:t>1QDan</w:t>
      </w:r>
      <w:r w:rsidRPr="00B740B4">
        <w:rPr>
          <w:vertAlign w:val="superscript"/>
        </w:rPr>
        <w:t>b</w:t>
      </w:r>
      <w:r w:rsidRPr="00B740B4">
        <w:t>: 3:22-30</w:t>
      </w:r>
    </w:p>
    <w:p w:rsidR="00E134C3" w:rsidRPr="00B740B4" w:rsidRDefault="00E134C3" w:rsidP="006441B0">
      <w:r w:rsidRPr="00B740B4">
        <w:t>4QDan</w:t>
      </w:r>
      <w:r w:rsidRPr="00B740B4">
        <w:rPr>
          <w:vertAlign w:val="superscript"/>
        </w:rPr>
        <w:t>a</w:t>
      </w:r>
      <w:r w:rsidRPr="00B740B4">
        <w:t>: 1:16-20; 2:9-11, 19-49; 3:1-2; 4:</w:t>
      </w:r>
      <w:r w:rsidR="003F14FD" w:rsidRPr="00B740B4">
        <w:t>32-33 [</w:t>
      </w:r>
      <w:r w:rsidRPr="00B740B4">
        <w:t>29-30</w:t>
      </w:r>
      <w:r w:rsidR="003F14FD" w:rsidRPr="00B740B4">
        <w:t>]</w:t>
      </w:r>
      <w:r w:rsidRPr="00B740B4">
        <w:t>; 5:5-7, 12-14, 16-19; 7:5-7</w:t>
      </w:r>
      <w:r w:rsidR="00F56524" w:rsidRPr="00B740B4">
        <w:t xml:space="preserve">, 25-28; 8:1-5; </w:t>
      </w:r>
      <w:r w:rsidR="004B16A8">
        <w:tab/>
      </w:r>
      <w:r w:rsidR="004B16A8">
        <w:tab/>
      </w:r>
      <w:r w:rsidR="004B16A8">
        <w:tab/>
        <w:t>10:16-</w:t>
      </w:r>
      <w:r w:rsidR="00F56524" w:rsidRPr="00B740B4">
        <w:t>20; 11:13-16</w:t>
      </w:r>
    </w:p>
    <w:p w:rsidR="00F56524" w:rsidRPr="00B740B4" w:rsidRDefault="00F56524" w:rsidP="006441B0">
      <w:r w:rsidRPr="00B740B4">
        <w:t>4QDan</w:t>
      </w:r>
      <w:r w:rsidRPr="00B740B4">
        <w:rPr>
          <w:vertAlign w:val="superscript"/>
        </w:rPr>
        <w:t>b</w:t>
      </w:r>
      <w:r w:rsidRPr="00B740B4">
        <w:t>: 5:10-12</w:t>
      </w:r>
      <w:r w:rsidR="00265E38" w:rsidRPr="00B740B4">
        <w:t>, 14-16, 19-22; 6:</w:t>
      </w:r>
      <w:r w:rsidR="003F14FD" w:rsidRPr="00B740B4">
        <w:t>7-21, 26-28 [</w:t>
      </w:r>
      <w:r w:rsidR="00265E38" w:rsidRPr="00B740B4">
        <w:t>8-22, 27-29</w:t>
      </w:r>
      <w:r w:rsidR="003F14FD" w:rsidRPr="00B740B4">
        <w:t>]</w:t>
      </w:r>
      <w:r w:rsidR="00265E38" w:rsidRPr="00B740B4">
        <w:t>; 7:1-6, 11(?), 26-28; 8:1-8, 13-16</w:t>
      </w:r>
    </w:p>
    <w:p w:rsidR="00265E38" w:rsidRPr="00B740B4" w:rsidRDefault="00265E38" w:rsidP="006441B0">
      <w:r w:rsidRPr="00B740B4">
        <w:t>4QDan</w:t>
      </w:r>
      <w:r w:rsidRPr="00B740B4">
        <w:rPr>
          <w:vertAlign w:val="superscript"/>
        </w:rPr>
        <w:t>c</w:t>
      </w:r>
      <w:r w:rsidRPr="00B740B4">
        <w:t>: 10:5-9, 11-16, 21; 11:1-2, 13-17, 25—29</w:t>
      </w:r>
    </w:p>
    <w:p w:rsidR="0059418B" w:rsidRPr="00B740B4" w:rsidRDefault="0059418B" w:rsidP="006441B0">
      <w:r w:rsidRPr="00B740B4">
        <w:t>4QDan</w:t>
      </w:r>
      <w:r w:rsidRPr="00B740B4">
        <w:rPr>
          <w:vertAlign w:val="superscript"/>
        </w:rPr>
        <w:t>d</w:t>
      </w:r>
      <w:r w:rsidRPr="00B740B4">
        <w:t>: a few lines badly decayed</w:t>
      </w:r>
    </w:p>
    <w:p w:rsidR="0059418B" w:rsidRPr="00B740B4" w:rsidRDefault="0059418B" w:rsidP="006441B0">
      <w:r w:rsidRPr="00B740B4">
        <w:t>4QDan</w:t>
      </w:r>
      <w:r w:rsidRPr="00B740B4">
        <w:rPr>
          <w:vertAlign w:val="superscript"/>
        </w:rPr>
        <w:t>e</w:t>
      </w:r>
      <w:r w:rsidRPr="00B740B4">
        <w:t>: a few tiny fragments from chap. 9, none more than one complete word</w:t>
      </w:r>
    </w:p>
    <w:p w:rsidR="00265E38" w:rsidRPr="00B740B4" w:rsidRDefault="00265E38" w:rsidP="006441B0">
      <w:r w:rsidRPr="00B740B4">
        <w:t>6QDan (a papyrus): 8:16-17 (?), 20-21 (?); 10:8-16; 11:33-36, 38</w:t>
      </w:r>
      <w:r w:rsidR="00475A8C" w:rsidRPr="00B740B4">
        <w:t>.</w:t>
      </w:r>
      <w:r w:rsidR="00475A8C" w:rsidRPr="00B740B4">
        <w:rPr>
          <w:rStyle w:val="FootnoteReference"/>
        </w:rPr>
        <w:footnoteReference w:id="11"/>
      </w:r>
    </w:p>
    <w:p w:rsidR="0059418B" w:rsidRPr="00B740B4" w:rsidRDefault="0059418B" w:rsidP="006441B0"/>
    <w:p w:rsidR="009609EF" w:rsidRPr="00B740B4" w:rsidRDefault="0059418B" w:rsidP="00E61B69">
      <w:pPr>
        <w:ind w:firstLine="0"/>
      </w:pPr>
      <w:r w:rsidRPr="00B740B4">
        <w:t xml:space="preserve">While </w:t>
      </w:r>
      <w:r w:rsidR="001D66CE" w:rsidRPr="00B740B4">
        <w:t>chap. 12 does not feature</w:t>
      </w:r>
      <w:r w:rsidR="00E61B69" w:rsidRPr="00B740B4">
        <w:t xml:space="preserve"> among</w:t>
      </w:r>
      <w:r w:rsidR="001D66CE" w:rsidRPr="00B740B4">
        <w:t xml:space="preserve"> </w:t>
      </w:r>
      <w:r w:rsidRPr="00B740B4">
        <w:t>these manuscripts</w:t>
      </w:r>
      <w:r w:rsidR="00475A8C" w:rsidRPr="00B740B4">
        <w:t>, it</w:t>
      </w:r>
      <w:r w:rsidRPr="00B740B4">
        <w:t xml:space="preserve"> is referred to </w:t>
      </w:r>
      <w:r w:rsidR="00142D10" w:rsidRPr="00B740B4">
        <w:t xml:space="preserve">in 4QFlorilegium (4Q174), a commentary on a number of passages </w:t>
      </w:r>
      <w:r w:rsidR="004B16A8">
        <w:t xml:space="preserve">that were </w:t>
      </w:r>
      <w:r w:rsidR="00142D10" w:rsidRPr="00B740B4">
        <w:t xml:space="preserve">believed to relate to </w:t>
      </w:r>
      <w:r w:rsidR="00934A11" w:rsidRPr="00B740B4">
        <w:t>“</w:t>
      </w:r>
      <w:r w:rsidR="00142D10" w:rsidRPr="00B740B4">
        <w:t>the end of</w:t>
      </w:r>
      <w:r w:rsidR="001D66CE" w:rsidRPr="00B740B4">
        <w:t xml:space="preserve"> the days</w:t>
      </w:r>
      <w:r w:rsidR="00934A11" w:rsidRPr="00B740B4">
        <w:t>”</w:t>
      </w:r>
      <w:r w:rsidR="0018795A">
        <w:t>; these passages include</w:t>
      </w:r>
      <w:r w:rsidR="00D06ADF" w:rsidRPr="00B740B4">
        <w:t xml:space="preserve"> </w:t>
      </w:r>
      <w:r w:rsidR="004B16A8">
        <w:t xml:space="preserve">texts </w:t>
      </w:r>
      <w:r w:rsidR="00E61B69" w:rsidRPr="00B740B4">
        <w:t>from Exodus, 2 Samuel, Psalms, Isaiah, Ezekiel, Amos—and Daniel,  specifically</w:t>
      </w:r>
      <w:r w:rsidR="001D66CE" w:rsidRPr="00B740B4">
        <w:t xml:space="preserve"> 11:32 and</w:t>
      </w:r>
      <w:r w:rsidR="00D06ADF" w:rsidRPr="00B740B4">
        <w:t xml:space="preserve"> 12:10</w:t>
      </w:r>
      <w:r w:rsidR="00142D10" w:rsidRPr="00B740B4">
        <w:t>.</w:t>
      </w:r>
      <w:r w:rsidR="00475A8C" w:rsidRPr="00B740B4">
        <w:rPr>
          <w:rStyle w:val="FootnoteReference"/>
        </w:rPr>
        <w:footnoteReference w:id="12"/>
      </w:r>
      <w:r w:rsidR="00142D10" w:rsidRPr="00B740B4">
        <w:t xml:space="preserve"> Thus all twelve chapters of the book are represented one way or another among the </w:t>
      </w:r>
      <w:r w:rsidR="0018795A">
        <w:t xml:space="preserve">Qumran </w:t>
      </w:r>
      <w:r w:rsidR="00142D10" w:rsidRPr="00B740B4">
        <w:t>scrolls.</w:t>
      </w:r>
      <w:r w:rsidR="00E61B69" w:rsidRPr="00B740B4">
        <w:t xml:space="preserve"> </w:t>
      </w:r>
    </w:p>
    <w:p w:rsidR="009609EF" w:rsidRPr="00B740B4" w:rsidRDefault="00EA0B55" w:rsidP="009609EF">
      <w:r w:rsidRPr="00B740B4">
        <w:t>4QFlorilegium</w:t>
      </w:r>
      <w:r w:rsidR="006D54B2" w:rsidRPr="00B740B4">
        <w:t xml:space="preserve"> </w:t>
      </w:r>
      <w:r w:rsidRPr="00B740B4">
        <w:t xml:space="preserve">(col. II) </w:t>
      </w:r>
      <w:r w:rsidR="006D54B2" w:rsidRPr="00B740B4">
        <w:t>uses the expression</w:t>
      </w:r>
      <w:r w:rsidR="00934A11" w:rsidRPr="00B740B4">
        <w:t>”</w:t>
      </w:r>
      <w:r w:rsidR="006D54B2" w:rsidRPr="00B740B4">
        <w:t>as is written in the scroll of Daniel the prophet</w:t>
      </w:r>
      <w:r w:rsidR="009609EF" w:rsidRPr="00B740B4">
        <w:t>,</w:t>
      </w:r>
      <w:r w:rsidR="00934A11" w:rsidRPr="00B740B4">
        <w:t>”</w:t>
      </w:r>
      <w:r w:rsidR="0018795A">
        <w:t xml:space="preserve"> paralleling</w:t>
      </w:r>
      <w:r w:rsidR="006D54B2" w:rsidRPr="00B740B4">
        <w:t xml:space="preserve"> it</w:t>
      </w:r>
      <w:r w:rsidR="0018795A">
        <w:t>s use of</w:t>
      </w:r>
      <w:r w:rsidR="006D54B2" w:rsidRPr="00B740B4">
        <w:t xml:space="preserve"> the phrase </w:t>
      </w:r>
      <w:r w:rsidR="00934A11" w:rsidRPr="00B740B4">
        <w:t>“</w:t>
      </w:r>
      <w:r w:rsidR="006D54B2" w:rsidRPr="00B740B4">
        <w:t>as is written in the scroll of Isaiah th</w:t>
      </w:r>
      <w:r w:rsidR="00E61B69" w:rsidRPr="00B740B4">
        <w:t>e prophet</w:t>
      </w:r>
      <w:r w:rsidR="009609EF" w:rsidRPr="00B740B4">
        <w:t>,</w:t>
      </w:r>
      <w:r w:rsidRPr="00B740B4">
        <w:t>”</w:t>
      </w:r>
      <w:r w:rsidR="009609EF" w:rsidRPr="00B740B4">
        <w:t xml:space="preserve"> which suggests that Daniel has similar status to Isaiah</w:t>
      </w:r>
      <w:r w:rsidR="00E61B69" w:rsidRPr="00B740B4">
        <w:t>.</w:t>
      </w:r>
      <w:r w:rsidR="00230172" w:rsidRPr="00B740B4">
        <w:t xml:space="preserve"> </w:t>
      </w:r>
      <w:r w:rsidR="00B2577D" w:rsidRPr="00B740B4">
        <w:t>Geza Vemes</w:t>
      </w:r>
      <w:r w:rsidR="00230172" w:rsidRPr="00B740B4">
        <w:t xml:space="preserve"> makes the</w:t>
      </w:r>
      <w:r w:rsidR="00B2577D" w:rsidRPr="00B740B4">
        <w:t xml:space="preserve"> nice comment that </w:t>
      </w:r>
      <w:r w:rsidR="00934A11" w:rsidRPr="00B740B4">
        <w:t>“</w:t>
      </w:r>
      <w:r w:rsidR="00B2577D" w:rsidRPr="00B740B4">
        <w:t>all the textual evidence relating to Daniel suggests that its inclusion in the H</w:t>
      </w:r>
      <w:r w:rsidR="00230172" w:rsidRPr="00B740B4">
        <w:t>ebrew canon occurred in a hurry.</w:t>
      </w:r>
      <w:r w:rsidR="00934A11" w:rsidRPr="00B740B4">
        <w:t>”</w:t>
      </w:r>
      <w:r w:rsidR="00B2577D" w:rsidRPr="00B740B4">
        <w:rPr>
          <w:vertAlign w:val="superscript"/>
        </w:rPr>
        <w:footnoteReference w:id="13"/>
      </w:r>
      <w:r w:rsidR="00B2577D" w:rsidRPr="00B740B4">
        <w:t xml:space="preserve"> </w:t>
      </w:r>
      <w:r w:rsidR="00230172" w:rsidRPr="00B740B4">
        <w:t>But i</w:t>
      </w:r>
      <w:r w:rsidR="009609EF" w:rsidRPr="00B740B4">
        <w:t>f by a canon we mean an officially recognized and circumscribed list of books</w:t>
      </w:r>
      <w:r w:rsidR="00230172" w:rsidRPr="00B740B4">
        <w:t>,</w:t>
      </w:r>
      <w:r w:rsidR="009609EF" w:rsidRPr="00B740B4">
        <w:rPr>
          <w:vertAlign w:val="superscript"/>
        </w:rPr>
        <w:footnoteReference w:id="14"/>
      </w:r>
      <w:r w:rsidR="0018795A">
        <w:t xml:space="preserve"> it may be</w:t>
      </w:r>
      <w:r w:rsidR="00230172" w:rsidRPr="00B740B4">
        <w:t xml:space="preserve"> anachronistic to argue over whether the Qumran community had a canon which did or did not include Daniel. W</w:t>
      </w:r>
      <w:r w:rsidR="009609EF" w:rsidRPr="00B740B4">
        <w:t>e know of no occasion when the Jewish</w:t>
      </w:r>
      <w:r w:rsidR="00230172" w:rsidRPr="00B740B4">
        <w:t xml:space="preserve"> community decided on a canon; a</w:t>
      </w:r>
      <w:r w:rsidR="009609EF" w:rsidRPr="00B740B4">
        <w:t>s far as we can tell, it</w:t>
      </w:r>
      <w:r w:rsidR="00230172" w:rsidRPr="00B740B4">
        <w:t xml:space="preserve"> drifted into a having</w:t>
      </w:r>
      <w:r w:rsidR="009609EF" w:rsidRPr="00B740B4">
        <w:t xml:space="preserve"> the Torah, the Prophets, and the Wri</w:t>
      </w:r>
      <w:r w:rsidR="00131C06">
        <w:t>tings in particular as its s</w:t>
      </w:r>
      <w:r w:rsidR="00230172" w:rsidRPr="00B740B4">
        <w:t>criptures</w:t>
      </w:r>
      <w:r w:rsidR="009609EF" w:rsidRPr="00B740B4">
        <w:t xml:space="preserve">. But the prominence of </w:t>
      </w:r>
      <w:r w:rsidR="009609EF" w:rsidRPr="00B740B4">
        <w:lastRenderedPageBreak/>
        <w:t xml:space="preserve">Daniel at Qumran </w:t>
      </w:r>
      <w:r w:rsidR="0018795A">
        <w:t>parallels the way it had</w:t>
      </w:r>
      <w:r w:rsidRPr="00B740B4">
        <w:t xml:space="preserve"> a place in</w:t>
      </w:r>
      <w:r w:rsidR="009609EF" w:rsidRPr="00B740B4">
        <w:t xml:space="preserve"> </w:t>
      </w:r>
      <w:r w:rsidR="0018795A">
        <w:t>the canon understood as a</w:t>
      </w:r>
      <w:r w:rsidRPr="00B740B4">
        <w:t xml:space="preserve"> collection of core documents </w:t>
      </w:r>
      <w:r w:rsidR="009609EF" w:rsidRPr="00B740B4">
        <w:t>that were believed to</w:t>
      </w:r>
      <w:r w:rsidRPr="00B740B4">
        <w:t xml:space="preserve"> be of divine origin, attracted rewriting, </w:t>
      </w:r>
      <w:r w:rsidR="009609EF" w:rsidRPr="00B740B4">
        <w:t>attracte</w:t>
      </w:r>
      <w:r w:rsidRPr="00B740B4">
        <w:t xml:space="preserve">d interpretation, and </w:t>
      </w:r>
      <w:r w:rsidR="009609EF" w:rsidRPr="00B740B4">
        <w:t>mediate the voice of an authoritative teacher.</w:t>
      </w:r>
      <w:r w:rsidR="009609EF" w:rsidRPr="00B740B4">
        <w:rPr>
          <w:vertAlign w:val="superscript"/>
        </w:rPr>
        <w:footnoteReference w:id="15"/>
      </w:r>
    </w:p>
    <w:p w:rsidR="008743CF" w:rsidRPr="00B740B4" w:rsidRDefault="009609EF" w:rsidP="00BB6B52">
      <w:pPr>
        <w:tabs>
          <w:tab w:val="left" w:pos="3600"/>
        </w:tabs>
      </w:pPr>
      <w:r w:rsidRPr="00B740B4">
        <w:t>The Qumran</w:t>
      </w:r>
      <w:r w:rsidR="001D66CE" w:rsidRPr="00B740B4">
        <w:t xml:space="preserve"> manuscripts </w:t>
      </w:r>
      <w:r w:rsidR="00E61B69" w:rsidRPr="00B740B4">
        <w:t xml:space="preserve">of Daniel </w:t>
      </w:r>
      <w:r w:rsidR="001D66CE" w:rsidRPr="00B740B4">
        <w:t>are</w:t>
      </w:r>
      <w:r w:rsidRPr="00B740B4">
        <w:t xml:space="preserve"> </w:t>
      </w:r>
      <w:r w:rsidR="001D66CE" w:rsidRPr="00B740B4">
        <w:t>a thousand years older than our oldest copies of the Masoretic Text</w:t>
      </w:r>
      <w:r w:rsidRPr="00B740B4">
        <w:t>, but t</w:t>
      </w:r>
      <w:r w:rsidR="00142D10" w:rsidRPr="00B740B4">
        <w:t>he</w:t>
      </w:r>
      <w:r w:rsidR="001D66CE" w:rsidRPr="00B740B4">
        <w:t>ir</w:t>
      </w:r>
      <w:r w:rsidR="00142D10" w:rsidRPr="00B740B4">
        <w:t xml:space="preserve"> (unvocali</w:t>
      </w:r>
      <w:r w:rsidR="001D66CE" w:rsidRPr="00B740B4">
        <w:t xml:space="preserve">zed) text </w:t>
      </w:r>
      <w:r w:rsidR="00142D10" w:rsidRPr="00B740B4">
        <w:t>almost entirely corresponds to that of MT</w:t>
      </w:r>
      <w:r w:rsidRPr="00B740B4">
        <w:t>.</w:t>
      </w:r>
      <w:r w:rsidR="00BB6B52">
        <w:rPr>
          <w:rStyle w:val="FootnoteReference"/>
        </w:rPr>
        <w:footnoteReference w:id="16"/>
      </w:r>
      <w:r w:rsidRPr="00B740B4">
        <w:t xml:space="preserve"> M</w:t>
      </w:r>
      <w:r w:rsidR="00E35D3F" w:rsidRPr="00B740B4">
        <w:t>ost differences</w:t>
      </w:r>
      <w:r w:rsidR="00142D10" w:rsidRPr="00B740B4">
        <w:t xml:space="preserve"> are matters of spelling and grammar, which have sometimes been updated</w:t>
      </w:r>
      <w:r w:rsidR="00E61B69" w:rsidRPr="00B740B4">
        <w:t>. A</w:t>
      </w:r>
      <w:r w:rsidR="001D66CE" w:rsidRPr="00B740B4">
        <w:t xml:space="preserve"> few more significant variants </w:t>
      </w:r>
      <w:r w:rsidR="00E35D3F" w:rsidRPr="00B740B4">
        <w:t>may put us on the track of an earlier version of the text than MT’s (see e.g., the no</w:t>
      </w:r>
      <w:r w:rsidR="001D66CE" w:rsidRPr="00B740B4">
        <w:t xml:space="preserve">tes </w:t>
      </w:r>
      <w:r w:rsidR="00E61B69" w:rsidRPr="00B740B4">
        <w:t xml:space="preserve">in this commentary </w:t>
      </w:r>
      <w:r w:rsidR="001D66CE" w:rsidRPr="00B740B4">
        <w:t xml:space="preserve">at 2:24; </w:t>
      </w:r>
      <w:r w:rsidR="00A042E8" w:rsidRPr="00B740B4">
        <w:t xml:space="preserve">7:1; </w:t>
      </w:r>
      <w:r w:rsidR="001D66CE" w:rsidRPr="00B740B4">
        <w:t xml:space="preserve">8:4; </w:t>
      </w:r>
      <w:r w:rsidR="00A042E8" w:rsidRPr="00B740B4">
        <w:t xml:space="preserve">10:16; </w:t>
      </w:r>
      <w:r w:rsidR="001D66CE" w:rsidRPr="00B740B4">
        <w:t>11:17) or</w:t>
      </w:r>
      <w:r w:rsidR="00E35D3F" w:rsidRPr="00B740B4">
        <w:t xml:space="preserve"> </w:t>
      </w:r>
      <w:r w:rsidR="00E61B69" w:rsidRPr="00B740B4">
        <w:t xml:space="preserve">may </w:t>
      </w:r>
      <w:r w:rsidR="008743CF" w:rsidRPr="00B740B4">
        <w:t>indicate addi</w:t>
      </w:r>
      <w:r w:rsidR="00E35D3F" w:rsidRPr="00B740B4">
        <w:t>t</w:t>
      </w:r>
      <w:r w:rsidR="008743CF" w:rsidRPr="00B740B4">
        <w:t>i</w:t>
      </w:r>
      <w:r w:rsidR="00E35D3F" w:rsidRPr="00B740B4">
        <w:t>ons or changes in the Qumran versions (s</w:t>
      </w:r>
      <w:r w:rsidR="001D66CE" w:rsidRPr="00B740B4">
        <w:t>ee e.g., the notes at 5:7, 12).</w:t>
      </w:r>
      <w:r w:rsidR="00435F60" w:rsidRPr="00B740B4">
        <w:rPr>
          <w:rStyle w:val="FootnoteReference"/>
        </w:rPr>
        <w:footnoteReference w:id="17"/>
      </w:r>
      <w:r w:rsidR="008743CF" w:rsidRPr="00B740B4">
        <w:t xml:space="preserve"> </w:t>
      </w:r>
      <w:r w:rsidRPr="00B740B4">
        <w:t>Some differences</w:t>
      </w:r>
      <w:r w:rsidR="004B16A8">
        <w:t xml:space="preserve"> imply</w:t>
      </w:r>
      <w:r w:rsidRPr="00B740B4">
        <w:t xml:space="preserve"> </w:t>
      </w:r>
      <w:r w:rsidR="008743CF" w:rsidRPr="00B740B4">
        <w:t>agreement with OG (2:5; 10:16) or Th (1:12; 3:23).</w:t>
      </w:r>
      <w:r w:rsidR="008743CF" w:rsidRPr="00B740B4">
        <w:rPr>
          <w:vertAlign w:val="superscript"/>
        </w:rPr>
        <w:footnoteReference w:id="18"/>
      </w:r>
      <w:r w:rsidR="0018795A">
        <w:t xml:space="preserve"> But in general the sQumra manuscripts</w:t>
      </w:r>
      <w:r w:rsidR="008743CF" w:rsidRPr="00B740B4">
        <w:t xml:space="preserve"> suggest that virtually no change of significance happened to the text of Daniel between the time of their copying and the form that appears in MT.</w:t>
      </w:r>
    </w:p>
    <w:p w:rsidR="00142D10" w:rsidRPr="00B740B4" w:rsidRDefault="00E35D3F" w:rsidP="009479B1">
      <w:pPr>
        <w:pStyle w:val="Heading2"/>
      </w:pPr>
      <w:r w:rsidRPr="00B740B4">
        <w:t xml:space="preserve">Further </w:t>
      </w:r>
      <w:r w:rsidR="00142D10" w:rsidRPr="00B740B4">
        <w:t>Danielic Material at Qumran</w:t>
      </w:r>
    </w:p>
    <w:p w:rsidR="00D06ADF" w:rsidRPr="00B740B4" w:rsidRDefault="00D6214B" w:rsidP="006441B0">
      <w:r>
        <w:t>Among t</w:t>
      </w:r>
      <w:r w:rsidR="003B2E87" w:rsidRPr="00B740B4">
        <w:t>he Qumran scr</w:t>
      </w:r>
      <w:r w:rsidR="0018795A">
        <w:t xml:space="preserve">olls </w:t>
      </w:r>
      <w:r>
        <w:t xml:space="preserve">are also </w:t>
      </w:r>
      <w:r w:rsidR="0018795A">
        <w:t xml:space="preserve">a </w:t>
      </w:r>
      <w:r w:rsidR="003B2E87" w:rsidRPr="00B740B4">
        <w:t>number of other Aramaic documents</w:t>
      </w:r>
      <w:r w:rsidR="009609EF" w:rsidRPr="00B740B4">
        <w:t xml:space="preserve"> </w:t>
      </w:r>
      <w:r w:rsidR="003B2E87" w:rsidRPr="00B740B4">
        <w:t>mention</w:t>
      </w:r>
      <w:r w:rsidR="009609EF" w:rsidRPr="00B740B4">
        <w:t xml:space="preserve">ing Daniel or related to the Hebrew-Aramaic </w:t>
      </w:r>
      <w:r w:rsidR="003B2E87" w:rsidRPr="00B740B4">
        <w:t>Daniel scroll</w:t>
      </w:r>
      <w:r w:rsidR="0018795A">
        <w:t xml:space="preserve"> </w:t>
      </w:r>
      <w:r w:rsidR="0018795A" w:rsidRPr="0018795A">
        <w:t>in some way</w:t>
      </w:r>
      <w:r w:rsidR="003B2E87" w:rsidRPr="00B740B4">
        <w:t>.</w:t>
      </w:r>
      <w:r w:rsidR="003B2E87" w:rsidRPr="00B740B4">
        <w:rPr>
          <w:vertAlign w:val="superscript"/>
        </w:rPr>
        <w:footnoteReference w:id="19"/>
      </w:r>
      <w:r w:rsidR="003B2E87" w:rsidRPr="00B740B4">
        <w:t xml:space="preserve"> </w:t>
      </w:r>
      <w:r>
        <w:t>The latter</w:t>
      </w:r>
      <w:r w:rsidR="00E61B69" w:rsidRPr="00B740B4">
        <w:t xml:space="preserve"> include</w:t>
      </w:r>
      <w:r w:rsidR="00B6318B" w:rsidRPr="00B740B4">
        <w:t xml:space="preserve"> </w:t>
      </w:r>
      <w:r w:rsidR="009609EF" w:rsidRPr="00B740B4">
        <w:t xml:space="preserve">a </w:t>
      </w:r>
      <w:r w:rsidR="00BC0402" w:rsidRPr="00B740B4">
        <w:t>P</w:t>
      </w:r>
      <w:r w:rsidR="00B6318B" w:rsidRPr="00B740B4">
        <w:t>rayer of Nabonidus</w:t>
      </w:r>
      <w:r w:rsidR="00E61B69" w:rsidRPr="00B740B4">
        <w:t>,</w:t>
      </w:r>
      <w:r w:rsidR="00B6318B" w:rsidRPr="00B740B4">
        <w:t xml:space="preserve"> </w:t>
      </w:r>
      <w:r w:rsidR="00E61B69" w:rsidRPr="00B740B4">
        <w:t xml:space="preserve">who is healed from a seven-year illness through the ministry of a Jewish exorcist, </w:t>
      </w:r>
      <w:r w:rsidR="00B6318B" w:rsidRPr="00B740B4">
        <w:t>who</w:t>
      </w:r>
      <w:r w:rsidR="00E61B69" w:rsidRPr="00B740B4">
        <w:t>se focus thus overlaps with that of Daniel 4.</w:t>
      </w:r>
      <w:r w:rsidR="008743CF" w:rsidRPr="00B740B4">
        <w:rPr>
          <w:rStyle w:val="FootnoteReference"/>
        </w:rPr>
        <w:footnoteReference w:id="20"/>
      </w:r>
      <w:r w:rsidR="00E61B69" w:rsidRPr="00B740B4">
        <w:t xml:space="preserve"> Two </w:t>
      </w:r>
      <w:r w:rsidR="00B6318B" w:rsidRPr="00B740B4">
        <w:t>fragmentary</w:t>
      </w:r>
      <w:r w:rsidR="00230172" w:rsidRPr="00B740B4">
        <w:t xml:space="preserve"> scrolls (4Q243 and 244) apparently</w:t>
      </w:r>
      <w:r w:rsidR="00B6318B" w:rsidRPr="00B740B4">
        <w:t xml:space="preserve"> come from a work relating how Daniel gives Belshazzar an account of history from creation to the end of the age</w:t>
      </w:r>
      <w:r w:rsidR="008743CF" w:rsidRPr="00B740B4">
        <w:t>,</w:t>
      </w:r>
      <w:r w:rsidR="00B6318B" w:rsidRPr="00B740B4">
        <w:t xml:space="preserve"> which overlaps with the focus of Daniel 11.</w:t>
      </w:r>
      <w:r w:rsidR="00B6318B" w:rsidRPr="00B740B4">
        <w:rPr>
          <w:vertAlign w:val="superscript"/>
        </w:rPr>
        <w:footnoteReference w:id="21"/>
      </w:r>
      <w:r w:rsidR="00B6318B" w:rsidRPr="00B740B4">
        <w:t xml:space="preserve"> Another (4Q245) comprises a list of priests and kings and a promise of judgment on wickedness and of restoration. </w:t>
      </w:r>
      <w:r w:rsidR="007B2D4A" w:rsidRPr="00B740B4">
        <w:t>Yet another (4Q246) may be taking up Daniel 7.</w:t>
      </w:r>
      <w:r w:rsidR="007B2D4A" w:rsidRPr="00B740B4">
        <w:rPr>
          <w:rStyle w:val="FootnoteReference"/>
        </w:rPr>
        <w:footnoteReference w:id="22"/>
      </w:r>
      <w:r w:rsidR="007B2D4A" w:rsidRPr="00B740B4">
        <w:t xml:space="preserve"> </w:t>
      </w:r>
      <w:r w:rsidR="00B6318B" w:rsidRPr="00B740B4">
        <w:t>As its title implies, 4QFour Kingdoms (4Q552-53) may also be related to the Daniel materials.</w:t>
      </w:r>
      <w:r w:rsidR="00B6318B" w:rsidRPr="00B740B4">
        <w:rPr>
          <w:vertAlign w:val="superscript"/>
        </w:rPr>
        <w:footnoteReference w:id="23"/>
      </w:r>
      <w:r>
        <w:t xml:space="preserve"> I</w:t>
      </w:r>
      <w:r w:rsidR="00622721" w:rsidRPr="00B740B4">
        <w:t xml:space="preserve">t has been suggested that the Jeremiah Apocryphon to which at least </w:t>
      </w:r>
      <w:r w:rsidR="009609EF" w:rsidRPr="00B740B4">
        <w:t>some</w:t>
      </w:r>
      <w:r>
        <w:t xml:space="preserve"> of 4Q383-92 belongs inco</w:t>
      </w:r>
      <w:r w:rsidR="00622721" w:rsidRPr="00B740B4">
        <w:t>rpora</w:t>
      </w:r>
      <w:r>
        <w:t>tes a reworking of material in</w:t>
      </w:r>
      <w:r w:rsidR="00622721" w:rsidRPr="00B740B4">
        <w:t xml:space="preserve"> Daniel</w:t>
      </w:r>
      <w:r w:rsidR="009609EF" w:rsidRPr="00B740B4">
        <w:t>, from</w:t>
      </w:r>
      <w:r w:rsidR="00EE67E1" w:rsidRPr="00B740B4">
        <w:t xml:space="preserve"> </w:t>
      </w:r>
      <w:r w:rsidR="009609EF" w:rsidRPr="00B740B4">
        <w:t>within a few decades of the completion of the Hebrew-Aramaic Daniel</w:t>
      </w:r>
      <w:r w:rsidR="00EE67E1" w:rsidRPr="00B740B4">
        <w:t xml:space="preserve"> scroll</w:t>
      </w:r>
      <w:r w:rsidR="00622721" w:rsidRPr="00B740B4">
        <w:t>.</w:t>
      </w:r>
      <w:r w:rsidR="00622721" w:rsidRPr="00B740B4">
        <w:rPr>
          <w:rStyle w:val="FootnoteReference"/>
        </w:rPr>
        <w:footnoteReference w:id="24"/>
      </w:r>
    </w:p>
    <w:p w:rsidR="006441B0" w:rsidRPr="00B740B4" w:rsidRDefault="00D6214B" w:rsidP="006441B0">
      <w:r>
        <w:t xml:space="preserve">Given </w:t>
      </w:r>
      <w:r w:rsidR="006441B0" w:rsidRPr="00B740B4">
        <w:t>that the vision</w:t>
      </w:r>
      <w:r>
        <w:t>s in Daniel</w:t>
      </w:r>
      <w:r w:rsidR="00D06ADF" w:rsidRPr="00B740B4">
        <w:t xml:space="preserve"> had </w:t>
      </w:r>
      <w:r w:rsidR="006441B0" w:rsidRPr="00B740B4">
        <w:t xml:space="preserve">not been completely fulfilled in the downfall of Antiochus Epiphanes, </w:t>
      </w:r>
      <w:r>
        <w:t>t</w:t>
      </w:r>
      <w:r w:rsidRPr="00D6214B">
        <w:t xml:space="preserve">he Qumran community believed </w:t>
      </w:r>
      <w:r>
        <w:t xml:space="preserve">they were </w:t>
      </w:r>
      <w:r w:rsidR="006441B0" w:rsidRPr="00B740B4">
        <w:t xml:space="preserve">to be fulfilled in their day, and </w:t>
      </w:r>
      <w:r w:rsidR="00D06ADF" w:rsidRPr="00B740B4">
        <w:t xml:space="preserve">they </w:t>
      </w:r>
      <w:r w:rsidR="006441B0" w:rsidRPr="00B740B4">
        <w:t>saw themselves as the embodiment of the discerning teachers (</w:t>
      </w:r>
      <w:r w:rsidR="006441B0" w:rsidRPr="00B740B4">
        <w:rPr>
          <w:rFonts w:ascii="Arial" w:hAnsi="Arial" w:cs="Arial"/>
        </w:rPr>
        <w:t>משכילים</w:t>
      </w:r>
      <w:r w:rsidR="006441B0" w:rsidRPr="00B740B4">
        <w:t xml:space="preserve">) and the holy ones on high in </w:t>
      </w:r>
      <w:r w:rsidR="006441B0" w:rsidRPr="00B740B4">
        <w:lastRenderedPageBreak/>
        <w:t>Daniel.</w:t>
      </w:r>
      <w:r w:rsidR="006441B0" w:rsidRPr="00B740B4">
        <w:rPr>
          <w:rStyle w:val="FootnoteReference"/>
        </w:rPr>
        <w:footnoteReference w:id="25"/>
      </w:r>
      <w:r w:rsidR="006441B0" w:rsidRPr="00B740B4">
        <w:t xml:space="preserve"> In keeping with their general expository method, they applied prophecies from Daniel to themselves; the Damascus Rule offers </w:t>
      </w:r>
      <w:r w:rsidR="00934A11" w:rsidRPr="00B740B4">
        <w:t>“</w:t>
      </w:r>
      <w:r w:rsidR="006441B0" w:rsidRPr="00B740B4">
        <w:t>the first of a long line of commentaries</w:t>
      </w:r>
      <w:r w:rsidR="00934A11" w:rsidRPr="00B740B4">
        <w:t>”</w:t>
      </w:r>
      <w:r w:rsidR="006441B0" w:rsidRPr="00B740B4">
        <w:t xml:space="preserve"> on Dan 9:24–27.</w:t>
      </w:r>
      <w:r w:rsidR="006441B0" w:rsidRPr="00B740B4">
        <w:rPr>
          <w:rStyle w:val="FootnoteReference"/>
        </w:rPr>
        <w:footnoteReference w:id="26"/>
      </w:r>
      <w:r w:rsidR="006441B0" w:rsidRPr="00B740B4">
        <w:t xml:space="preserve"> 11Q13 (11QMelch) alludes to the tenth jubilee with apparent reference to Daniel and likely reference to this </w:t>
      </w:r>
      <w:r w:rsidR="009609EF" w:rsidRPr="00B740B4">
        <w:t xml:space="preserve">same </w:t>
      </w:r>
      <w:r w:rsidR="006441B0" w:rsidRPr="00B740B4">
        <w:t>passage;</w:t>
      </w:r>
      <w:r w:rsidR="006441B0" w:rsidRPr="00B740B4">
        <w:rPr>
          <w:rStyle w:val="FootnoteReference"/>
        </w:rPr>
        <w:footnoteReference w:id="27"/>
      </w:r>
      <w:r w:rsidR="006441B0" w:rsidRPr="00B740B4">
        <w:t xml:space="preserve"> words from Dan 9 </w:t>
      </w:r>
      <w:r w:rsidR="00EE67E1" w:rsidRPr="00B740B4">
        <w:t xml:space="preserve">also underlie one of the </w:t>
      </w:r>
      <w:r w:rsidR="006441B0" w:rsidRPr="00B740B4">
        <w:t>psalms</w:t>
      </w:r>
      <w:r w:rsidR="00A541BC" w:rsidRPr="00B740B4">
        <w:t xml:space="preserve"> in 11QPs</w:t>
      </w:r>
      <w:r w:rsidR="00A541BC" w:rsidRPr="00B740B4">
        <w:rPr>
          <w:vertAlign w:val="superscript"/>
        </w:rPr>
        <w:t>a</w:t>
      </w:r>
      <w:r w:rsidR="006441B0" w:rsidRPr="00B740B4">
        <w:t xml:space="preserve"> and the 4Q liturgical text </w:t>
      </w:r>
      <w:r w:rsidR="00934A11" w:rsidRPr="00B740B4">
        <w:t>“</w:t>
      </w:r>
      <w:r w:rsidR="006441B0" w:rsidRPr="00B740B4">
        <w:t>The Words of the Luminaries.</w:t>
      </w:r>
      <w:r w:rsidR="00934A11" w:rsidRPr="00B740B4">
        <w:t>”</w:t>
      </w:r>
      <w:r w:rsidR="006441B0" w:rsidRPr="00B740B4">
        <w:rPr>
          <w:rStyle w:val="FootnoteReference"/>
        </w:rPr>
        <w:footnoteReference w:id="28"/>
      </w:r>
      <w:r w:rsidR="006441B0" w:rsidRPr="00B740B4">
        <w:t xml:space="preserve"> Partly on the basis of Dan 9 </w:t>
      </w:r>
      <w:r w:rsidR="00EE67E1" w:rsidRPr="00B740B4">
        <w:t xml:space="preserve">the Essenes were </w:t>
      </w:r>
      <w:r w:rsidR="006441B0" w:rsidRPr="00B740B4">
        <w:t>expecting the Messiah between 3 BC and AD 2.</w:t>
      </w:r>
      <w:r w:rsidR="006441B0" w:rsidRPr="00B740B4">
        <w:rPr>
          <w:rStyle w:val="FootnoteReference"/>
        </w:rPr>
        <w:footnoteReference w:id="29"/>
      </w:r>
      <w:r w:rsidR="006441B0" w:rsidRPr="00B740B4">
        <w:t xml:space="preserve"> Daniel’s portrait of Antiochus as the embodi</w:t>
      </w:r>
      <w:r w:rsidR="00EE67E1" w:rsidRPr="00B740B4">
        <w:t xml:space="preserve">ment of godless wickedness </w:t>
      </w:r>
      <w:r w:rsidR="006441B0" w:rsidRPr="00B740B4">
        <w:t>furnishes them with a portrait of their enemies,</w:t>
      </w:r>
      <w:r w:rsidR="00466266">
        <w:t xml:space="preserve"> especially the Wicked Priest. T</w:t>
      </w:r>
      <w:r w:rsidR="006441B0" w:rsidRPr="00B740B4">
        <w:t xml:space="preserve">he framework </w:t>
      </w:r>
      <w:r w:rsidR="00466266">
        <w:t xml:space="preserve">for the picture of the End in </w:t>
      </w:r>
      <w:r w:rsidR="006441B0" w:rsidRPr="00B740B4">
        <w:t>the War Scroll</w:t>
      </w:r>
      <w:r w:rsidR="00466266">
        <w:t>, 1QM,</w:t>
      </w:r>
      <w:r w:rsidR="006441B0" w:rsidRPr="00B740B4">
        <w:t xml:space="preserve"> </w:t>
      </w:r>
      <w:r w:rsidR="00934A11" w:rsidRPr="00B740B4">
        <w:t>“</w:t>
      </w:r>
      <w:r w:rsidR="006441B0" w:rsidRPr="00B740B4">
        <w:t>draws its inspiration from Daniel xi. 40–xii. 3.</w:t>
      </w:r>
      <w:r w:rsidR="00934A11" w:rsidRPr="00B740B4">
        <w:t>”</w:t>
      </w:r>
      <w:r w:rsidR="006441B0" w:rsidRPr="00B740B4">
        <w:rPr>
          <w:rStyle w:val="FootnoteReference"/>
        </w:rPr>
        <w:footnoteReference w:id="30"/>
      </w:r>
      <w:r w:rsidR="006441B0" w:rsidRPr="00B740B4">
        <w:t xml:space="preserve"> There already appears here a major theme of Dan</w:t>
      </w:r>
      <w:r w:rsidR="000048B6" w:rsidRPr="00B740B4">
        <w:t xml:space="preserve">ielic study. </w:t>
      </w:r>
      <w:r w:rsidR="00466266">
        <w:t>While the conservative Jewish community had experienced</w:t>
      </w:r>
      <w:r w:rsidR="00466266" w:rsidRPr="00466266">
        <w:t xml:space="preserve"> a great deliverance </w:t>
      </w:r>
      <w:r w:rsidR="00466266">
        <w:t xml:space="preserve">that it could see as a fulfillment of promises in </w:t>
      </w:r>
      <w:r w:rsidR="000048B6" w:rsidRPr="00B740B4">
        <w:t>Dan 10–12</w:t>
      </w:r>
      <w:r w:rsidR="00466266">
        <w:t>,</w:t>
      </w:r>
      <w:r w:rsidR="006441B0" w:rsidRPr="00B740B4">
        <w:t xml:space="preserve"> </w:t>
      </w:r>
      <w:r w:rsidR="00466266">
        <w:t xml:space="preserve">the End had not come; </w:t>
      </w:r>
      <w:r w:rsidR="006441B0" w:rsidRPr="00B740B4">
        <w:t xml:space="preserve">history </w:t>
      </w:r>
      <w:r w:rsidR="00466266">
        <w:t>has continued</w:t>
      </w:r>
      <w:r w:rsidR="006441B0" w:rsidRPr="00B740B4">
        <w:t xml:space="preserve"> to unfold</w:t>
      </w:r>
      <w:r w:rsidR="000048B6" w:rsidRPr="00B740B4">
        <w:t xml:space="preserve"> and wickedness </w:t>
      </w:r>
      <w:r w:rsidR="00466266">
        <w:t>has continued, inside and outside the Jewish community</w:t>
      </w:r>
      <w:r w:rsidR="000048B6" w:rsidRPr="00B740B4">
        <w:t>.</w:t>
      </w:r>
      <w:r w:rsidR="006441B0" w:rsidRPr="00B740B4">
        <w:t xml:space="preserve"> </w:t>
      </w:r>
      <w:r w:rsidR="00466266">
        <w:t>Yet f</w:t>
      </w:r>
      <w:r w:rsidR="006441B0" w:rsidRPr="00B740B4">
        <w:t xml:space="preserve">ar from </w:t>
      </w:r>
      <w:r w:rsidR="00466266">
        <w:t>passing into disrepute, Daniel</w:t>
      </w:r>
      <w:r w:rsidR="006441B0" w:rsidRPr="00B740B4">
        <w:t xml:space="preserve"> exe</w:t>
      </w:r>
      <w:r w:rsidR="00466266">
        <w:t xml:space="preserve">rcised a growing influence. </w:t>
      </w:r>
      <w:r w:rsidR="006441B0" w:rsidRPr="00B740B4">
        <w:t>What 1QM perceives in Daniel is not merely a falsifiable timetable of events but encouragement to people living in the midst of crisis.</w:t>
      </w:r>
      <w:r w:rsidR="006441B0" w:rsidRPr="00B740B4">
        <w:rPr>
          <w:rStyle w:val="FootnoteReference"/>
        </w:rPr>
        <w:footnoteReference w:id="31"/>
      </w:r>
    </w:p>
    <w:p w:rsidR="006441B0" w:rsidRPr="00B740B4" w:rsidRDefault="008807BE" w:rsidP="006441B0">
      <w:r w:rsidRPr="00B740B4">
        <w:t xml:space="preserve">The Qumran documents also include copies of different sections of </w:t>
      </w:r>
      <w:r w:rsidRPr="00B740B4">
        <w:rPr>
          <w:i/>
        </w:rPr>
        <w:t>1 Enoch</w:t>
      </w:r>
      <w:r w:rsidRPr="00B740B4">
        <w:t>.</w:t>
      </w:r>
      <w:r w:rsidR="00A541BC" w:rsidRPr="00B740B4">
        <w:t xml:space="preserve"> </w:t>
      </w:r>
      <w:r w:rsidR="006441B0" w:rsidRPr="00B740B4">
        <w:t xml:space="preserve">During the Persian and Greek eras there had been developing a substantial literature connected with the name of Enoch, and this literature may be dependent on Daniel at a number of points. Current opinion dates much of </w:t>
      </w:r>
      <w:r w:rsidR="006441B0" w:rsidRPr="00B740B4">
        <w:rPr>
          <w:i/>
        </w:rPr>
        <w:t>1 Enoch</w:t>
      </w:r>
      <w:r w:rsidR="006441B0" w:rsidRPr="00B740B4">
        <w:t xml:space="preserve"> 1–36; 72–108 earlier than Daniel or within the same period, so that in principle it is as likely that Daniel is dependent on </w:t>
      </w:r>
      <w:r w:rsidR="006441B0" w:rsidRPr="00B740B4">
        <w:rPr>
          <w:i/>
        </w:rPr>
        <w:t>1 Enoch</w:t>
      </w:r>
      <w:r w:rsidR="00CA1834">
        <w:t xml:space="preserve"> as vice versa,</w:t>
      </w:r>
      <w:r w:rsidR="006441B0" w:rsidRPr="00B740B4">
        <w:rPr>
          <w:rStyle w:val="FootnoteReference"/>
        </w:rPr>
        <w:footnoteReference w:id="32"/>
      </w:r>
      <w:r w:rsidR="00CA1834">
        <w:t xml:space="preserve"> though</w:t>
      </w:r>
      <w:r w:rsidR="006441B0" w:rsidRPr="00B740B4">
        <w:t xml:space="preserve"> many of the parallels (e.g., the use of animal imagery in </w:t>
      </w:r>
      <w:r w:rsidR="006441B0" w:rsidRPr="00B740B4">
        <w:rPr>
          <w:i/>
        </w:rPr>
        <w:t>1 Enoch</w:t>
      </w:r>
      <w:r w:rsidR="006441B0" w:rsidRPr="00B740B4">
        <w:t xml:space="preserve"> 90)</w:t>
      </w:r>
      <w:r w:rsidR="000048B6" w:rsidRPr="00B740B4">
        <w:t xml:space="preserve"> need not require dependence either way</w:t>
      </w:r>
      <w:r w:rsidR="006441B0" w:rsidRPr="00B740B4">
        <w:t xml:space="preserve">. </w:t>
      </w:r>
      <w:r w:rsidR="000048B6" w:rsidRPr="00B740B4">
        <w:t>The situation is different with</w:t>
      </w:r>
      <w:r w:rsidR="006441B0" w:rsidRPr="00B740B4">
        <w:t xml:space="preserve"> </w:t>
      </w:r>
      <w:r w:rsidR="006441B0" w:rsidRPr="00B740B4">
        <w:rPr>
          <w:i/>
        </w:rPr>
        <w:t>1 Enoch</w:t>
      </w:r>
      <w:r w:rsidR="000048B6" w:rsidRPr="00B740B4">
        <w:t xml:space="preserve"> 37–71, </w:t>
      </w:r>
      <w:r w:rsidR="006441B0" w:rsidRPr="00B740B4">
        <w:t>the Parables or Similitudes. The Parables are uninstanced at Qumran, and current opinion regards them as belonging to the Roman period. Their most inter</w:t>
      </w:r>
      <w:r w:rsidRPr="00B740B4">
        <w:t xml:space="preserve">esting </w:t>
      </w:r>
      <w:r w:rsidR="00CA1834">
        <w:t>correspondence</w:t>
      </w:r>
      <w:r w:rsidR="00CA1834" w:rsidRPr="00B740B4">
        <w:t xml:space="preserve"> </w:t>
      </w:r>
      <w:r w:rsidR="00CA1834">
        <w:t>with</w:t>
      </w:r>
      <w:r w:rsidRPr="00B740B4">
        <w:t xml:space="preserve"> Daniel </w:t>
      </w:r>
      <w:r w:rsidR="000048B6" w:rsidRPr="00B740B4">
        <w:t>is their speaking of a</w:t>
      </w:r>
      <w:r w:rsidR="00B17FF5" w:rsidRPr="00B740B4">
        <w:t xml:space="preserve"> humanlike figure and of one advanced in days (cf. Dan</w:t>
      </w:r>
      <w:r w:rsidR="006441B0" w:rsidRPr="00B740B4">
        <w:t xml:space="preserve"> 7:13</w:t>
      </w:r>
      <w:r w:rsidR="00B17FF5" w:rsidRPr="00B740B4">
        <w:t>)</w:t>
      </w:r>
      <w:r w:rsidR="006441B0" w:rsidRPr="00B740B4">
        <w:t xml:space="preserve">. </w:t>
      </w:r>
      <w:r w:rsidR="00934A11" w:rsidRPr="00B740B4">
        <w:t>“</w:t>
      </w:r>
      <w:r w:rsidR="00CA1834">
        <w:t>That son of m</w:t>
      </w:r>
      <w:r w:rsidR="006441B0" w:rsidRPr="00B740B4">
        <w:t>an</w:t>
      </w:r>
      <w:r w:rsidR="00934A11" w:rsidRPr="00B740B4">
        <w:t>”</w:t>
      </w:r>
      <w:r w:rsidR="006441B0" w:rsidRPr="00B740B4">
        <w:t xml:space="preserve"> (</w:t>
      </w:r>
      <w:r w:rsidR="006441B0" w:rsidRPr="00B740B4">
        <w:rPr>
          <w:i/>
        </w:rPr>
        <w:t>1 Enoch</w:t>
      </w:r>
      <w:r w:rsidR="006441B0" w:rsidRPr="00B740B4">
        <w:t xml:space="preserve"> 46–48, alongside the </w:t>
      </w:r>
      <w:r w:rsidR="00934A11" w:rsidRPr="00B740B4">
        <w:t>“</w:t>
      </w:r>
      <w:r w:rsidR="006441B0" w:rsidRPr="00B740B4">
        <w:t>head of days</w:t>
      </w:r>
      <w:r w:rsidR="00934A11" w:rsidRPr="00B740B4">
        <w:t>”</w:t>
      </w:r>
      <w:r w:rsidR="006441B0" w:rsidRPr="00B740B4">
        <w:t xml:space="preserve"> with hair white like wool; see also chaps. 62; 69), God’s elect and righteous one, is apparently iden</w:t>
      </w:r>
      <w:r w:rsidRPr="00B740B4">
        <w:t>tified with the Messiah (48:10),</w:t>
      </w:r>
      <w:r w:rsidR="006441B0" w:rsidRPr="00B740B4">
        <w:rPr>
          <w:rStyle w:val="FootnoteReference"/>
        </w:rPr>
        <w:footnoteReference w:id="33"/>
      </w:r>
      <w:r w:rsidRPr="00B740B4">
        <w:t xml:space="preserve"> though</w:t>
      </w:r>
      <w:r w:rsidR="006441B0" w:rsidRPr="00B740B4">
        <w:t xml:space="preserve"> Enoch himself is later addressed as </w:t>
      </w:r>
      <w:r w:rsidR="00934A11" w:rsidRPr="00B740B4">
        <w:t>“</w:t>
      </w:r>
      <w:r w:rsidR="00CA1834">
        <w:t>son of m</w:t>
      </w:r>
      <w:r w:rsidR="006441B0" w:rsidRPr="00B740B4">
        <w:t>an</w:t>
      </w:r>
      <w:r w:rsidR="00934A11" w:rsidRPr="00B740B4">
        <w:t>”</w:t>
      </w:r>
      <w:r w:rsidR="006441B0" w:rsidRPr="00B740B4">
        <w:t xml:space="preserve"> (71:14). Thus Da</w:t>
      </w:r>
      <w:r w:rsidR="003D5111" w:rsidRPr="00B740B4">
        <w:t xml:space="preserve">n 7 is one of the texts </w:t>
      </w:r>
      <w:r w:rsidR="006441B0" w:rsidRPr="00B740B4">
        <w:t>used to interpret the significance of Enoch and his translation, reported with such tantalizing brevity in Gen 5</w:t>
      </w:r>
      <w:r w:rsidR="00CA1834">
        <w:t>:21-24; and the allusion</w:t>
      </w:r>
      <w:r w:rsidR="006441B0" w:rsidRPr="00B740B4">
        <w:t xml:space="preserve"> leads to or justifies a belief in Enoch’s functioning as eschatological judge. </w:t>
      </w:r>
      <w:r w:rsidR="00CA1834">
        <w:t>As in Dan 7, however, “son of man”</w:t>
      </w:r>
      <w:r w:rsidR="006441B0" w:rsidRPr="00B740B4">
        <w:t xml:space="preserve"> suggests an image, not a title.</w:t>
      </w:r>
    </w:p>
    <w:p w:rsidR="00CA2C37" w:rsidRPr="00B740B4" w:rsidRDefault="002558E7" w:rsidP="009479B1">
      <w:pPr>
        <w:pStyle w:val="Heading2"/>
      </w:pPr>
      <w:r w:rsidRPr="00B740B4">
        <w:lastRenderedPageBreak/>
        <w:t>The First Greek Translation of Daniel</w:t>
      </w:r>
    </w:p>
    <w:p w:rsidR="00E35D3F" w:rsidRPr="00B740B4" w:rsidRDefault="003D5111" w:rsidP="001B2642">
      <w:r w:rsidRPr="00B740B4">
        <w:t>E</w:t>
      </w:r>
      <w:r w:rsidR="00E31778" w:rsidRPr="00B740B4">
        <w:t xml:space="preserve">arly </w:t>
      </w:r>
      <w:r w:rsidR="0045569B" w:rsidRPr="00B740B4">
        <w:t xml:space="preserve">interest in Daniel </w:t>
      </w:r>
      <w:r w:rsidR="00E31778" w:rsidRPr="00B740B4">
        <w:t>appears</w:t>
      </w:r>
      <w:r w:rsidR="0045569B" w:rsidRPr="00B740B4">
        <w:t xml:space="preserve"> </w:t>
      </w:r>
      <w:r w:rsidRPr="00B740B4">
        <w:t xml:space="preserve">further </w:t>
      </w:r>
      <w:r w:rsidR="0045569B" w:rsidRPr="00B740B4">
        <w:t xml:space="preserve">in the translation of </w:t>
      </w:r>
      <w:r w:rsidRPr="00B740B4">
        <w:t>a longer collection</w:t>
      </w:r>
      <w:r w:rsidR="00E31778" w:rsidRPr="00B740B4">
        <w:t xml:space="preserve"> of </w:t>
      </w:r>
      <w:r w:rsidR="0045569B" w:rsidRPr="00B740B4">
        <w:t xml:space="preserve">Daniel </w:t>
      </w:r>
      <w:r w:rsidRPr="00B740B4">
        <w:t xml:space="preserve">material </w:t>
      </w:r>
      <w:r w:rsidR="0045569B" w:rsidRPr="00B740B4">
        <w:t>into Gr</w:t>
      </w:r>
      <w:r w:rsidR="00B95086" w:rsidRPr="00B740B4">
        <w:t>e</w:t>
      </w:r>
      <w:r w:rsidRPr="00B740B4">
        <w:t>ek for Jews in the wider world, which</w:t>
      </w:r>
      <w:r w:rsidR="00B95086" w:rsidRPr="00B740B4">
        <w:t xml:space="preserve"> </w:t>
      </w:r>
      <w:r w:rsidR="00DE4251" w:rsidRPr="00B740B4">
        <w:t xml:space="preserve">then </w:t>
      </w:r>
      <w:r w:rsidRPr="00B740B4">
        <w:t xml:space="preserve">found its way </w:t>
      </w:r>
      <w:r w:rsidR="00B95086" w:rsidRPr="00B740B4">
        <w:t>in</w:t>
      </w:r>
      <w:r w:rsidRPr="00B740B4">
        <w:t xml:space="preserve">to the collection of Jewish </w:t>
      </w:r>
      <w:r w:rsidR="004A5F96">
        <w:t>s</w:t>
      </w:r>
      <w:r w:rsidRPr="00B740B4">
        <w:t xml:space="preserve">criptures accepted in the Greek-speaking churches and still appears </w:t>
      </w:r>
      <w:r w:rsidR="00B95086" w:rsidRPr="00B740B4">
        <w:t xml:space="preserve">in the Roman Catholic </w:t>
      </w:r>
      <w:r w:rsidR="00834207">
        <w:t xml:space="preserve">and Orthodox </w:t>
      </w:r>
      <w:r w:rsidR="00B95086" w:rsidRPr="00B740B4">
        <w:t xml:space="preserve">Bible and </w:t>
      </w:r>
      <w:r w:rsidRPr="00B740B4">
        <w:t xml:space="preserve">in </w:t>
      </w:r>
      <w:r w:rsidR="00B95086" w:rsidRPr="00B740B4">
        <w:t>the Protestant Apocrypha</w:t>
      </w:r>
      <w:r w:rsidRPr="00B740B4">
        <w:t xml:space="preserve"> or Second[ary] Canon</w:t>
      </w:r>
      <w:r w:rsidR="00B95086" w:rsidRPr="00B740B4">
        <w:t xml:space="preserve">. </w:t>
      </w:r>
      <w:r w:rsidRPr="00B740B4">
        <w:t>The</w:t>
      </w:r>
      <w:r w:rsidR="00985A38" w:rsidRPr="00B740B4">
        <w:t xml:space="preserve"> </w:t>
      </w:r>
      <w:r w:rsidR="00934A11" w:rsidRPr="00B740B4">
        <w:t>“</w:t>
      </w:r>
      <w:r w:rsidR="00564F78" w:rsidRPr="00B740B4">
        <w:t>Old Greek</w:t>
      </w:r>
      <w:r w:rsidR="00934A11" w:rsidRPr="00B740B4">
        <w:t>”</w:t>
      </w:r>
      <w:r w:rsidR="00564F78" w:rsidRPr="00B740B4">
        <w:t xml:space="preserve"> translation was known to</w:t>
      </w:r>
      <w:r w:rsidR="00985A38" w:rsidRPr="00B740B4">
        <w:t xml:space="preserve"> </w:t>
      </w:r>
      <w:r w:rsidR="00F57DB6" w:rsidRPr="00B740B4">
        <w:t>the translator of the later</w:t>
      </w:r>
      <w:r w:rsidR="00985A38" w:rsidRPr="00B740B4">
        <w:t xml:space="preserve"> </w:t>
      </w:r>
      <w:r w:rsidR="00834207">
        <w:t>Greek version referred to</w:t>
      </w:r>
      <w:r w:rsidR="00E31778" w:rsidRPr="00B740B4">
        <w:t xml:space="preserve"> as Theodotio</w:t>
      </w:r>
      <w:r w:rsidR="00985A38" w:rsidRPr="00B740B4">
        <w:t>n, and both were known</w:t>
      </w:r>
      <w:r w:rsidR="00F57DB6" w:rsidRPr="00B740B4">
        <w:t xml:space="preserve"> to NT </w:t>
      </w:r>
      <w:r w:rsidR="00564F78" w:rsidRPr="00B740B4">
        <w:t>writers, whil</w:t>
      </w:r>
      <w:r w:rsidR="00985A38" w:rsidRPr="00B740B4">
        <w:t xml:space="preserve">e the reference in 1 Macc 1:54 to </w:t>
      </w:r>
      <w:r w:rsidR="00CE67B2" w:rsidRPr="00B740B4">
        <w:t xml:space="preserve">a </w:t>
      </w:r>
      <w:r w:rsidR="00CE67B2" w:rsidRPr="00B740B4">
        <w:rPr>
          <w:rStyle w:val="interlinear"/>
        </w:rPr>
        <w:t>βδέλυγμα</w:t>
      </w:r>
      <w:r w:rsidR="00CE67B2" w:rsidRPr="00B740B4">
        <w:t xml:space="preserve"> </w:t>
      </w:r>
      <w:r w:rsidR="00CE67B2" w:rsidRPr="00B740B4">
        <w:rPr>
          <w:rStyle w:val="interlinear"/>
        </w:rPr>
        <w:t xml:space="preserve">ἐρημώσεως, </w:t>
      </w:r>
      <w:r w:rsidR="00985A38" w:rsidRPr="00B740B4">
        <w:t xml:space="preserve">an </w:t>
      </w:r>
      <w:r w:rsidR="00934A11" w:rsidRPr="00B740B4">
        <w:t>“</w:t>
      </w:r>
      <w:r w:rsidR="00985A38" w:rsidRPr="00B740B4">
        <w:t>abomination of desolation</w:t>
      </w:r>
      <w:r w:rsidR="009A3EB1" w:rsidRPr="00B740B4">
        <w:t>,</w:t>
      </w:r>
      <w:r w:rsidR="00934A11" w:rsidRPr="00B740B4">
        <w:t>”</w:t>
      </w:r>
      <w:r w:rsidR="009514B4" w:rsidRPr="00B740B4">
        <w:t xml:space="preserve"> follows </w:t>
      </w:r>
      <w:r w:rsidR="00985A38" w:rsidRPr="00B740B4">
        <w:t>OG</w:t>
      </w:r>
      <w:r w:rsidR="009514B4" w:rsidRPr="00B740B4">
        <w:t>’s translation of</w:t>
      </w:r>
      <w:r w:rsidR="00985A38" w:rsidRPr="00B740B4">
        <w:t xml:space="preserve"> the </w:t>
      </w:r>
      <w:r w:rsidR="009514B4" w:rsidRPr="00B740B4">
        <w:t xml:space="preserve">Hebrew </w:t>
      </w:r>
      <w:r w:rsidR="00985A38" w:rsidRPr="00B740B4">
        <w:t xml:space="preserve">expression in </w:t>
      </w:r>
      <w:r w:rsidR="009514B4" w:rsidRPr="00B740B4">
        <w:t>Dan 11:31.</w:t>
      </w:r>
      <w:r w:rsidR="00564F78" w:rsidRPr="00B740B4">
        <w:t xml:space="preserve"> These considerations suggest that OG comes from the same period as the oldest of the Qumran manuscripts, the second half of the s</w:t>
      </w:r>
      <w:r w:rsidR="00834207">
        <w:t>econd century BC. The translation</w:t>
      </w:r>
      <w:r w:rsidR="004A5F96">
        <w:t xml:space="preserve"> thus</w:t>
      </w:r>
      <w:r w:rsidRPr="00B740B4">
        <w:t xml:space="preserve"> </w:t>
      </w:r>
      <w:r w:rsidR="00834207">
        <w:t xml:space="preserve">dates </w:t>
      </w:r>
      <w:r w:rsidR="00564F78" w:rsidRPr="00B740B4">
        <w:t>from within decades of the book’s composition</w:t>
      </w:r>
      <w:r w:rsidR="004A5F96">
        <w:t>, as they do</w:t>
      </w:r>
      <w:r w:rsidR="00564F78" w:rsidRPr="00B740B4">
        <w:t xml:space="preserve">. </w:t>
      </w:r>
      <w:r w:rsidR="00153032" w:rsidRPr="00B740B4">
        <w:t xml:space="preserve">It is therefore </w:t>
      </w:r>
      <w:r w:rsidR="00F57DB6" w:rsidRPr="00B740B4">
        <w:t xml:space="preserve">the more </w:t>
      </w:r>
      <w:r w:rsidR="00153032" w:rsidRPr="00B740B4">
        <w:t>st</w:t>
      </w:r>
      <w:r w:rsidR="00F57DB6" w:rsidRPr="00B740B4">
        <w:t>riking that the translation render</w:t>
      </w:r>
      <w:r w:rsidRPr="00B740B4">
        <w:t xml:space="preserve">s </w:t>
      </w:r>
      <w:r w:rsidR="00F57DB6" w:rsidRPr="00B740B4">
        <w:t>the expanded version of the book, augment</w:t>
      </w:r>
      <w:r w:rsidR="00153032" w:rsidRPr="00B740B4">
        <w:t>ed by a prayer and an act of praise incorporated into chap. 3</w:t>
      </w:r>
      <w:r w:rsidR="00834207">
        <w:t>,</w:t>
      </w:r>
      <w:r w:rsidR="00153032" w:rsidRPr="00B740B4">
        <w:t xml:space="preserve"> and by</w:t>
      </w:r>
      <w:r w:rsidR="00F57DB6" w:rsidRPr="00B740B4">
        <w:t xml:space="preserve"> </w:t>
      </w:r>
      <w:r w:rsidR="00BE6873" w:rsidRPr="00B740B4">
        <w:t xml:space="preserve">extra stories, about Susanna and about Bel and the </w:t>
      </w:r>
      <w:r w:rsidRPr="00B740B4">
        <w:t>Snake. T</w:t>
      </w:r>
      <w:r w:rsidR="00483706" w:rsidRPr="00B740B4">
        <w:t>hese</w:t>
      </w:r>
      <w:r w:rsidR="00834207">
        <w:t xml:space="preserve"> extra</w:t>
      </w:r>
      <w:r w:rsidRPr="00B740B4">
        <w:t xml:space="preserve"> elements in the book </w:t>
      </w:r>
      <w:r w:rsidR="00845979" w:rsidRPr="00B740B4">
        <w:t>also</w:t>
      </w:r>
      <w:r w:rsidR="00483706" w:rsidRPr="00B740B4">
        <w:t xml:space="preserve"> </w:t>
      </w:r>
      <w:r w:rsidRPr="00B740B4">
        <w:t xml:space="preserve">seem likely to be </w:t>
      </w:r>
      <w:r w:rsidR="00483706" w:rsidRPr="00B740B4">
        <w:t>translations of Hebrew or Aramaic o</w:t>
      </w:r>
      <w:r w:rsidR="00834207">
        <w:t>riginals, though</w:t>
      </w:r>
      <w:r w:rsidR="00525B40">
        <w:t xml:space="preserve"> they may be later additions to OG.</w:t>
      </w:r>
      <w:r w:rsidR="00525B40">
        <w:rPr>
          <w:rStyle w:val="FootnoteReference"/>
        </w:rPr>
        <w:footnoteReference w:id="34"/>
      </w:r>
    </w:p>
    <w:p w:rsidR="00413D74" w:rsidRPr="00B740B4" w:rsidRDefault="00F57DB6" w:rsidP="001B2642">
      <w:r w:rsidRPr="00B740B4">
        <w:t>OG</w:t>
      </w:r>
      <w:r w:rsidR="00564F78" w:rsidRPr="00B740B4">
        <w:t xml:space="preserve"> is</w:t>
      </w:r>
      <w:r w:rsidR="001B2642" w:rsidRPr="00B740B4">
        <w:t xml:space="preserve"> known</w:t>
      </w:r>
      <w:r w:rsidR="00DE4251" w:rsidRPr="00B740B4">
        <w:t xml:space="preserve"> only through the </w:t>
      </w:r>
      <w:r w:rsidR="007536CA" w:rsidRPr="00B740B4">
        <w:t>papyrus Manuscript</w:t>
      </w:r>
      <w:r w:rsidR="001B2642" w:rsidRPr="00B740B4">
        <w:t xml:space="preserve"> 9</w:t>
      </w:r>
      <w:r w:rsidR="007536CA" w:rsidRPr="00B740B4">
        <w:t>67</w:t>
      </w:r>
      <w:r w:rsidR="00DE4251" w:rsidRPr="00B740B4">
        <w:rPr>
          <w:rStyle w:val="FootnoteReference"/>
        </w:rPr>
        <w:footnoteReference w:id="35"/>
      </w:r>
      <w:r w:rsidR="007536CA" w:rsidRPr="00B740B4">
        <w:t xml:space="preserve"> </w:t>
      </w:r>
      <w:r w:rsidR="001B2642" w:rsidRPr="00B740B4">
        <w:t xml:space="preserve">from the </w:t>
      </w:r>
      <w:r w:rsidR="007536CA" w:rsidRPr="00B740B4">
        <w:t xml:space="preserve">second or </w:t>
      </w:r>
      <w:r w:rsidR="001B2642" w:rsidRPr="00B740B4">
        <w:t>third century</w:t>
      </w:r>
      <w:r w:rsidR="007536CA" w:rsidRPr="00B740B4">
        <w:t xml:space="preserve"> AD (which has chaps. 7—8 in their chronological place before 5—6)</w:t>
      </w:r>
      <w:r w:rsidR="001B2642" w:rsidRPr="00B740B4">
        <w:t xml:space="preserve">, through Codex 88, the Chigi manuscript </w:t>
      </w:r>
      <w:r w:rsidR="00F57B7D" w:rsidRPr="00B740B4">
        <w:t xml:space="preserve">of Origen’s Hexapla, from </w:t>
      </w:r>
      <w:r w:rsidR="001B2642" w:rsidRPr="00B740B4">
        <w:t xml:space="preserve">the </w:t>
      </w:r>
      <w:r w:rsidR="00F57B7D" w:rsidRPr="00B740B4">
        <w:t>ninth to eleventh centuries</w:t>
      </w:r>
      <w:r w:rsidR="001B2642" w:rsidRPr="00B740B4">
        <w:t>, and through a ninth-century manuscript of the Syriac tran</w:t>
      </w:r>
      <w:r w:rsidR="00564F78" w:rsidRPr="00B740B4">
        <w:t>slation of the Hexapla</w:t>
      </w:r>
      <w:r w:rsidR="001B2642" w:rsidRPr="00B740B4">
        <w:t xml:space="preserve"> </w:t>
      </w:r>
      <w:r w:rsidR="00564F78" w:rsidRPr="00B740B4">
        <w:t>(</w:t>
      </w:r>
      <w:r w:rsidR="001B2642" w:rsidRPr="00B740B4">
        <w:t>Syh</w:t>
      </w:r>
      <w:r w:rsidR="00564F78" w:rsidRPr="00B740B4">
        <w:t>)</w:t>
      </w:r>
      <w:r w:rsidR="001B2642" w:rsidRPr="00B740B4">
        <w:t>.</w:t>
      </w:r>
      <w:r w:rsidR="00CA2C37" w:rsidRPr="00B740B4">
        <w:rPr>
          <w:rStyle w:val="FootnoteReference"/>
        </w:rPr>
        <w:footnoteReference w:id="36"/>
      </w:r>
      <w:r w:rsidRPr="00B740B4">
        <w:t xml:space="preserve"> OG is mostly </w:t>
      </w:r>
      <w:r w:rsidR="001B2642" w:rsidRPr="00B740B4">
        <w:t xml:space="preserve">close to MT but </w:t>
      </w:r>
      <w:r w:rsidR="00E85398">
        <w:t xml:space="preserve">is </w:t>
      </w:r>
      <w:r w:rsidR="001B2642" w:rsidRPr="00B740B4">
        <w:t>further from it in chaps. 4–6</w:t>
      </w:r>
      <w:r w:rsidR="00D90E79" w:rsidRPr="00B740B4">
        <w:t>. Perhaps</w:t>
      </w:r>
      <w:r w:rsidRPr="00B740B4">
        <w:t xml:space="preserve"> OG has reworked</w:t>
      </w:r>
      <w:r w:rsidR="00F76893" w:rsidRPr="00B740B4">
        <w:t xml:space="preserve"> th</w:t>
      </w:r>
      <w:r w:rsidR="00D90E79" w:rsidRPr="00B740B4">
        <w:t xml:space="preserve">e Aramaic text of those chapters </w:t>
      </w:r>
      <w:r w:rsidR="00E85398">
        <w:t>(possibly</w:t>
      </w:r>
      <w:r w:rsidR="004A5F96">
        <w:t xml:space="preserve"> it was the work of a different translator)</w:t>
      </w:r>
      <w:r w:rsidR="004A5F96">
        <w:rPr>
          <w:rStyle w:val="FootnoteReference"/>
        </w:rPr>
        <w:footnoteReference w:id="37"/>
      </w:r>
      <w:r w:rsidR="004A5F96">
        <w:t xml:space="preserve"> </w:t>
      </w:r>
      <w:r w:rsidR="00D90E79" w:rsidRPr="00B740B4">
        <w:t>or perhaps</w:t>
      </w:r>
      <w:r w:rsidR="00F76893" w:rsidRPr="00B740B4">
        <w:t xml:space="preserve"> it follows a rewritten version</w:t>
      </w:r>
      <w:r w:rsidR="00F76893" w:rsidRPr="00B740B4">
        <w:rPr>
          <w:rStyle w:val="FootnoteReference"/>
        </w:rPr>
        <w:footnoteReference w:id="38"/>
      </w:r>
      <w:r w:rsidR="00F76893" w:rsidRPr="00B740B4">
        <w:t xml:space="preserve"> </w:t>
      </w:r>
      <w:r w:rsidR="00D90E79" w:rsidRPr="00B740B4">
        <w:t>or perhaps</w:t>
      </w:r>
      <w:r w:rsidR="00363A72" w:rsidRPr="00B740B4">
        <w:t xml:space="preserve"> it</w:t>
      </w:r>
      <w:r w:rsidR="007C6C04" w:rsidRPr="00B740B4">
        <w:t xml:space="preserve"> translates a dif</w:t>
      </w:r>
      <w:r w:rsidR="00363A72" w:rsidRPr="00B740B4">
        <w:t>ferent version</w:t>
      </w:r>
      <w:r w:rsidR="007C6C04" w:rsidRPr="00B740B4">
        <w:rPr>
          <w:vertAlign w:val="superscript"/>
        </w:rPr>
        <w:footnoteReference w:id="39"/>
      </w:r>
      <w:r w:rsidRPr="00B740B4">
        <w:t>—as OG a whole translates the</w:t>
      </w:r>
      <w:r w:rsidR="007C6C04" w:rsidRPr="00B740B4">
        <w:t xml:space="preserve"> longer edition</w:t>
      </w:r>
      <w:r w:rsidR="00B72853" w:rsidRPr="00B740B4">
        <w:t xml:space="preserve"> of the book</w:t>
      </w:r>
      <w:r w:rsidR="00371353" w:rsidRPr="00B740B4">
        <w:t>.</w:t>
      </w:r>
      <w:r w:rsidR="007C6C04" w:rsidRPr="00B740B4">
        <w:t xml:space="preserve"> </w:t>
      </w:r>
    </w:p>
    <w:p w:rsidR="001B2642" w:rsidRPr="00B740B4" w:rsidRDefault="00F57DB6" w:rsidP="001B2642">
      <w:r w:rsidRPr="00B740B4">
        <w:t xml:space="preserve">OG </w:t>
      </w:r>
      <w:r w:rsidR="00096316" w:rsidRPr="00B740B4">
        <w:t>differs from MT</w:t>
      </w:r>
      <w:r w:rsidR="007C6C04" w:rsidRPr="00B740B4">
        <w:t xml:space="preserve"> </w:t>
      </w:r>
      <w:r w:rsidR="001B2642" w:rsidRPr="00B740B4">
        <w:t xml:space="preserve">in one or two </w:t>
      </w:r>
      <w:r w:rsidR="009F38B4" w:rsidRPr="00B740B4">
        <w:t>subsequent key passages</w:t>
      </w:r>
      <w:r w:rsidR="00B72853" w:rsidRPr="00B740B4">
        <w:t>. I</w:t>
      </w:r>
      <w:r w:rsidR="001B2642" w:rsidRPr="00B740B4">
        <w:t>ts version of 9:24–27 makes more explicit than MT that the passage r</w:t>
      </w:r>
      <w:r w:rsidRPr="00B740B4">
        <w:t xml:space="preserve">efers to events </w:t>
      </w:r>
      <w:r w:rsidR="001B2642" w:rsidRPr="00B740B4">
        <w:t xml:space="preserve">in the time of Antiochus: it dates the events of v 26 after 7 + </w:t>
      </w:r>
      <w:r w:rsidR="001B2642" w:rsidRPr="00B740B4">
        <w:rPr>
          <w:i/>
        </w:rPr>
        <w:t>70</w:t>
      </w:r>
      <w:r w:rsidR="001B2642" w:rsidRPr="00B740B4">
        <w:t xml:space="preserve"> + 62 years—the 139th year of the S</w:t>
      </w:r>
      <w:r w:rsidR="0064561B">
        <w:t>eleucid era being c.</w:t>
      </w:r>
      <w:r w:rsidR="001B2642" w:rsidRPr="00B740B4">
        <w:t xml:space="preserve"> 172. It also makes explicit—with the benefit of hindsight—that many sevens would elapse after the removal of the desolating abomination and before the End.</w:t>
      </w:r>
      <w:r w:rsidR="00FB7E66" w:rsidRPr="00B740B4">
        <w:rPr>
          <w:rStyle w:val="FootnoteReference"/>
        </w:rPr>
        <w:footnoteReference w:id="40"/>
      </w:r>
      <w:r w:rsidR="001B2642" w:rsidRPr="00B740B4">
        <w:t xml:space="preserve"> In </w:t>
      </w:r>
      <w:r w:rsidR="008D747D" w:rsidRPr="00B740B4">
        <w:t xml:space="preserve">7:13, according to </w:t>
      </w:r>
      <w:r w:rsidR="00192873" w:rsidRPr="00B740B4">
        <w:t>OG</w:t>
      </w:r>
      <w:r w:rsidR="001B2642" w:rsidRPr="00B740B4">
        <w:t>, the humanlike figure comes not ἕως παλαιοῦ ἡμερῶν (</w:t>
      </w:r>
      <w:r w:rsidR="00934A11" w:rsidRPr="00B740B4">
        <w:t>“</w:t>
      </w:r>
      <w:r w:rsidR="001B2642" w:rsidRPr="00B740B4">
        <w:rPr>
          <w:i/>
        </w:rPr>
        <w:t>to</w:t>
      </w:r>
      <w:r w:rsidR="00E85398">
        <w:t xml:space="preserve"> one ol</w:t>
      </w:r>
      <w:r w:rsidR="001B2642" w:rsidRPr="00B740B4">
        <w:t>d in days</w:t>
      </w:r>
      <w:r w:rsidR="00934A11" w:rsidRPr="00B740B4">
        <w:t>”</w:t>
      </w:r>
      <w:r w:rsidR="001B2642" w:rsidRPr="00B740B4">
        <w:t>), but ὡς παλαιὸς ἡμερῶν (</w:t>
      </w:r>
      <w:r w:rsidR="00934A11" w:rsidRPr="00B740B4">
        <w:t>“</w:t>
      </w:r>
      <w:r w:rsidR="001B2642" w:rsidRPr="00B740B4">
        <w:rPr>
          <w:i/>
        </w:rPr>
        <w:t>as</w:t>
      </w:r>
      <w:r w:rsidR="00E85398">
        <w:t xml:space="preserve"> one ol</w:t>
      </w:r>
      <w:r w:rsidR="00936749" w:rsidRPr="00B740B4">
        <w:t>d in days</w:t>
      </w:r>
      <w:r w:rsidR="00934A11" w:rsidRPr="00B740B4">
        <w:t>”</w:t>
      </w:r>
      <w:r w:rsidR="00936749" w:rsidRPr="00B740B4">
        <w:t>). T</w:t>
      </w:r>
      <w:r w:rsidR="001B2642" w:rsidRPr="00B740B4">
        <w:t xml:space="preserve">his </w:t>
      </w:r>
      <w:r w:rsidR="00936749" w:rsidRPr="00B740B4">
        <w:t>reading may be</w:t>
      </w:r>
      <w:r w:rsidR="001B2642" w:rsidRPr="00B740B4">
        <w:t xml:space="preserve"> original; or it may be a slip; or it may reflect Christian claims for </w:t>
      </w:r>
      <w:r w:rsidR="00E45228">
        <w:t>Jesus’</w:t>
      </w:r>
      <w:r w:rsidR="001B2642" w:rsidRPr="00B740B4">
        <w:t xml:space="preserve"> divinity.</w:t>
      </w:r>
      <w:r w:rsidR="004027F9" w:rsidRPr="00B740B4">
        <w:rPr>
          <w:rStyle w:val="FootnoteReference"/>
        </w:rPr>
        <w:footnoteReference w:id="41"/>
      </w:r>
      <w:r w:rsidR="001B2642" w:rsidRPr="00B740B4">
        <w:t xml:space="preserve"> </w:t>
      </w:r>
      <w:r w:rsidR="00E85398">
        <w:t>Such differences from MT may thus</w:t>
      </w:r>
      <w:r w:rsidR="00CB1693" w:rsidRPr="00B740B4">
        <w:t xml:space="preserve"> </w:t>
      </w:r>
      <w:r w:rsidRPr="00B740B4">
        <w:t xml:space="preserve">again </w:t>
      </w:r>
      <w:r w:rsidR="00CB1693" w:rsidRPr="00B740B4">
        <w:t>indicate that OG i</w:t>
      </w:r>
      <w:r w:rsidR="001B2642" w:rsidRPr="00B740B4">
        <w:t xml:space="preserve">s in part paraphrastic/targumic/midrashic, the last element including both modifications based on other scriptures and other embellishments, in the manner of the Genesis </w:t>
      </w:r>
      <w:r w:rsidR="001B2642" w:rsidRPr="00B740B4">
        <w:lastRenderedPageBreak/>
        <w:t>Apocryphon.</w:t>
      </w:r>
      <w:r w:rsidR="00CA2C37" w:rsidRPr="00B740B4">
        <w:rPr>
          <w:rStyle w:val="FootnoteReference"/>
        </w:rPr>
        <w:footnoteReference w:id="42"/>
      </w:r>
      <w:r w:rsidR="001B2642" w:rsidRPr="00B740B4">
        <w:t xml:space="preserve"> </w:t>
      </w:r>
      <w:r w:rsidR="00CB1693" w:rsidRPr="00B740B4">
        <w:t>But R. H. Charles saw OG as often a better guide to the original Hebrew than MT,</w:t>
      </w:r>
      <w:r w:rsidRPr="00B740B4">
        <w:rPr>
          <w:vertAlign w:val="superscript"/>
        </w:rPr>
        <w:footnoteReference w:id="43"/>
      </w:r>
      <w:r w:rsidR="00CB1693" w:rsidRPr="00B740B4">
        <w:t xml:space="preserve"> Pace</w:t>
      </w:r>
      <w:r w:rsidR="001B2642" w:rsidRPr="00B740B4">
        <w:t xml:space="preserve"> argues that at least in chaps. 7–12 OG is </w:t>
      </w:r>
      <w:r w:rsidR="00CB1693" w:rsidRPr="00B740B4">
        <w:t xml:space="preserve">for the most part </w:t>
      </w:r>
      <w:r w:rsidR="001B2642" w:rsidRPr="00B740B4">
        <w:t>a literal renderin</w:t>
      </w:r>
      <w:r w:rsidR="00CB1693" w:rsidRPr="00B740B4">
        <w:t>g of a variant Hebrew tradition</w:t>
      </w:r>
      <w:r w:rsidR="001B2642" w:rsidRPr="00B740B4">
        <w:t xml:space="preserve"> such as the Qumran finds now prove to have existed for other </w:t>
      </w:r>
      <w:r w:rsidR="00CB1693" w:rsidRPr="00B740B4">
        <w:t>books</w:t>
      </w:r>
      <w:r w:rsidR="001B2642" w:rsidRPr="00B740B4">
        <w:t>,</w:t>
      </w:r>
      <w:r w:rsidR="00CB1693" w:rsidRPr="00B740B4">
        <w:rPr>
          <w:rStyle w:val="FootnoteReference"/>
        </w:rPr>
        <w:footnoteReference w:id="44"/>
      </w:r>
      <w:r w:rsidR="001B2642" w:rsidRPr="00B740B4">
        <w:t xml:space="preserve"> while Grelot</w:t>
      </w:r>
      <w:r w:rsidR="00E85398">
        <w:t xml:space="preserve"> </w:t>
      </w:r>
      <w:r w:rsidR="001B2642" w:rsidRPr="00B740B4">
        <w:t xml:space="preserve">suggests </w:t>
      </w:r>
      <w:r w:rsidR="00E85398">
        <w:t xml:space="preserve">that </w:t>
      </w:r>
      <w:r w:rsidR="001B2642" w:rsidRPr="00B740B4">
        <w:t>OG is a tran</w:t>
      </w:r>
      <w:r w:rsidR="00CA2C37" w:rsidRPr="00B740B4">
        <w:t>slation of a second-century BC</w:t>
      </w:r>
      <w:r w:rsidR="001B2642" w:rsidRPr="00B740B4">
        <w:t xml:space="preserve"> Hebrew version of the original Aramaic.</w:t>
      </w:r>
      <w:r w:rsidR="00B81352" w:rsidRPr="00B740B4">
        <w:rPr>
          <w:vertAlign w:val="superscript"/>
        </w:rPr>
        <w:footnoteReference w:id="45"/>
      </w:r>
    </w:p>
    <w:p w:rsidR="002558E7" w:rsidRPr="00B740B4" w:rsidRDefault="00907CAD" w:rsidP="009479B1">
      <w:pPr>
        <w:pStyle w:val="Heading2"/>
      </w:pPr>
      <w:r w:rsidRPr="00B740B4">
        <w:t>Daniel in the Greek-speaking W</w:t>
      </w:r>
      <w:r w:rsidR="002558E7" w:rsidRPr="00B740B4">
        <w:t>orld</w:t>
      </w:r>
    </w:p>
    <w:p w:rsidR="00ED3743" w:rsidRPr="00B740B4" w:rsidRDefault="00B81352" w:rsidP="00ED3743">
      <w:r w:rsidRPr="00B740B4">
        <w:t>First and Second</w:t>
      </w:r>
      <w:r w:rsidR="00CA2C37" w:rsidRPr="00B740B4">
        <w:t xml:space="preserve"> Maccabees (c</w:t>
      </w:r>
      <w:r w:rsidR="0064561B">
        <w:t>.</w:t>
      </w:r>
      <w:r w:rsidR="00CA2C37" w:rsidRPr="00B740B4">
        <w:t xml:space="preserve"> 100–63 BC</w:t>
      </w:r>
      <w:r w:rsidR="001B2642" w:rsidRPr="00B740B4">
        <w:t>) speak</w:t>
      </w:r>
      <w:r w:rsidR="00BE7227">
        <w:t xml:space="preserve"> in terms similar to Daniel’s regarding</w:t>
      </w:r>
      <w:r w:rsidR="001B2642" w:rsidRPr="00B740B4">
        <w:t xml:space="preserve"> some of the events of the Antiochene crisis: they assume that the original referenc</w:t>
      </w:r>
      <w:r w:rsidR="002558E7" w:rsidRPr="00B740B4">
        <w:t xml:space="preserve">e of </w:t>
      </w:r>
      <w:r w:rsidR="00BE7227">
        <w:t xml:space="preserve">the phrase </w:t>
      </w:r>
      <w:r w:rsidR="00BE7227" w:rsidRPr="00BE7227">
        <w:t xml:space="preserve">“the abomination of desolation” </w:t>
      </w:r>
      <w:r w:rsidR="00BE7227">
        <w:t xml:space="preserve">in </w:t>
      </w:r>
      <w:r w:rsidR="002558E7" w:rsidRPr="00B740B4">
        <w:t>Dan 9:27 and</w:t>
      </w:r>
      <w:r w:rsidR="001B2642" w:rsidRPr="00B740B4">
        <w:t xml:space="preserve"> 11:31 is to Anti</w:t>
      </w:r>
      <w:r w:rsidRPr="00B740B4">
        <w:t xml:space="preserve">ochus’s cultic </w:t>
      </w:r>
      <w:r w:rsidR="00BE7227">
        <w:t xml:space="preserve">innovation. </w:t>
      </w:r>
      <w:r w:rsidR="001B2642" w:rsidRPr="00B740B4">
        <w:t xml:space="preserve">The stories in Dan 1–6 provide Maccabees with perspectives on the pressures of the Antiochene </w:t>
      </w:r>
      <w:r w:rsidR="00CA2C37" w:rsidRPr="00B740B4">
        <w:t>crisis (1 Macc 1:41–43; 2:59–60</w:t>
      </w:r>
      <w:r w:rsidR="001B2642" w:rsidRPr="00B740B4">
        <w:t>).</w:t>
      </w:r>
      <w:r w:rsidR="00CA2C37" w:rsidRPr="00B740B4">
        <w:rPr>
          <w:rStyle w:val="FootnoteReference"/>
        </w:rPr>
        <w:footnoteReference w:id="46"/>
      </w:r>
      <w:r w:rsidR="001B2642" w:rsidRPr="00B740B4">
        <w:t xml:space="preserve"> But there are ideological differences between 1 Maccabees and Dan 7–12: the former strongly affirms the active measures of the Maccabees and omits reference to the idea of resurrection. </w:t>
      </w:r>
      <w:r w:rsidRPr="00B740B4">
        <w:t xml:space="preserve">The theology of </w:t>
      </w:r>
      <w:r w:rsidR="00BE7227">
        <w:t>2</w:t>
      </w:r>
      <w:r w:rsidRPr="00B740B4">
        <w:t xml:space="preserve"> Maccabees is closer to Daniel’s; it is</w:t>
      </w:r>
      <w:r w:rsidR="001B2642" w:rsidRPr="00B740B4">
        <w:t xml:space="preserve"> more inclined to tell a stor</w:t>
      </w:r>
      <w:r w:rsidRPr="00B740B4">
        <w:t>y that corresponds to Daniel</w:t>
      </w:r>
      <w:r w:rsidR="001B2642" w:rsidRPr="00B740B4">
        <w:t>.</w:t>
      </w:r>
      <w:r w:rsidR="002558E7" w:rsidRPr="00B740B4">
        <w:t xml:space="preserve"> </w:t>
      </w:r>
      <w:r w:rsidR="00BE7227">
        <w:t xml:space="preserve">The suggestion has been made </w:t>
      </w:r>
      <w:r w:rsidR="00ED3743" w:rsidRPr="00B740B4">
        <w:t xml:space="preserve">that </w:t>
      </w:r>
      <w:r w:rsidR="002558E7" w:rsidRPr="00B740B4">
        <w:t>Dan</w:t>
      </w:r>
      <w:r w:rsidR="00ED3743" w:rsidRPr="00B740B4">
        <w:t xml:space="preserve"> 3 (specifically the OG version) was part of the inspiration for the book of Judith.</w:t>
      </w:r>
      <w:r w:rsidR="00ED3743" w:rsidRPr="00B740B4">
        <w:rPr>
          <w:rStyle w:val="FootnoteReference"/>
        </w:rPr>
        <w:footnoteReference w:id="47"/>
      </w:r>
    </w:p>
    <w:p w:rsidR="00A328ED" w:rsidRPr="00B740B4" w:rsidRDefault="00845979" w:rsidP="00A328ED">
      <w:r w:rsidRPr="00B740B4">
        <w:t xml:space="preserve">Although the </w:t>
      </w:r>
      <w:r w:rsidR="00D3105A" w:rsidRPr="00B740B4">
        <w:t xml:space="preserve">Greek </w:t>
      </w:r>
      <w:r w:rsidR="004F2AA3">
        <w:t>translation of the s</w:t>
      </w:r>
      <w:r w:rsidRPr="00B740B4">
        <w:t>criptures was made for Jews, it became in pa</w:t>
      </w:r>
      <w:r w:rsidR="00FD531E">
        <w:t>rticular the church’s Bible, but</w:t>
      </w:r>
      <w:r w:rsidRPr="00B740B4">
        <w:t xml:space="preserve"> in the church the original Greek translation of Daniel was replaced by another</w:t>
      </w:r>
      <w:r w:rsidR="004A5F96">
        <w:t>, more literal</w:t>
      </w:r>
      <w:r w:rsidRPr="00B740B4">
        <w:t xml:space="preserve"> version</w:t>
      </w:r>
      <w:r w:rsidR="00740043">
        <w:t xml:space="preserve">, </w:t>
      </w:r>
      <w:r w:rsidR="00FD531E">
        <w:t>closer to MT</w:t>
      </w:r>
      <w:r w:rsidR="00740043">
        <w:t>. Jerome, i</w:t>
      </w:r>
      <w:r w:rsidR="00C17321" w:rsidRPr="00B740B4">
        <w:t xml:space="preserve">n his preface to </w:t>
      </w:r>
      <w:r w:rsidR="00850B9E" w:rsidRPr="00B740B4">
        <w:t xml:space="preserve">his </w:t>
      </w:r>
      <w:r w:rsidR="002558E7" w:rsidRPr="00B740B4">
        <w:t xml:space="preserve">Latin </w:t>
      </w:r>
      <w:r w:rsidR="00850B9E" w:rsidRPr="00B740B4">
        <w:t xml:space="preserve">translation of </w:t>
      </w:r>
      <w:r w:rsidR="00740043">
        <w:t>Daniel,</w:t>
      </w:r>
      <w:r w:rsidR="00FD531E">
        <w:t xml:space="preserve"> say</w:t>
      </w:r>
      <w:r w:rsidR="00C17321" w:rsidRPr="00B740B4">
        <w:t>s that h</w:t>
      </w:r>
      <w:r w:rsidR="00FD531E">
        <w:t xml:space="preserve">e has no idea why it </w:t>
      </w:r>
      <w:r w:rsidR="002873B8" w:rsidRPr="00B740B4">
        <w:t>happened</w:t>
      </w:r>
      <w:r w:rsidR="00D3105A" w:rsidRPr="00B740B4">
        <w:t>,</w:t>
      </w:r>
      <w:r w:rsidR="00C17321" w:rsidRPr="00B740B4">
        <w:rPr>
          <w:rStyle w:val="FootnoteReference"/>
        </w:rPr>
        <w:footnoteReference w:id="48"/>
      </w:r>
      <w:r w:rsidR="002873B8" w:rsidRPr="00B740B4">
        <w:t xml:space="preserve"> </w:t>
      </w:r>
      <w:r w:rsidR="00D3105A" w:rsidRPr="00B740B4">
        <w:t>and w</w:t>
      </w:r>
      <w:r w:rsidR="002873B8" w:rsidRPr="00B740B4">
        <w:t>e still have no idea</w:t>
      </w:r>
      <w:r w:rsidR="00D3105A" w:rsidRPr="00B740B4">
        <w:t>.</w:t>
      </w:r>
      <w:r w:rsidR="00FD531E">
        <w:t xml:space="preserve"> Having become the translation that appears</w:t>
      </w:r>
      <w:r w:rsidR="001B1A93" w:rsidRPr="00B740B4">
        <w:t xml:space="preserve"> in th</w:t>
      </w:r>
      <w:r w:rsidR="00FD531E">
        <w:t>e Septuagint as a whole, t</w:t>
      </w:r>
      <w:r w:rsidR="00FD531E" w:rsidRPr="00FD531E">
        <w:t xml:space="preserve">his </w:t>
      </w:r>
      <w:r w:rsidR="00FD531E">
        <w:t>further</w:t>
      </w:r>
      <w:r w:rsidR="00FD531E" w:rsidRPr="00FD531E">
        <w:t xml:space="preserve"> Greek rendering of Daniel </w:t>
      </w:r>
      <w:r w:rsidR="00FD531E">
        <w:t>is</w:t>
      </w:r>
      <w:r w:rsidR="00D3105A" w:rsidRPr="00B740B4">
        <w:t xml:space="preserve"> much </w:t>
      </w:r>
      <w:r w:rsidR="004F2FF2" w:rsidRPr="00B740B4">
        <w:t>better attested</w:t>
      </w:r>
      <w:r w:rsidR="001B1A93" w:rsidRPr="00B740B4">
        <w:t xml:space="preserve"> than OG</w:t>
      </w:r>
      <w:r w:rsidR="004F2FF2" w:rsidRPr="00B740B4">
        <w:t xml:space="preserve">. </w:t>
      </w:r>
      <w:r w:rsidR="001B1A93" w:rsidRPr="00B740B4">
        <w:t>Rahlf</w:t>
      </w:r>
      <w:r w:rsidR="009A3EB1" w:rsidRPr="00B740B4">
        <w:t>s</w:t>
      </w:r>
      <w:r w:rsidR="001B1A93" w:rsidRPr="00B740B4">
        <w:t xml:space="preserve">’s edition of the </w:t>
      </w:r>
      <w:r w:rsidR="00934A11" w:rsidRPr="00B740B4">
        <w:t>“</w:t>
      </w:r>
      <w:r w:rsidR="002558E7" w:rsidRPr="00B740B4">
        <w:t>Septuagint</w:t>
      </w:r>
      <w:r w:rsidR="00934A11" w:rsidRPr="00B740B4">
        <w:t>”</w:t>
      </w:r>
      <w:r w:rsidR="00A54D82">
        <w:t xml:space="preserve"> as a whole,</w:t>
      </w:r>
      <w:r w:rsidR="00D3105A" w:rsidRPr="00B740B4">
        <w:t xml:space="preserve"> </w:t>
      </w:r>
      <w:r w:rsidR="002558E7" w:rsidRPr="00B740B4">
        <w:t>Ziegler and Munnich’</w:t>
      </w:r>
      <w:r w:rsidR="00A54D82">
        <w:t>s</w:t>
      </w:r>
      <w:r w:rsidR="0030039C" w:rsidRPr="00B740B4">
        <w:t xml:space="preserve"> edition of </w:t>
      </w:r>
      <w:r w:rsidR="002873B8" w:rsidRPr="00B740B4">
        <w:t xml:space="preserve">Greek </w:t>
      </w:r>
      <w:r w:rsidR="0030039C" w:rsidRPr="00B740B4">
        <w:t>Daniel</w:t>
      </w:r>
      <w:r w:rsidR="00D3105A" w:rsidRPr="00B740B4">
        <w:t>, and NETS</w:t>
      </w:r>
      <w:r w:rsidR="0030039C" w:rsidRPr="00B740B4">
        <w:t xml:space="preserve"> include both versions. </w:t>
      </w:r>
      <w:r w:rsidR="00D3105A" w:rsidRPr="00B740B4">
        <w:t>While the newer translation</w:t>
      </w:r>
      <w:r w:rsidR="001B1A93" w:rsidRPr="00B740B4">
        <w:t xml:space="preserve"> is credited to Theodotion (c AD 180), </w:t>
      </w:r>
      <w:r w:rsidR="00A328ED" w:rsidRPr="00B740B4">
        <w:t xml:space="preserve">we have noted that </w:t>
      </w:r>
      <w:r w:rsidR="001B1A93" w:rsidRPr="00B740B4">
        <w:t>i</w:t>
      </w:r>
      <w:r w:rsidR="001B2642" w:rsidRPr="00B740B4">
        <w:t>ts renderi</w:t>
      </w:r>
      <w:r w:rsidR="002873B8" w:rsidRPr="00B740B4">
        <w:t>ngs are known before hi</w:t>
      </w:r>
      <w:r w:rsidR="001B2642" w:rsidRPr="00B740B4">
        <w:t xml:space="preserve">s time; both OG and Th are reflected in </w:t>
      </w:r>
      <w:r w:rsidR="00FD531E">
        <w:t>the NT. Perhaps Th is</w:t>
      </w:r>
      <w:r w:rsidR="009A3EB1" w:rsidRPr="00B740B4">
        <w:t xml:space="preserve"> </w:t>
      </w:r>
      <w:r w:rsidR="001B2642" w:rsidRPr="00B740B4">
        <w:t>an a</w:t>
      </w:r>
      <w:r w:rsidR="009A3EB1" w:rsidRPr="00B740B4">
        <w:t xml:space="preserve">lternative </w:t>
      </w:r>
      <w:r w:rsidR="001B2642" w:rsidRPr="00B740B4">
        <w:t>Greek version from some other part of the pre-Ch</w:t>
      </w:r>
      <w:r w:rsidR="00A328ED" w:rsidRPr="00B740B4">
        <w:t xml:space="preserve">ristian </w:t>
      </w:r>
      <w:r w:rsidR="00FD531E">
        <w:t>Hellenistic/Roman world, possibly</w:t>
      </w:r>
      <w:r w:rsidR="00A328ED" w:rsidRPr="00B740B4">
        <w:t xml:space="preserve"> a revision of</w:t>
      </w:r>
      <w:r w:rsidR="009A3EB1" w:rsidRPr="00B740B4">
        <w:t xml:space="preserve"> OG to render the translation more literal,</w:t>
      </w:r>
      <w:r w:rsidR="00D95CF3" w:rsidRPr="00B740B4">
        <w:t xml:space="preserve"> or an alter</w:t>
      </w:r>
      <w:r w:rsidR="009A3EB1" w:rsidRPr="00B740B4">
        <w:t>n</w:t>
      </w:r>
      <w:r w:rsidR="00D95CF3" w:rsidRPr="00B740B4">
        <w:t>a</w:t>
      </w:r>
      <w:r w:rsidR="009A3EB1" w:rsidRPr="00B740B4">
        <w:t>tive translation that often follows OG.</w:t>
      </w:r>
      <w:r w:rsidR="00B95086" w:rsidRPr="00B740B4">
        <w:rPr>
          <w:vertAlign w:val="superscript"/>
        </w:rPr>
        <w:footnoteReference w:id="49"/>
      </w:r>
      <w:r w:rsidR="00D3105A" w:rsidRPr="00B740B4">
        <w:t xml:space="preserve"> “There is scholarly consensus on relatively few issues regarding the textual history of OG-Dan and Th-Dan.”</w:t>
      </w:r>
      <w:r w:rsidR="00D3105A" w:rsidRPr="00B740B4">
        <w:rPr>
          <w:vertAlign w:val="superscript"/>
        </w:rPr>
        <w:footnoteReference w:id="50"/>
      </w:r>
    </w:p>
    <w:p w:rsidR="001402E3" w:rsidRPr="00B740B4" w:rsidRDefault="0064561B" w:rsidP="001402E3">
      <w:r>
        <w:lastRenderedPageBreak/>
        <w:t>T</w:t>
      </w:r>
      <w:r w:rsidR="00E71E53" w:rsidRPr="00B740B4">
        <w:t>he</w:t>
      </w:r>
      <w:r w:rsidR="001402E3" w:rsidRPr="00B740B4">
        <w:t xml:space="preserve"> commentary </w:t>
      </w:r>
      <w:r w:rsidR="00E71E53" w:rsidRPr="00B740B4">
        <w:t>on Daniel by</w:t>
      </w:r>
      <w:r w:rsidR="001402E3" w:rsidRPr="00B740B4">
        <w:t xml:space="preserve"> Origen (185–254</w:t>
      </w:r>
      <w:r w:rsidR="00E71E53" w:rsidRPr="00B740B4">
        <w:t>)</w:t>
      </w:r>
      <w:r w:rsidR="007033BA" w:rsidRPr="00B740B4">
        <w:rPr>
          <w:rStyle w:val="FootnoteReference"/>
        </w:rPr>
        <w:footnoteReference w:id="51"/>
      </w:r>
      <w:r w:rsidR="00C84A50">
        <w:t xml:space="preserve"> has not survived</w:t>
      </w:r>
      <w:r w:rsidR="00E71E53" w:rsidRPr="00B740B4">
        <w:t xml:space="preserve">, </w:t>
      </w:r>
      <w:r>
        <w:t xml:space="preserve">but </w:t>
      </w:r>
      <w:r w:rsidR="00C84A50">
        <w:t>Origen has</w:t>
      </w:r>
      <w:r w:rsidR="001402E3" w:rsidRPr="00B740B4">
        <w:t xml:space="preserve"> abiding significanc</w:t>
      </w:r>
      <w:r w:rsidR="00C84A50">
        <w:t xml:space="preserve">e in connection with Daniel through </w:t>
      </w:r>
      <w:r w:rsidR="001402E3" w:rsidRPr="00B740B4">
        <w:t>his Hexapla, a six-column collation of the Hebrew OT with various Greek versions. During the second century</w:t>
      </w:r>
      <w:r w:rsidR="00E71E53" w:rsidRPr="00B740B4">
        <w:t xml:space="preserve"> a number of </w:t>
      </w:r>
      <w:r w:rsidR="00582135">
        <w:t xml:space="preserve">further </w:t>
      </w:r>
      <w:r w:rsidR="001402E3" w:rsidRPr="00B740B4">
        <w:t>alternatives to OG had com</w:t>
      </w:r>
      <w:r w:rsidR="00E71E53" w:rsidRPr="00B740B4">
        <w:t xml:space="preserve">e into existence, including </w:t>
      </w:r>
      <w:r w:rsidR="001402E3" w:rsidRPr="00B740B4">
        <w:t>a</w:t>
      </w:r>
      <w:r w:rsidR="00E71E53" w:rsidRPr="00B740B4">
        <w:t xml:space="preserve"> very literal version by Aquila</w:t>
      </w:r>
      <w:r w:rsidR="001402E3" w:rsidRPr="00B740B4">
        <w:t xml:space="preserve"> and a freer one by Symmachus</w:t>
      </w:r>
      <w:r w:rsidR="00582135">
        <w:t>.</w:t>
      </w:r>
      <w:r w:rsidR="00C74B41" w:rsidRPr="00B740B4">
        <w:rPr>
          <w:vertAlign w:val="superscript"/>
        </w:rPr>
        <w:footnoteReference w:id="52"/>
      </w:r>
      <w:r w:rsidR="001402E3" w:rsidRPr="00B740B4">
        <w:t xml:space="preserve"> Greek versions were also translated into Latin and later into Coptic (Sahidic/Bohairic, third ce</w:t>
      </w:r>
      <w:r w:rsidR="00582135">
        <w:t>ntury)</w:t>
      </w:r>
      <w:r w:rsidR="001402E3" w:rsidRPr="00B740B4">
        <w:t xml:space="preserve"> </w:t>
      </w:r>
      <w:r w:rsidR="00582135">
        <w:t xml:space="preserve">and </w:t>
      </w:r>
      <w:r w:rsidR="001402E3" w:rsidRPr="00B740B4">
        <w:t>Ethiopic (fourth centur</w:t>
      </w:r>
      <w:r w:rsidR="00582135">
        <w:t>y)</w:t>
      </w:r>
      <w:r w:rsidR="001402E3" w:rsidRPr="00B740B4">
        <w:t xml:space="preserve">. Origen </w:t>
      </w:r>
      <w:r w:rsidR="00E71E53" w:rsidRPr="00B740B4">
        <w:t xml:space="preserve">himself </w:t>
      </w:r>
      <w:r w:rsidR="001402E3" w:rsidRPr="00B740B4">
        <w:t>was concerned for the Church to get the O</w:t>
      </w:r>
      <w:r w:rsidR="00E71E53" w:rsidRPr="00B740B4">
        <w:t xml:space="preserve">T text right, not least so </w:t>
      </w:r>
      <w:r w:rsidR="001402E3" w:rsidRPr="00B740B4">
        <w:t>it could argu</w:t>
      </w:r>
      <w:r w:rsidR="00E71E53" w:rsidRPr="00B740B4">
        <w:t xml:space="preserve">e with Jews on a common basis. Perhaps it was </w:t>
      </w:r>
      <w:r w:rsidR="001402E3" w:rsidRPr="00B740B4">
        <w:t>through h</w:t>
      </w:r>
      <w:r w:rsidR="00E71E53" w:rsidRPr="00B740B4">
        <w:t xml:space="preserve">is work in the Hexapla that </w:t>
      </w:r>
      <w:r w:rsidR="001402E3" w:rsidRPr="00B740B4">
        <w:t xml:space="preserve">OG </w:t>
      </w:r>
      <w:r w:rsidR="00E71E53" w:rsidRPr="00B740B4">
        <w:t xml:space="preserve">came to be supplanted </w:t>
      </w:r>
      <w:r w:rsidR="001402E3" w:rsidRPr="00B740B4">
        <w:t>by Th in the LXX</w:t>
      </w:r>
      <w:r w:rsidR="00582135">
        <w:t>; it might have been preferred because it strucj closer to</w:t>
      </w:r>
      <w:r w:rsidR="00E71E53" w:rsidRPr="00B740B4">
        <w:t xml:space="preserve"> the Hebrew. At the same time, the Hexapla was long</w:t>
      </w:r>
      <w:r w:rsidR="001402E3" w:rsidRPr="00B740B4">
        <w:t xml:space="preserve"> our </w:t>
      </w:r>
      <w:r w:rsidR="00E71E53" w:rsidRPr="00B740B4">
        <w:t xml:space="preserve">sole </w:t>
      </w:r>
      <w:r w:rsidR="001402E3" w:rsidRPr="00B740B4">
        <w:t>source for the oldest complete manuscripts of OG Daniel, 88 and Syh, as well as for fragments of Aquila and Symmachus.</w:t>
      </w:r>
    </w:p>
    <w:p w:rsidR="00B95086" w:rsidRPr="00B740B4" w:rsidRDefault="00582135" w:rsidP="00B95086">
      <w:r>
        <w:t>U</w:t>
      </w:r>
      <w:r w:rsidR="001B2642" w:rsidRPr="00B740B4">
        <w:t xml:space="preserve">ncertainty </w:t>
      </w:r>
      <w:r>
        <w:t xml:space="preserve">also </w:t>
      </w:r>
      <w:r w:rsidR="001B2642" w:rsidRPr="00B740B4">
        <w:t xml:space="preserve">attaches to the origin of the Syriac translation of Daniel. There are no clear indications that it is of Christian background, nor that it is dependent on OG or Th; it may be an independent translation from a Hebrew tradition related to but </w:t>
      </w:r>
      <w:r>
        <w:t xml:space="preserve">slightly </w:t>
      </w:r>
      <w:r w:rsidR="001B2642" w:rsidRPr="00B740B4">
        <w:t xml:space="preserve">different from MT, perhaps deriving from Edessa in Turkey, the </w:t>
      </w:r>
      <w:r w:rsidR="00934A11" w:rsidRPr="00B740B4">
        <w:t>“</w:t>
      </w:r>
      <w:r w:rsidR="001B2642" w:rsidRPr="00B740B4">
        <w:t>literary capital</w:t>
      </w:r>
      <w:r w:rsidR="00934A11" w:rsidRPr="00B740B4">
        <w:t>”</w:t>
      </w:r>
      <w:r w:rsidR="001B2642" w:rsidRPr="00B740B4">
        <w:t xml:space="preserve"> of the Syrian world in pre-Christian and C</w:t>
      </w:r>
      <w:r w:rsidR="00CA2C37" w:rsidRPr="00B740B4">
        <w:t>hristian times</w:t>
      </w:r>
      <w:r w:rsidR="001B2642" w:rsidRPr="00B740B4">
        <w:t>.</w:t>
      </w:r>
      <w:r w:rsidR="00CA2C37" w:rsidRPr="00B740B4">
        <w:rPr>
          <w:rStyle w:val="FootnoteReference"/>
        </w:rPr>
        <w:footnoteReference w:id="53"/>
      </w:r>
      <w:r w:rsidR="001B2642" w:rsidRPr="00B740B4">
        <w:t xml:space="preserve"> </w:t>
      </w:r>
      <w:r w:rsidR="00D42761" w:rsidRPr="00B740B4">
        <w:t>The earliest Armenian translation was based on the Syriac.</w:t>
      </w:r>
      <w:r w:rsidR="00D42761" w:rsidRPr="00B740B4">
        <w:rPr>
          <w:rStyle w:val="FootnoteReference"/>
        </w:rPr>
        <w:footnoteReference w:id="54"/>
      </w:r>
    </w:p>
    <w:p w:rsidR="00514A19" w:rsidRPr="00B740B4" w:rsidRDefault="00514A19" w:rsidP="009479B1">
      <w:pPr>
        <w:pStyle w:val="Heading2"/>
      </w:pPr>
      <w:r w:rsidRPr="00B740B4">
        <w:t>Daniel in the New Testament</w:t>
      </w:r>
      <w:r w:rsidR="00582135">
        <w:t xml:space="preserve"> </w:t>
      </w:r>
    </w:p>
    <w:p w:rsidR="008D747D" w:rsidRPr="00B740B4" w:rsidRDefault="00BE6B21" w:rsidP="001B2642">
      <w:r w:rsidRPr="00B740B4">
        <w:t xml:space="preserve">The </w:t>
      </w:r>
      <w:r w:rsidR="001B2642" w:rsidRPr="00B740B4">
        <w:t xml:space="preserve">motif </w:t>
      </w:r>
      <w:r w:rsidRPr="00B740B4">
        <w:t xml:space="preserve">of the </w:t>
      </w:r>
      <w:r w:rsidR="00934A11" w:rsidRPr="00B740B4">
        <w:t>“</w:t>
      </w:r>
      <w:r w:rsidRPr="00B740B4">
        <w:t>Human Figure</w:t>
      </w:r>
      <w:r w:rsidR="00934A11" w:rsidRPr="00B740B4">
        <w:t>”</w:t>
      </w:r>
      <w:r w:rsidRPr="00B740B4">
        <w:t xml:space="preserve"> (conventionally, </w:t>
      </w:r>
      <w:r w:rsidR="00934A11" w:rsidRPr="00B740B4">
        <w:t>“</w:t>
      </w:r>
      <w:r w:rsidRPr="00B740B4">
        <w:t>Son of Man</w:t>
      </w:r>
      <w:r w:rsidR="00934A11" w:rsidRPr="00B740B4">
        <w:t>”</w:t>
      </w:r>
      <w:r w:rsidRPr="00B740B4">
        <w:t>) who appears in Dan 7 feature</w:t>
      </w:r>
      <w:r w:rsidR="001B2642" w:rsidRPr="00B740B4">
        <w:t xml:space="preserve">s prominently in the accounts of </w:t>
      </w:r>
      <w:r w:rsidR="00E45228">
        <w:t>Jesus’</w:t>
      </w:r>
      <w:r w:rsidR="00201FC1">
        <w:t xml:space="preserve"> </w:t>
      </w:r>
      <w:r w:rsidR="001B2642" w:rsidRPr="00B740B4">
        <w:t xml:space="preserve">life and teaching that came to be included in the NT, though the historical </w:t>
      </w:r>
      <w:r w:rsidR="00C74B41" w:rsidRPr="00B740B4">
        <w:t xml:space="preserve">and exegetical </w:t>
      </w:r>
      <w:r w:rsidR="001B2642" w:rsidRPr="00B740B4">
        <w:t>questions they raise are much controverted.</w:t>
      </w:r>
      <w:r w:rsidR="00A40C96" w:rsidRPr="00B740B4">
        <w:rPr>
          <w:rStyle w:val="FootnoteReference"/>
        </w:rPr>
        <w:footnoteReference w:id="55"/>
      </w:r>
      <w:r w:rsidR="001B2642" w:rsidRPr="00B740B4">
        <w:t xml:space="preserve"> </w:t>
      </w:r>
      <w:r w:rsidR="008D747D" w:rsidRPr="00B740B4">
        <w:t>T</w:t>
      </w:r>
      <w:r w:rsidRPr="00B740B4">
        <w:t xml:space="preserve">he expression for </w:t>
      </w:r>
      <w:r w:rsidR="00934A11" w:rsidRPr="00B740B4">
        <w:t>“</w:t>
      </w:r>
      <w:r w:rsidR="00C74B41" w:rsidRPr="00B740B4">
        <w:t>H</w:t>
      </w:r>
      <w:r w:rsidRPr="00B740B4">
        <w:t>uman Figure</w:t>
      </w:r>
      <w:r w:rsidR="00934A11" w:rsidRPr="00B740B4">
        <w:t>”</w:t>
      </w:r>
      <w:r w:rsidR="001B2642" w:rsidRPr="00B740B4">
        <w:t xml:space="preserve"> may have other background</w:t>
      </w:r>
      <w:r w:rsidR="00A45F2F">
        <w:t>s</w:t>
      </w:r>
      <w:r w:rsidR="001B2642" w:rsidRPr="00B740B4">
        <w:t xml:space="preserve"> as well as Dan 7:13–14, </w:t>
      </w:r>
      <w:r w:rsidR="008D747D" w:rsidRPr="00B740B4">
        <w:t xml:space="preserve">but </w:t>
      </w:r>
      <w:r w:rsidR="001B2642" w:rsidRPr="00B740B4">
        <w:t xml:space="preserve">the NT asserts that Jesus </w:t>
      </w:r>
      <w:r w:rsidR="001B2642" w:rsidRPr="00B740B4">
        <w:rPr>
          <w:i/>
        </w:rPr>
        <w:t>is</w:t>
      </w:r>
      <w:r w:rsidRPr="00B740B4">
        <w:t xml:space="preserve"> that </w:t>
      </w:r>
      <w:r w:rsidR="00934A11" w:rsidRPr="00B740B4">
        <w:t>“</w:t>
      </w:r>
      <w:r w:rsidRPr="00B740B4">
        <w:t>Human Figure</w:t>
      </w:r>
      <w:r w:rsidR="00934A11" w:rsidRPr="00B740B4">
        <w:t>”</w:t>
      </w:r>
      <w:r w:rsidR="001B2642" w:rsidRPr="00B740B4">
        <w:t xml:space="preserve"> who </w:t>
      </w:r>
      <w:r w:rsidR="00934A11" w:rsidRPr="00B740B4">
        <w:t>“</w:t>
      </w:r>
      <w:r w:rsidR="001B2642" w:rsidRPr="00B740B4">
        <w:t>has authority on ea</w:t>
      </w:r>
      <w:r w:rsidR="001C5217" w:rsidRPr="00B740B4">
        <w:t>rth</w:t>
      </w:r>
      <w:r w:rsidR="00934A11" w:rsidRPr="00B740B4">
        <w:t>”</w:t>
      </w:r>
      <w:r w:rsidR="001C5217" w:rsidRPr="00B740B4">
        <w:t xml:space="preserve"> (Mark 2:10; cf. Matt 28:18</w:t>
      </w:r>
      <w:r w:rsidR="001B2642" w:rsidRPr="00B740B4">
        <w:t>).</w:t>
      </w:r>
      <w:r w:rsidR="001C5217" w:rsidRPr="00B740B4">
        <w:rPr>
          <w:rStyle w:val="FootnoteReference"/>
        </w:rPr>
        <w:footnoteReference w:id="56"/>
      </w:r>
      <w:r w:rsidR="001B2642" w:rsidRPr="00B740B4">
        <w:t xml:space="preserve"> It thus uses Dan 7 as </w:t>
      </w:r>
      <w:r w:rsidR="001B2642" w:rsidRPr="00B740B4">
        <w:rPr>
          <w:i/>
        </w:rPr>
        <w:t>1 Enoch</w:t>
      </w:r>
      <w:r w:rsidR="001B2642" w:rsidRPr="00B740B4">
        <w:t xml:space="preserve"> does, to express the conviction that </w:t>
      </w:r>
      <w:r w:rsidR="001B2642" w:rsidRPr="00B740B4">
        <w:rPr>
          <w:i/>
        </w:rPr>
        <w:t>its</w:t>
      </w:r>
      <w:r w:rsidR="001B2642" w:rsidRPr="00B740B4">
        <w:t xml:space="preserve"> </w:t>
      </w:r>
      <w:r w:rsidRPr="00B740B4">
        <w:t xml:space="preserve">hero has ascended as the </w:t>
      </w:r>
      <w:r w:rsidR="00934A11" w:rsidRPr="00B740B4">
        <w:t>“</w:t>
      </w:r>
      <w:r w:rsidRPr="00B740B4">
        <w:t>Human Figure</w:t>
      </w:r>
      <w:r w:rsidR="00934A11" w:rsidRPr="00B740B4">
        <w:t>”</w:t>
      </w:r>
      <w:r w:rsidR="001B2642" w:rsidRPr="00B740B4">
        <w:t xml:space="preserve"> and will</w:t>
      </w:r>
      <w:r w:rsidR="001675E8" w:rsidRPr="00B740B4">
        <w:t xml:space="preserve"> return with the clouds. Further, it</w:t>
      </w:r>
      <w:r w:rsidR="001B2642" w:rsidRPr="00B740B4">
        <w:t xml:space="preserve"> </w:t>
      </w:r>
      <w:r w:rsidR="001675E8" w:rsidRPr="00B740B4">
        <w:t xml:space="preserve">implicitly </w:t>
      </w:r>
      <w:r w:rsidR="001B2642" w:rsidRPr="00B740B4">
        <w:t>connects with Dan 7 it</w:t>
      </w:r>
      <w:r w:rsidRPr="00B740B4">
        <w:t xml:space="preserve">s awareness that </w:t>
      </w:r>
      <w:r w:rsidR="00934A11" w:rsidRPr="00B740B4">
        <w:t>“</w:t>
      </w:r>
      <w:r w:rsidRPr="00B740B4">
        <w:t>the Human Figure</w:t>
      </w:r>
      <w:r w:rsidR="001675E8" w:rsidRPr="00B740B4">
        <w:t xml:space="preserve"> must suffer</w:t>
      </w:r>
      <w:r w:rsidR="00934A11" w:rsidRPr="00B740B4">
        <w:t>”</w:t>
      </w:r>
      <w:r w:rsidR="001675E8" w:rsidRPr="00B740B4">
        <w:t xml:space="preserve"> before he </w:t>
      </w:r>
      <w:r w:rsidR="00934A11" w:rsidRPr="00B740B4">
        <w:t>“</w:t>
      </w:r>
      <w:r w:rsidR="001675E8" w:rsidRPr="00B740B4">
        <w:t>comes in glory</w:t>
      </w:r>
      <w:r w:rsidR="00934A11" w:rsidRPr="00B740B4">
        <w:t>”</w:t>
      </w:r>
      <w:r w:rsidR="001675E8" w:rsidRPr="00B740B4">
        <w:t xml:space="preserve"> (Mark 8:31, 38; cf. 14:62, </w:t>
      </w:r>
      <w:r w:rsidR="00934A11" w:rsidRPr="00B740B4">
        <w:t>“</w:t>
      </w:r>
      <w:r w:rsidR="001675E8" w:rsidRPr="00B740B4">
        <w:t xml:space="preserve">with the clouds of </w:t>
      </w:r>
      <w:r w:rsidR="00E025B5" w:rsidRPr="00B740B4">
        <w:t xml:space="preserve">the </w:t>
      </w:r>
      <w:r w:rsidR="001675E8" w:rsidRPr="00B740B4">
        <w:t>heaven</w:t>
      </w:r>
      <w:r w:rsidR="00E025B5" w:rsidRPr="00B740B4">
        <w:t>s</w:t>
      </w:r>
      <w:r w:rsidR="00934A11" w:rsidRPr="00B740B4">
        <w:t>”</w:t>
      </w:r>
      <w:r w:rsidR="00A45F2F">
        <w:t>);</w:t>
      </w:r>
      <w:r w:rsidRPr="00B740B4">
        <w:t xml:space="preserve"> Dan</w:t>
      </w:r>
      <w:r w:rsidR="001675E8" w:rsidRPr="00B740B4">
        <w:t xml:space="preserve"> 7</w:t>
      </w:r>
      <w:r w:rsidRPr="00B740B4">
        <w:t xml:space="preserve">:21, 25 </w:t>
      </w:r>
      <w:r w:rsidR="001675E8" w:rsidRPr="00B740B4">
        <w:t>also speak</w:t>
      </w:r>
      <w:r w:rsidR="00A45F2F">
        <w:t>s</w:t>
      </w:r>
      <w:r w:rsidRPr="00B740B4">
        <w:t xml:space="preserve"> </w:t>
      </w:r>
      <w:r w:rsidR="001675E8" w:rsidRPr="00B740B4">
        <w:t>of the suffering of the sacred</w:t>
      </w:r>
      <w:r w:rsidR="001B2642" w:rsidRPr="00B740B4">
        <w:t xml:space="preserve"> one</w:t>
      </w:r>
      <w:r w:rsidR="001675E8" w:rsidRPr="00B740B4">
        <w:t>s</w:t>
      </w:r>
      <w:r w:rsidR="00A45F2F">
        <w:t>,</w:t>
      </w:r>
      <w:r w:rsidR="00C74B41" w:rsidRPr="00B740B4">
        <w:t xml:space="preserve"> </w:t>
      </w:r>
      <w:r w:rsidR="00A45F2F">
        <w:t xml:space="preserve">and </w:t>
      </w:r>
      <w:r w:rsidRPr="00B740B4">
        <w:t>the Human Figure</w:t>
      </w:r>
      <w:r w:rsidR="001B2642" w:rsidRPr="00B740B4">
        <w:t xml:space="preserve"> motif may have corporate as </w:t>
      </w:r>
      <w:r w:rsidR="001675E8" w:rsidRPr="00B740B4">
        <w:t>well as individual connotations. Further, Jesus</w:t>
      </w:r>
      <w:r w:rsidR="001B2642" w:rsidRPr="00B740B4">
        <w:t xml:space="preserve"> qualifies t</w:t>
      </w:r>
      <w:r w:rsidR="00C74B41" w:rsidRPr="00B740B4">
        <w:t>he statement that the Human Figure</w:t>
      </w:r>
      <w:r w:rsidR="001B2642" w:rsidRPr="00B740B4">
        <w:t xml:space="preserve"> comes to be served, by declaring that he comes first to serve (Mark 10:45; cf. Dan 7:14). </w:t>
      </w:r>
    </w:p>
    <w:p w:rsidR="001B2642" w:rsidRPr="00B740B4" w:rsidRDefault="00C74B41" w:rsidP="001B2642">
      <w:r w:rsidRPr="00B740B4">
        <w:lastRenderedPageBreak/>
        <w:t>A</w:t>
      </w:r>
      <w:r w:rsidR="001B2642" w:rsidRPr="00B740B4">
        <w:t xml:space="preserve"> messianic</w:t>
      </w:r>
      <w:r w:rsidRPr="00B740B4">
        <w:t xml:space="preserve"> interpretation of Dan 7 might</w:t>
      </w:r>
      <w:r w:rsidR="001B2642" w:rsidRPr="00B740B4">
        <w:t xml:space="preserve"> not have been seen as a Chris</w:t>
      </w:r>
      <w:r w:rsidR="00B0714F" w:rsidRPr="00B740B4">
        <w:t>tian innovation even within rabbinic</w:t>
      </w:r>
      <w:r w:rsidR="001F6703" w:rsidRPr="00B740B4">
        <w:t xml:space="preserve"> Judaism. R. Akiba (c</w:t>
      </w:r>
      <w:r w:rsidR="00A45F2F">
        <w:t>.</w:t>
      </w:r>
      <w:r w:rsidR="001F6703" w:rsidRPr="00B740B4">
        <w:t xml:space="preserve"> AD</w:t>
      </w:r>
      <w:r w:rsidR="008D747D" w:rsidRPr="00B740B4">
        <w:t xml:space="preserve"> 120) refers Dan 7</w:t>
      </w:r>
      <w:r w:rsidR="001B2642" w:rsidRPr="00B740B4">
        <w:t xml:space="preserve"> to David, though others fault this understanding because it plays into the hands of Christians (</w:t>
      </w:r>
      <w:r w:rsidR="001B2642" w:rsidRPr="00B740B4">
        <w:rPr>
          <w:i/>
        </w:rPr>
        <w:t>b. Sanh</w:t>
      </w:r>
      <w:r w:rsidR="001B2642" w:rsidRPr="00B740B4">
        <w:t>. 38; see also</w:t>
      </w:r>
      <w:r w:rsidR="00D36B15" w:rsidRPr="00B740B4">
        <w:t xml:space="preserve"> 96; 98 [Joshua ben Levy, c</w:t>
      </w:r>
      <w:r w:rsidR="00A45F2F">
        <w:t>.</w:t>
      </w:r>
      <w:r w:rsidR="004E3DB6" w:rsidRPr="00B740B4">
        <w:t xml:space="preserve"> AD</w:t>
      </w:r>
      <w:r w:rsidR="001B2642" w:rsidRPr="00B740B4">
        <w:t xml:space="preserve"> 250]).</w:t>
      </w:r>
      <w:r w:rsidR="00E0059E" w:rsidRPr="00B740B4">
        <w:rPr>
          <w:rStyle w:val="FootnoteReference"/>
        </w:rPr>
        <w:footnoteReference w:id="57"/>
      </w:r>
      <w:r w:rsidR="001B2642" w:rsidRPr="00B740B4">
        <w:t xml:space="preserve"> </w:t>
      </w:r>
      <w:r w:rsidR="000F74AD" w:rsidRPr="00B740B4">
        <w:t>If OG</w:t>
      </w:r>
      <w:r w:rsidR="00B0714F" w:rsidRPr="00B740B4">
        <w:t xml:space="preserve"> identifies the humanlike fi</w:t>
      </w:r>
      <w:r w:rsidR="00A45F2F">
        <w:t>gure with the one “old</w:t>
      </w:r>
      <w:r w:rsidR="00B0714F" w:rsidRPr="00B740B4">
        <w:t xml:space="preserve"> in days</w:t>
      </w:r>
      <w:r w:rsidR="00E0059E" w:rsidRPr="00B740B4">
        <w:t>,</w:t>
      </w:r>
      <w:r w:rsidR="00A45F2F">
        <w:t>”</w:t>
      </w:r>
      <w:r w:rsidR="00E0059E" w:rsidRPr="00B740B4">
        <w:t xml:space="preserve"> then Matthew’s quot</w:t>
      </w:r>
      <w:r w:rsidR="008D747D" w:rsidRPr="00B740B4">
        <w:t xml:space="preserve">ing of </w:t>
      </w:r>
      <w:r w:rsidR="000F74AD" w:rsidRPr="00B740B4">
        <w:t>OG</w:t>
      </w:r>
      <w:r w:rsidR="001C3D48">
        <w:t xml:space="preserve"> is </w:t>
      </w:r>
      <w:r w:rsidR="00E0059E" w:rsidRPr="00B740B4">
        <w:t>significant.</w:t>
      </w:r>
      <w:r w:rsidR="00E0059E" w:rsidRPr="00B740B4">
        <w:rPr>
          <w:rStyle w:val="FootnoteReference"/>
        </w:rPr>
        <w:footnoteReference w:id="58"/>
      </w:r>
      <w:r w:rsidR="00B0714F" w:rsidRPr="00B740B4">
        <w:t xml:space="preserve"> Conversely, this identification links with developing Jewish</w:t>
      </w:r>
      <w:r w:rsidR="004401AD" w:rsidRPr="00B740B4">
        <w:t xml:space="preserve"> thinking in terms of </w:t>
      </w:r>
      <w:r w:rsidR="00934A11" w:rsidRPr="00B740B4">
        <w:t>“</w:t>
      </w:r>
      <w:r w:rsidR="004E4252">
        <w:t>two powers in heaven</w:t>
      </w:r>
      <w:r w:rsidR="007864E5" w:rsidRPr="00B740B4">
        <w:t>”</w:t>
      </w:r>
      <w:r w:rsidR="004401AD" w:rsidRPr="00B740B4">
        <w:rPr>
          <w:rStyle w:val="FootnoteReference"/>
        </w:rPr>
        <w:footnoteReference w:id="59"/>
      </w:r>
      <w:r w:rsidR="00A45F2F">
        <w:t xml:space="preserve">—or </w:t>
      </w:r>
      <w:r w:rsidR="004E4252">
        <w:t xml:space="preserve">it </w:t>
      </w:r>
      <w:r w:rsidR="00A45F2F">
        <w:t>may be a continuation of an</w:t>
      </w:r>
      <w:r w:rsidR="004E4252">
        <w:t xml:space="preserve"> old</w:t>
      </w:r>
      <w:r w:rsidR="00A45F2F">
        <w:t>er</w:t>
      </w:r>
      <w:r w:rsidR="004E4252">
        <w:t xml:space="preserve"> idea of the conflation of two suc</w:t>
      </w:r>
      <w:r w:rsidR="00A45F2F">
        <w:t>h powers.</w:t>
      </w:r>
      <w:r w:rsidR="004E4252">
        <w:rPr>
          <w:rStyle w:val="FootnoteReference"/>
        </w:rPr>
        <w:footnoteReference w:id="60"/>
      </w:r>
    </w:p>
    <w:p w:rsidR="0085498A" w:rsidRPr="00B740B4" w:rsidRDefault="00817979" w:rsidP="00E025B5">
      <w:pPr>
        <w:autoSpaceDE w:val="0"/>
        <w:autoSpaceDN w:val="0"/>
        <w:adjustRightInd w:val="0"/>
        <w:rPr>
          <w:rFonts w:eastAsiaTheme="minorHAnsi" w:cs="Times New Roman"/>
          <w:i/>
          <w:iCs/>
        </w:rPr>
      </w:pPr>
      <w:r w:rsidRPr="00B740B4">
        <w:t xml:space="preserve">Even if </w:t>
      </w:r>
      <w:r w:rsidR="00934A11" w:rsidRPr="00B740B4">
        <w:t>“</w:t>
      </w:r>
      <w:r w:rsidRPr="00B740B4">
        <w:t>the most conspicuous and important influence of Daniel on the New Testament lies in the role of Dan 7:13 in the development and transmission of the ‘Son of Man’ tradition,</w:t>
      </w:r>
      <w:r w:rsidR="00934A11" w:rsidRPr="00B740B4">
        <w:t>”</w:t>
      </w:r>
      <w:r w:rsidRPr="00B740B4">
        <w:rPr>
          <w:rStyle w:val="FootnoteReference"/>
        </w:rPr>
        <w:footnoteReference w:id="61"/>
      </w:r>
      <w:r w:rsidRPr="00B740B4">
        <w:t xml:space="preserve"> tha</w:t>
      </w:r>
      <w:r w:rsidR="00A45F2F">
        <w:t xml:space="preserve">t influence is </w:t>
      </w:r>
      <w:r w:rsidR="006F3B61" w:rsidRPr="00B740B4">
        <w:t>much broader.</w:t>
      </w:r>
      <w:r w:rsidR="00083C9B">
        <w:t xml:space="preserve"> It is the final fulfillment of that promise in Jeremiah taken up in Daniel that Jesus brings.</w:t>
      </w:r>
      <w:r w:rsidR="00083C9B">
        <w:rPr>
          <w:rStyle w:val="FootnoteReference"/>
        </w:rPr>
        <w:footnoteReference w:id="62"/>
      </w:r>
      <w:r w:rsidR="006F3B61" w:rsidRPr="00B740B4">
        <w:t xml:space="preserve"> </w:t>
      </w:r>
      <w:r w:rsidR="001B2642" w:rsidRPr="00B740B4">
        <w:t>If apocalyptic is at all th</w:t>
      </w:r>
      <w:r w:rsidR="001F6703" w:rsidRPr="00B740B4">
        <w:t>e mother of Christian theology</w:t>
      </w:r>
      <w:r w:rsidR="001B2642" w:rsidRPr="00B740B4">
        <w:t>,</w:t>
      </w:r>
      <w:r w:rsidR="001F6703" w:rsidRPr="00B740B4">
        <w:rPr>
          <w:rStyle w:val="FootnoteReference"/>
        </w:rPr>
        <w:footnoteReference w:id="63"/>
      </w:r>
      <w:r w:rsidR="008D747D" w:rsidRPr="00B740B4">
        <w:t xml:space="preserve"> Daniel</w:t>
      </w:r>
      <w:r w:rsidR="001B2642" w:rsidRPr="00B740B4">
        <w:t xml:space="preserve"> contributed to this mothering. </w:t>
      </w:r>
      <w:r w:rsidR="00066669" w:rsidRPr="00B740B4">
        <w:t xml:space="preserve">Mark’s Jesus begins his ministry </w:t>
      </w:r>
      <w:r w:rsidR="00A45F2F">
        <w:t xml:space="preserve">by </w:t>
      </w:r>
      <w:r w:rsidR="00066669" w:rsidRPr="00B740B4">
        <w:t xml:space="preserve">proclaiming that the reign of God that Daniel promised is at hand: the time he spoke of is fulfilled (cf. Dan 2:44; 7:22). </w:t>
      </w:r>
      <w:r w:rsidR="008D747D" w:rsidRPr="00B740B4">
        <w:t>T</w:t>
      </w:r>
      <w:r w:rsidR="000F74AD" w:rsidRPr="00B740B4">
        <w:t xml:space="preserve">he </w:t>
      </w:r>
      <w:r w:rsidR="00066669" w:rsidRPr="00B740B4">
        <w:t>motif of the reign of God has s</w:t>
      </w:r>
      <w:r w:rsidR="00B0714F" w:rsidRPr="00B740B4">
        <w:t>ignificant background in Daniel; indeed,</w:t>
      </w:r>
      <w:r w:rsidR="00066669" w:rsidRPr="00B740B4">
        <w:t xml:space="preserve"> </w:t>
      </w:r>
      <w:r w:rsidR="00934A11" w:rsidRPr="00B740B4">
        <w:t>“</w:t>
      </w:r>
      <w:r w:rsidR="00B0714F" w:rsidRPr="00B740B4">
        <w:rPr>
          <w:rFonts w:eastAsiaTheme="minorHAnsi" w:cs="Times New Roman"/>
        </w:rPr>
        <w:t>t</w:t>
      </w:r>
      <w:r w:rsidR="0085498A" w:rsidRPr="00B740B4">
        <w:rPr>
          <w:rFonts w:eastAsiaTheme="minorHAnsi" w:cs="Times New Roman"/>
        </w:rPr>
        <w:t>he Christian reception of the book of Daniel was perhaps most predominant in the thematic function of ‘kingdom’</w:t>
      </w:r>
      <w:r w:rsidR="00934A11" w:rsidRPr="00B740B4">
        <w:rPr>
          <w:rFonts w:eastAsiaTheme="minorHAnsi" w:cs="Times New Roman"/>
        </w:rPr>
        <w:t>”</w:t>
      </w:r>
      <w:r w:rsidR="0085498A" w:rsidRPr="00B740B4">
        <w:rPr>
          <w:rFonts w:eastAsiaTheme="minorHAnsi" w:cs="Times New Roman"/>
        </w:rPr>
        <w:t xml:space="preserve"> throughout the book.</w:t>
      </w:r>
      <w:r w:rsidR="00262907" w:rsidRPr="00B740B4">
        <w:rPr>
          <w:rStyle w:val="FootnoteReference"/>
          <w:rFonts w:eastAsiaTheme="minorHAnsi" w:cs="Times New Roman"/>
        </w:rPr>
        <w:footnoteReference w:id="64"/>
      </w:r>
    </w:p>
    <w:p w:rsidR="001C5217" w:rsidRPr="00B740B4" w:rsidRDefault="001B2642" w:rsidP="001B2642">
      <w:r w:rsidRPr="00B740B4">
        <w:t xml:space="preserve">Luke </w:t>
      </w:r>
      <w:r w:rsidRPr="00A45F2F">
        <w:t>begins</w:t>
      </w:r>
      <w:r w:rsidR="008D747D" w:rsidRPr="00B740B4">
        <w:t xml:space="preserve"> his gospel with </w:t>
      </w:r>
      <w:r w:rsidR="008D747D" w:rsidRPr="00A45F2F">
        <w:t>Gabriel</w:t>
      </w:r>
      <w:r w:rsidR="008D747D" w:rsidRPr="00B740B4">
        <w:t xml:space="preserve"> </w:t>
      </w:r>
      <w:r w:rsidRPr="00B740B4">
        <w:t xml:space="preserve">appearing </w:t>
      </w:r>
      <w:r w:rsidR="008D747D" w:rsidRPr="00B740B4">
        <w:t xml:space="preserve">once more </w:t>
      </w:r>
      <w:r w:rsidRPr="00B740B4">
        <w:t>at the time of the evening offering, to announce the beginning of a chain</w:t>
      </w:r>
      <w:r w:rsidR="00B0714F" w:rsidRPr="00B740B4">
        <w:t xml:space="preserve"> of events that will lead to </w:t>
      </w:r>
      <w:r w:rsidR="00E45228">
        <w:t>Jesus’</w:t>
      </w:r>
      <w:r w:rsidRPr="00B740B4">
        <w:t xml:space="preserve"> presentation in the temple</w:t>
      </w:r>
      <w:r w:rsidR="008D747D" w:rsidRPr="00B740B4">
        <w:t>,</w:t>
      </w:r>
      <w:r w:rsidRPr="00B740B4">
        <w:t xml:space="preserve"> as periods amounting to 490 days </w:t>
      </w:r>
      <w:r w:rsidR="001F6703" w:rsidRPr="00B740B4">
        <w:t>are fulfilled (cf. Dan 9</w:t>
      </w:r>
      <w:r w:rsidRPr="00B740B4">
        <w:t>).</w:t>
      </w:r>
      <w:r w:rsidR="001F6703" w:rsidRPr="00B740B4">
        <w:rPr>
          <w:rStyle w:val="FootnoteReference"/>
        </w:rPr>
        <w:footnoteReference w:id="65"/>
      </w:r>
      <w:r w:rsidRPr="00B740B4">
        <w:t xml:space="preserve"> Luke’s Jesus sees himself as the stone that crushes, the very embodiment of the rule of God (20:18; cf. Dan </w:t>
      </w:r>
      <w:r w:rsidR="00A45F2F">
        <w:t>2:44–45). John’s Jesus talks about</w:t>
      </w:r>
      <w:r w:rsidRPr="00B740B4">
        <w:t xml:space="preserve"> resurrection in terms that follow Dan 12 (5:28–29; cf. Matt 13:43; 25:46).</w:t>
      </w:r>
      <w:r w:rsidR="000F74AD" w:rsidRPr="00B740B4">
        <w:t xml:space="preserve"> </w:t>
      </w:r>
      <w:r w:rsidR="001C5217" w:rsidRPr="00B740B4">
        <w:t xml:space="preserve">Perhaps Peter (Matt 16:37-39) is the </w:t>
      </w:r>
      <w:r w:rsidR="008D747D" w:rsidRPr="00B740B4">
        <w:t>embodiment of the rock in Dan</w:t>
      </w:r>
      <w:r w:rsidR="001C5217" w:rsidRPr="00B740B4">
        <w:t xml:space="preserve"> 2.</w:t>
      </w:r>
      <w:r w:rsidR="00BA0438" w:rsidRPr="00B740B4">
        <w:rPr>
          <w:rStyle w:val="FootnoteReference"/>
        </w:rPr>
        <w:footnoteReference w:id="66"/>
      </w:r>
    </w:p>
    <w:p w:rsidR="001B2642" w:rsidRPr="00B740B4" w:rsidRDefault="00E45228" w:rsidP="001B2642">
      <w:r>
        <w:t>Jesus’</w:t>
      </w:r>
      <w:r w:rsidR="001B2642" w:rsidRPr="00B740B4">
        <w:t xml:space="preserve"> discourse concerning the End speaks in Danielic fashion of troubling rumors, the final affliction, many stumbling, the need to endure to the end, the deliverance of the elect, the desolating sacrilege, the need to understand, </w:t>
      </w:r>
      <w:r w:rsidR="000F74AD" w:rsidRPr="00B740B4">
        <w:t>and the coming of the Human Figure</w:t>
      </w:r>
      <w:r w:rsidR="001B2642" w:rsidRPr="00B740B4">
        <w:t xml:space="preserve"> in clouds with great power and glory: </w:t>
      </w:r>
      <w:r w:rsidR="00934A11" w:rsidRPr="00B740B4">
        <w:t>“</w:t>
      </w:r>
      <w:r w:rsidR="001B2642" w:rsidRPr="00B740B4">
        <w:t>the main part of the eschatological discourse is based on a coherent exposition of or meditation on these texts in Daniel [in chaps. 2 and 7–12]</w:t>
      </w:r>
      <w:r w:rsidR="001F6703" w:rsidRPr="00B740B4">
        <w:t>.</w:t>
      </w:r>
      <w:r w:rsidR="00934A11" w:rsidRPr="00B740B4">
        <w:t>”</w:t>
      </w:r>
      <w:r w:rsidR="001F6703" w:rsidRPr="00B740B4">
        <w:rPr>
          <w:rStyle w:val="FootnoteReference"/>
        </w:rPr>
        <w:footnoteReference w:id="67"/>
      </w:r>
      <w:r w:rsidR="001B2642" w:rsidRPr="00B740B4">
        <w:t xml:space="preserve"> Elsewhere, however, Jesus </w:t>
      </w:r>
      <w:r w:rsidR="00CE42FB">
        <w:t>may</w:t>
      </w:r>
      <w:r w:rsidR="00FC10D0" w:rsidRPr="00B740B4">
        <w:t xml:space="preserve"> distance</w:t>
      </w:r>
      <w:r w:rsidR="001B2642" w:rsidRPr="00B740B4">
        <w:t xml:space="preserve"> himself from apocalyptic esotericism built on passages suc</w:t>
      </w:r>
      <w:r w:rsidR="00CE42FB">
        <w:t xml:space="preserve">h as </w:t>
      </w:r>
      <w:r w:rsidR="001B2642" w:rsidRPr="00B740B4">
        <w:t>2:19–23 (Matt 11:25–27; Luke 17:20–21).</w:t>
      </w:r>
      <w:r w:rsidR="001F6703" w:rsidRPr="00B740B4">
        <w:rPr>
          <w:rStyle w:val="FootnoteReference"/>
        </w:rPr>
        <w:footnoteReference w:id="68"/>
      </w:r>
    </w:p>
    <w:p w:rsidR="00B2577D" w:rsidRPr="00B740B4" w:rsidRDefault="00B2577D" w:rsidP="001B2642">
      <w:r w:rsidRPr="00B740B4">
        <w:lastRenderedPageBreak/>
        <w:t>Daniel’s influence on Paul may operate</w:t>
      </w:r>
      <w:r w:rsidR="001B2642" w:rsidRPr="00B740B4">
        <w:t xml:space="preserve"> partly </w:t>
      </w:r>
      <w:r w:rsidRPr="00B740B4">
        <w:t xml:space="preserve">via the </w:t>
      </w:r>
      <w:r w:rsidR="00934A11" w:rsidRPr="00B740B4">
        <w:t>“</w:t>
      </w:r>
      <w:r w:rsidRPr="00B740B4">
        <w:t>midrash</w:t>
      </w:r>
      <w:r w:rsidR="00934A11" w:rsidRPr="00B740B4">
        <w:t>”</w:t>
      </w:r>
      <w:r w:rsidRPr="00B740B4">
        <w:t xml:space="preserve"> underlying</w:t>
      </w:r>
      <w:r w:rsidR="00973592" w:rsidRPr="00B740B4">
        <w:t xml:space="preserve"> Mark 13. First</w:t>
      </w:r>
      <w:r w:rsidR="001B2642" w:rsidRPr="00B740B4">
        <w:t xml:space="preserve"> Thess</w:t>
      </w:r>
      <w:r w:rsidR="00CE42FB">
        <w:t>alonians</w:t>
      </w:r>
      <w:r w:rsidR="001B2642" w:rsidRPr="00B740B4">
        <w:t xml:space="preserve"> 4–</w:t>
      </w:r>
      <w:r w:rsidR="00973592" w:rsidRPr="00B740B4">
        <w:t>-</w:t>
      </w:r>
      <w:r w:rsidR="001B2642" w:rsidRPr="00B740B4">
        <w:t xml:space="preserve">5 reflects Dan 7 and 12; the portrait of </w:t>
      </w:r>
      <w:r w:rsidR="00934A11" w:rsidRPr="00B740B4">
        <w:t>“</w:t>
      </w:r>
      <w:r w:rsidR="001B2642" w:rsidRPr="00B740B4">
        <w:t>the lawless one</w:t>
      </w:r>
      <w:r w:rsidR="00934A11" w:rsidRPr="00B740B4">
        <w:t>”</w:t>
      </w:r>
      <w:r w:rsidR="001B2642" w:rsidRPr="00B740B4">
        <w:t xml:space="preserve"> in 2 Thess 2 reflects that of Antiochus in Dan 7–11; 1 Cor 15:23–28 is shaped by Dan 7.</w:t>
      </w:r>
      <w:r w:rsidR="001F6703" w:rsidRPr="00B740B4">
        <w:rPr>
          <w:rStyle w:val="FootnoteReference"/>
        </w:rPr>
        <w:footnoteReference w:id="69"/>
      </w:r>
      <w:r w:rsidR="001B2642" w:rsidRPr="00B740B4">
        <w:t xml:space="preserve"> Daniel thus facilitates Paul’s formulat</w:t>
      </w:r>
      <w:r w:rsidR="00CE42FB">
        <w:t xml:space="preserve">ing his teaching about the End; and </w:t>
      </w:r>
      <w:r w:rsidR="001B2642" w:rsidRPr="00B740B4">
        <w:t xml:space="preserve">no biblical work has greater influence on the Apocalypse of John, a work written for a community under a pressure analogous to that which affected </w:t>
      </w:r>
      <w:r w:rsidR="00CE42FB">
        <w:t xml:space="preserve">conservative </w:t>
      </w:r>
      <w:r w:rsidR="001B2642" w:rsidRPr="00B740B4">
        <w:t xml:space="preserve">Jews in the second century </w:t>
      </w:r>
      <w:r w:rsidR="008461D5" w:rsidRPr="00B740B4">
        <w:t>BC</w:t>
      </w:r>
      <w:r w:rsidR="001B2642" w:rsidRPr="00B740B4">
        <w:t>.</w:t>
      </w:r>
      <w:r w:rsidR="001F6703" w:rsidRPr="00B740B4">
        <w:rPr>
          <w:rStyle w:val="FootnoteReference"/>
        </w:rPr>
        <w:footnoteReference w:id="70"/>
      </w:r>
      <w:r w:rsidRPr="00B740B4">
        <w:t xml:space="preserve"> </w:t>
      </w:r>
      <w:r w:rsidR="0097148C" w:rsidRPr="00B740B4">
        <w:t xml:space="preserve">John’s </w:t>
      </w:r>
      <w:r w:rsidR="001B2642" w:rsidRPr="00B740B4">
        <w:t>vision</w:t>
      </w:r>
      <w:r w:rsidR="0097148C" w:rsidRPr="00B740B4">
        <w:t>s</w:t>
      </w:r>
      <w:r w:rsidR="001B2642" w:rsidRPr="00B740B4">
        <w:t xml:space="preserve"> of</w:t>
      </w:r>
      <w:r w:rsidR="00FC10D0" w:rsidRPr="00B740B4">
        <w:t xml:space="preserve"> Jesus</w:t>
      </w:r>
      <w:r w:rsidR="0097148C" w:rsidRPr="00B740B4">
        <w:t xml:space="preserve"> and of </w:t>
      </w:r>
      <w:r w:rsidR="00E025B5" w:rsidRPr="00B740B4">
        <w:t xml:space="preserve">the </w:t>
      </w:r>
      <w:r w:rsidR="0097148C" w:rsidRPr="00B740B4">
        <w:t>heaven</w:t>
      </w:r>
      <w:r w:rsidR="00E025B5" w:rsidRPr="00B740B4">
        <w:t>s</w:t>
      </w:r>
      <w:r w:rsidR="0097148C" w:rsidRPr="00B740B4">
        <w:t xml:space="preserve"> (Rev 1; </w:t>
      </w:r>
      <w:r w:rsidR="001B2642" w:rsidRPr="00B740B4">
        <w:t>5</w:t>
      </w:r>
      <w:r w:rsidR="0097148C" w:rsidRPr="00B740B4">
        <w:t>; 20) are shaped significant</w:t>
      </w:r>
      <w:r w:rsidR="001B2642" w:rsidRPr="00B740B4">
        <w:t>ly by Dan 7 and by the description of the</w:t>
      </w:r>
      <w:r w:rsidR="0097148C" w:rsidRPr="00B740B4">
        <w:t xml:space="preserve"> angelic appearance in Dan 10, and t</w:t>
      </w:r>
      <w:r w:rsidR="001B2642" w:rsidRPr="00B740B4">
        <w:t>he animals of Dan 7 are an important source for the vision of the animal in Rev 13; 17; the beast terrorizing the people of God is now Rome.</w:t>
      </w:r>
      <w:r w:rsidR="0097148C" w:rsidRPr="00B740B4">
        <w:rPr>
          <w:rStyle w:val="FootnoteReference"/>
        </w:rPr>
        <w:footnoteReference w:id="71"/>
      </w:r>
    </w:p>
    <w:p w:rsidR="001B2642" w:rsidRPr="00B740B4" w:rsidRDefault="00B2577D" w:rsidP="001B2642">
      <w:r w:rsidRPr="00B740B4">
        <w:t>Elsewhere in the NT, t</w:t>
      </w:r>
      <w:r w:rsidR="00BF70AA" w:rsidRPr="00B740B4">
        <w:t>he list of people commended for their trust in Heb 11:33-38 reflects Dan 3 and 6</w:t>
      </w:r>
      <w:r w:rsidRPr="00B740B4">
        <w:t>,</w:t>
      </w:r>
      <w:r w:rsidR="00BF70AA" w:rsidRPr="00B740B4">
        <w:rPr>
          <w:rStyle w:val="FootnoteReference"/>
        </w:rPr>
        <w:footnoteReference w:id="72"/>
      </w:r>
      <w:r w:rsidRPr="00B740B4">
        <w:t xml:space="preserve"> while t</w:t>
      </w:r>
      <w:r w:rsidR="00971558" w:rsidRPr="00B740B4">
        <w:t xml:space="preserve">he </w:t>
      </w:r>
      <w:r w:rsidR="00934A11" w:rsidRPr="00B740B4">
        <w:t>“</w:t>
      </w:r>
      <w:r w:rsidR="00971558" w:rsidRPr="00B740B4">
        <w:t>las</w:t>
      </w:r>
      <w:r w:rsidRPr="00B740B4">
        <w:t>t hour</w:t>
      </w:r>
      <w:r w:rsidR="00934A11" w:rsidRPr="00B740B4">
        <w:t>”</w:t>
      </w:r>
      <w:r w:rsidRPr="00B740B4">
        <w:t xml:space="preserve"> in 1 John recalls Dan</w:t>
      </w:r>
      <w:r w:rsidR="00971558" w:rsidRPr="00B740B4">
        <w:t xml:space="preserve"> 8.</w:t>
      </w:r>
      <w:r w:rsidR="00971558" w:rsidRPr="00B740B4">
        <w:rPr>
          <w:rStyle w:val="FootnoteReference"/>
        </w:rPr>
        <w:footnoteReference w:id="73"/>
      </w:r>
    </w:p>
    <w:p w:rsidR="00514A19" w:rsidRPr="00B740B4" w:rsidRDefault="00514A19" w:rsidP="009479B1">
      <w:pPr>
        <w:pStyle w:val="Heading2"/>
      </w:pPr>
      <w:r w:rsidRPr="00B740B4">
        <w:t>Daniel in Judaism</w:t>
      </w:r>
      <w:r w:rsidR="009D2ED0" w:rsidRPr="00B740B4">
        <w:t xml:space="preserve"> after AD 70</w:t>
      </w:r>
    </w:p>
    <w:p w:rsidR="009D2ED0" w:rsidRPr="00B740B4" w:rsidRDefault="008D747D" w:rsidP="009D2ED0">
      <w:r w:rsidRPr="00B740B4">
        <w:t xml:space="preserve">Within Judaism, </w:t>
      </w:r>
      <w:r w:rsidR="004D5000">
        <w:t xml:space="preserve">Dan 7 also contributed to </w:t>
      </w:r>
      <w:r w:rsidR="004D5000">
        <w:rPr>
          <w:i/>
        </w:rPr>
        <w:t>Apoc.</w:t>
      </w:r>
      <w:r w:rsidR="001B2642" w:rsidRPr="004F3E09">
        <w:rPr>
          <w:i/>
        </w:rPr>
        <w:t xml:space="preserve"> Baruch</w:t>
      </w:r>
      <w:r w:rsidR="001B2642" w:rsidRPr="00B740B4">
        <w:t xml:space="preserve"> (see </w:t>
      </w:r>
      <w:r w:rsidR="00544532" w:rsidRPr="00B740B4">
        <w:t xml:space="preserve">chap. </w:t>
      </w:r>
      <w:r w:rsidR="001B2642" w:rsidRPr="00B740B4">
        <w:t>39 for the fou</w:t>
      </w:r>
      <w:r w:rsidR="001F6703" w:rsidRPr="00B740B4">
        <w:t>r empires)</w:t>
      </w:r>
      <w:r w:rsidR="004F3E09">
        <w:t xml:space="preserve">, </w:t>
      </w:r>
      <w:r w:rsidR="004F3E09" w:rsidRPr="004F3E09">
        <w:rPr>
          <w:i/>
        </w:rPr>
        <w:t>T.</w:t>
      </w:r>
      <w:r w:rsidR="00B74B12" w:rsidRPr="004F3E09">
        <w:rPr>
          <w:i/>
        </w:rPr>
        <w:t xml:space="preserve"> Abraham</w:t>
      </w:r>
      <w:r w:rsidR="00B74B12" w:rsidRPr="00B740B4">
        <w:t xml:space="preserve"> (see </w:t>
      </w:r>
      <w:r w:rsidR="00544532" w:rsidRPr="00B740B4">
        <w:t xml:space="preserve">chaps. </w:t>
      </w:r>
      <w:r w:rsidR="00B74B12" w:rsidRPr="00B740B4">
        <w:t>11</w:t>
      </w:r>
      <w:r w:rsidR="00B2577D" w:rsidRPr="00B740B4">
        <w:t>—</w:t>
      </w:r>
      <w:r w:rsidR="00B74B12" w:rsidRPr="00B740B4">
        <w:t>13</w:t>
      </w:r>
      <w:r w:rsidR="002706C3" w:rsidRPr="00B740B4">
        <w:t xml:space="preserve"> for the influence of Dan 7)</w:t>
      </w:r>
      <w:r w:rsidR="002706C3" w:rsidRPr="00B740B4">
        <w:rPr>
          <w:rStyle w:val="FootnoteReference"/>
        </w:rPr>
        <w:footnoteReference w:id="74"/>
      </w:r>
      <w:r w:rsidR="00B74B12" w:rsidRPr="00B740B4">
        <w:rPr>
          <w:i/>
        </w:rPr>
        <w:t xml:space="preserve"> </w:t>
      </w:r>
      <w:r w:rsidR="001F6703" w:rsidRPr="00B740B4">
        <w:t xml:space="preserve">and </w:t>
      </w:r>
      <w:r w:rsidR="004D5000">
        <w:rPr>
          <w:i/>
        </w:rPr>
        <w:t>Apoc.</w:t>
      </w:r>
      <w:r w:rsidR="002706C3" w:rsidRPr="004F3E09">
        <w:rPr>
          <w:i/>
        </w:rPr>
        <w:t xml:space="preserve"> </w:t>
      </w:r>
      <w:r w:rsidR="005C3B8F" w:rsidRPr="004F3E09">
        <w:rPr>
          <w:i/>
        </w:rPr>
        <w:t>Ezra</w:t>
      </w:r>
      <w:r w:rsidR="00544532" w:rsidRPr="00B740B4">
        <w:t>. Ezra’s vision of an eagle</w:t>
      </w:r>
      <w:r w:rsidR="001B2642" w:rsidRPr="00B740B4">
        <w:t xml:space="preserve"> symbolizing Rome (2 Esdr 11–12) is </w:t>
      </w:r>
      <w:r w:rsidR="00934A11" w:rsidRPr="00B740B4">
        <w:t>“</w:t>
      </w:r>
      <w:r w:rsidR="001B2642" w:rsidRPr="00B740B4">
        <w:t>a midrash on Daniel</w:t>
      </w:r>
      <w:r w:rsidR="001F6703" w:rsidRPr="00B740B4">
        <w:t xml:space="preserve"> 7</w:t>
      </w:r>
      <w:r w:rsidR="00934A11" w:rsidRPr="00B740B4">
        <w:t>”</w:t>
      </w:r>
      <w:r w:rsidR="001F6703" w:rsidRPr="00B740B4">
        <w:t xml:space="preserve"> or </w:t>
      </w:r>
      <w:r w:rsidR="00934A11" w:rsidRPr="00B740B4">
        <w:t>“</w:t>
      </w:r>
      <w:r w:rsidR="001F6703" w:rsidRPr="00B740B4">
        <w:t>a rereading of Daniel 7</w:t>
      </w:r>
      <w:r w:rsidR="001B2642" w:rsidRPr="00B740B4">
        <w:t>.</w:t>
      </w:r>
      <w:r w:rsidR="00934A11" w:rsidRPr="00B740B4">
        <w:t>”</w:t>
      </w:r>
      <w:r w:rsidR="001F6703" w:rsidRPr="00B740B4">
        <w:rPr>
          <w:rStyle w:val="FootnoteReference"/>
        </w:rPr>
        <w:footnoteReference w:id="75"/>
      </w:r>
      <w:r w:rsidR="001B2642" w:rsidRPr="00B740B4">
        <w:t xml:space="preserve"> Th</w:t>
      </w:r>
      <w:r w:rsidR="00544532" w:rsidRPr="00B740B4">
        <w:t xml:space="preserve">e interpreting angel </w:t>
      </w:r>
      <w:r w:rsidR="001B2642" w:rsidRPr="00B740B4">
        <w:t xml:space="preserve">notes that in seeing the fourth empire as Rome he is giving Daniel’s vision an interpretation different from that given to Daniel himself (12:11–12). </w:t>
      </w:r>
      <w:r w:rsidR="00262767">
        <w:t>T</w:t>
      </w:r>
      <w:r w:rsidR="009D2ED0" w:rsidRPr="00B740B4">
        <w:t>he reinterpret</w:t>
      </w:r>
      <w:r w:rsidR="00B35D69" w:rsidRPr="00B740B4">
        <w:t>ation of the fourth empire</w:t>
      </w:r>
      <w:r w:rsidR="00262767">
        <w:t xml:space="preserve"> as Rome would enhance Daniel’s importance and influence</w:t>
      </w:r>
      <w:r w:rsidRPr="00B740B4">
        <w:t>; the visions do</w:t>
      </w:r>
      <w:r w:rsidR="009D2ED0" w:rsidRPr="00B740B4">
        <w:t xml:space="preserve"> not refer merely to some past event.</w:t>
      </w:r>
      <w:r w:rsidR="009D2ED0" w:rsidRPr="00B740B4">
        <w:rPr>
          <w:vertAlign w:val="superscript"/>
        </w:rPr>
        <w:footnoteReference w:id="76"/>
      </w:r>
      <w:r w:rsidR="00544532" w:rsidRPr="00B740B4">
        <w:t xml:space="preserve"> While there is no Daniel targum, the assumption that the fourth kingdom is Rome appears elsewhere in targumic literature.</w:t>
      </w:r>
      <w:r w:rsidR="00544532" w:rsidRPr="00B740B4">
        <w:rPr>
          <w:vertAlign w:val="superscript"/>
        </w:rPr>
        <w:footnoteReference w:id="77"/>
      </w:r>
    </w:p>
    <w:p w:rsidR="001B2642" w:rsidRPr="00B740B4" w:rsidRDefault="001B2642" w:rsidP="001B2642">
      <w:r w:rsidRPr="00B740B4">
        <w:t xml:space="preserve">Then in a dream Ezra sees </w:t>
      </w:r>
      <w:r w:rsidR="00934A11" w:rsidRPr="00B740B4">
        <w:t>“</w:t>
      </w:r>
      <w:r w:rsidRPr="00B740B4">
        <w:t>something resembling a man</w:t>
      </w:r>
      <w:r w:rsidR="00934A11" w:rsidRPr="00B740B4">
        <w:t>”</w:t>
      </w:r>
      <w:r w:rsidRPr="00B740B4">
        <w:t xml:space="preserve"> emerging from the sea and flying with the clouds of </w:t>
      </w:r>
      <w:r w:rsidR="00E025B5" w:rsidRPr="00B740B4">
        <w:t xml:space="preserve">the </w:t>
      </w:r>
      <w:r w:rsidRPr="00B740B4">
        <w:t>heaven</w:t>
      </w:r>
      <w:r w:rsidR="00E025B5" w:rsidRPr="00B740B4">
        <w:t>s</w:t>
      </w:r>
      <w:r w:rsidRPr="00B740B4">
        <w:t xml:space="preserve"> to act as judge (</w:t>
      </w:r>
      <w:r w:rsidR="008D747D" w:rsidRPr="00B740B4">
        <w:t xml:space="preserve">2 Esdr 13). It is God’s son; </w:t>
      </w:r>
      <w:r w:rsidRPr="00B740B4">
        <w:t>here too Dan 7 is being used in connection with de</w:t>
      </w:r>
      <w:r w:rsidR="004401AD" w:rsidRPr="00B740B4">
        <w:t>veloping understandings of the M</w:t>
      </w:r>
      <w:r w:rsidRPr="00B740B4">
        <w:t>essiah, perhaps partly in response to the Christian interpretation of</w:t>
      </w:r>
      <w:r w:rsidR="001F6703" w:rsidRPr="00B740B4">
        <w:t xml:space="preserve"> Dan 7:13 as applying to Jesus.</w:t>
      </w:r>
      <w:r w:rsidR="001F6703" w:rsidRPr="00B740B4">
        <w:rPr>
          <w:rStyle w:val="FootnoteReference"/>
        </w:rPr>
        <w:footnoteReference w:id="78"/>
      </w:r>
      <w:r w:rsidR="001F6703" w:rsidRPr="00B740B4">
        <w:t xml:space="preserve"> </w:t>
      </w:r>
      <w:r w:rsidRPr="00B740B4">
        <w:t>It may also be dependent on Dan 2 as one of the sources of its allusions to a stone-mountain.</w:t>
      </w:r>
      <w:r w:rsidR="001C5217" w:rsidRPr="00B740B4">
        <w:rPr>
          <w:rStyle w:val="FootnoteReference"/>
        </w:rPr>
        <w:footnoteReference w:id="79"/>
      </w:r>
    </w:p>
    <w:p w:rsidR="00592DBB" w:rsidRPr="00B740B4" w:rsidRDefault="001B2642" w:rsidP="001B2642">
      <w:r w:rsidRPr="00B740B4">
        <w:t xml:space="preserve">Josephus, too, believes that Daniel wrote of Rome (e.g., </w:t>
      </w:r>
      <w:r w:rsidR="00E86B1D" w:rsidRPr="00B740B4">
        <w:rPr>
          <w:i/>
        </w:rPr>
        <w:t>Antiquities</w:t>
      </w:r>
      <w:r w:rsidRPr="00B740B4">
        <w:t xml:space="preserve"> 10.11.7 [10.276]. His hesitancy over re</w:t>
      </w:r>
      <w:r w:rsidR="001F6703" w:rsidRPr="00B740B4">
        <w:t xml:space="preserve">vealing the meaning of chap. </w:t>
      </w:r>
      <w:r w:rsidRPr="00B740B4">
        <w:t>2 (10.10.4 [10.210]) suggests that he assumes Rome is the fourth empire. The 490-years prophecy is</w:t>
      </w:r>
      <w:r w:rsidR="005C3B8F" w:rsidRPr="00B740B4">
        <w:t xml:space="preserve"> fulfilled in the events of</w:t>
      </w:r>
      <w:r w:rsidRPr="00B740B4">
        <w:t xml:space="preserve"> 66–70; Vespasian is the </w:t>
      </w:r>
      <w:r w:rsidR="00934A11" w:rsidRPr="00B740B4">
        <w:t>“</w:t>
      </w:r>
      <w:r w:rsidRPr="00B740B4">
        <w:t>prince to come</w:t>
      </w:r>
      <w:r w:rsidR="00934A11" w:rsidRPr="00B740B4">
        <w:t>”</w:t>
      </w:r>
      <w:r w:rsidRPr="00B740B4">
        <w:t xml:space="preserve"> of that prophecy (e.g., </w:t>
      </w:r>
      <w:r w:rsidR="00E86B1D" w:rsidRPr="00B740B4">
        <w:rPr>
          <w:i/>
        </w:rPr>
        <w:t xml:space="preserve">Jewish </w:t>
      </w:r>
      <w:r w:rsidRPr="00B740B4">
        <w:rPr>
          <w:i/>
        </w:rPr>
        <w:t>War</w:t>
      </w:r>
      <w:r w:rsidR="001F6703" w:rsidRPr="00B740B4">
        <w:t xml:space="preserve"> 6.5.4 [6.310–15]</w:t>
      </w:r>
      <w:r w:rsidRPr="00B740B4">
        <w:t>.</w:t>
      </w:r>
      <w:r w:rsidR="005C3B8F" w:rsidRPr="00B740B4">
        <w:t xml:space="preserve"> But Josephus</w:t>
      </w:r>
      <w:r w:rsidR="001F6703" w:rsidRPr="00B740B4">
        <w:t xml:space="preserve"> assumes that chap.</w:t>
      </w:r>
      <w:r w:rsidRPr="00B740B4">
        <w:t xml:space="preserve"> 11 refers to Antiochus, and </w:t>
      </w:r>
      <w:r w:rsidR="005C3B8F" w:rsidRPr="00B740B4">
        <w:t xml:space="preserve">he </w:t>
      </w:r>
      <w:r w:rsidRPr="00B740B4">
        <w:t xml:space="preserve">uses Daniel broadly as a source for his retelling of the story of Israel from the exile </w:t>
      </w:r>
      <w:r w:rsidR="005C3B8F" w:rsidRPr="00B740B4">
        <w:lastRenderedPageBreak/>
        <w:t xml:space="preserve">onwards </w:t>
      </w:r>
      <w:r w:rsidRPr="00B740B4">
        <w:t xml:space="preserve">(e.g., </w:t>
      </w:r>
      <w:r w:rsidRPr="00B740B4">
        <w:rPr>
          <w:i/>
        </w:rPr>
        <w:t>Ant</w:t>
      </w:r>
      <w:r w:rsidR="00E86B1D" w:rsidRPr="00B740B4">
        <w:rPr>
          <w:i/>
        </w:rPr>
        <w:t>iquities</w:t>
      </w:r>
      <w:r w:rsidRPr="00B740B4">
        <w:t xml:space="preserve"> 10.10.1–10.11.7 [10.1</w:t>
      </w:r>
      <w:r w:rsidR="00544532" w:rsidRPr="00B740B4">
        <w:t>86–281])—and uses Daniel</w:t>
      </w:r>
      <w:r w:rsidRPr="00B740B4">
        <w:t>, among others, as an anticipation, a type, of himself.</w:t>
      </w:r>
      <w:r w:rsidR="001C5217" w:rsidRPr="00B740B4">
        <w:rPr>
          <w:rStyle w:val="FootnoteReference"/>
        </w:rPr>
        <w:footnoteReference w:id="80"/>
      </w:r>
      <w:r w:rsidRPr="00B740B4">
        <w:t xml:space="preserve"> </w:t>
      </w:r>
      <w:r w:rsidR="00934A11" w:rsidRPr="00B740B4">
        <w:t>“</w:t>
      </w:r>
      <w:r w:rsidR="00E74B4D" w:rsidRPr="00B740B4">
        <w:t xml:space="preserve">By the time he wrote the </w:t>
      </w:r>
      <w:r w:rsidR="00E74B4D" w:rsidRPr="00B740B4">
        <w:rPr>
          <w:i/>
        </w:rPr>
        <w:t xml:space="preserve">Antiquities,… </w:t>
      </w:r>
      <w:r w:rsidR="00E74B4D" w:rsidRPr="00B740B4">
        <w:t>Josephus had decided to use Daniel as a basis for his interpretation of world history.</w:t>
      </w:r>
      <w:r w:rsidR="00934A11" w:rsidRPr="00B740B4">
        <w:t>”</w:t>
      </w:r>
      <w:r w:rsidR="00E74B4D" w:rsidRPr="00B740B4">
        <w:rPr>
          <w:rStyle w:val="FootnoteReference"/>
        </w:rPr>
        <w:footnoteReference w:id="81"/>
      </w:r>
    </w:p>
    <w:p w:rsidR="001B2642" w:rsidRPr="00B740B4" w:rsidRDefault="001B2642" w:rsidP="001B2642">
      <w:r w:rsidRPr="00B740B4">
        <w:t>For Josephus, as for the Greek Bible, Qumran, Jesus, and the NT writers, Daniel is a prophet and has similar authority to the prop</w:t>
      </w:r>
      <w:r w:rsidR="004F2AA3">
        <w:t>hets within the Hebrew s</w:t>
      </w:r>
      <w:r w:rsidR="00544532" w:rsidRPr="00B740B4">
        <w:t>criptures</w:t>
      </w:r>
      <w:r w:rsidRPr="00B740B4">
        <w:t>. Associating Daniel wit</w:t>
      </w:r>
      <w:r w:rsidR="00544532" w:rsidRPr="00B740B4">
        <w:t xml:space="preserve">h the prophets encourages an understanding of them </w:t>
      </w:r>
      <w:r w:rsidRPr="00B740B4">
        <w:t xml:space="preserve">as focusing on the End, </w:t>
      </w:r>
      <w:r w:rsidR="002D73D4" w:rsidRPr="00B740B4">
        <w:t>and the match between Daniel’s prophecies and the abominations of the Romans may</w:t>
      </w:r>
      <w:r w:rsidR="004F2AA3">
        <w:t xml:space="preserve"> have made its place among the s</w:t>
      </w:r>
      <w:r w:rsidR="002D73D4" w:rsidRPr="00B740B4">
        <w:t xml:space="preserve">criptures secure. Yet </w:t>
      </w:r>
      <w:r w:rsidRPr="00B740B4">
        <w:t>Josephus, at least, saw this attitude to Daniel as a partial cause of the revolt with its disastrous co</w:t>
      </w:r>
      <w:r w:rsidR="002D73D4" w:rsidRPr="00B740B4">
        <w:t>nsequences.</w:t>
      </w:r>
      <w:r w:rsidR="00262767">
        <w:rPr>
          <w:rStyle w:val="FootnoteReference"/>
        </w:rPr>
        <w:footnoteReference w:id="82"/>
      </w:r>
      <w:r w:rsidR="002D73D4" w:rsidRPr="00B740B4">
        <w:t xml:space="preserve"> I</w:t>
      </w:r>
      <w:r w:rsidRPr="00B740B4">
        <w:t>n the Hebrew Bible</w:t>
      </w:r>
      <w:r w:rsidR="002D73D4" w:rsidRPr="00B740B4">
        <w:t xml:space="preserve"> Daniel</w:t>
      </w:r>
      <w:r w:rsidRPr="00B740B4">
        <w:t xml:space="preserve"> was finally located in its third section, the </w:t>
      </w:r>
      <w:r w:rsidR="00934A11" w:rsidRPr="00B740B4">
        <w:t>“</w:t>
      </w:r>
      <w:r w:rsidRPr="00B740B4">
        <w:t>Writings,</w:t>
      </w:r>
      <w:r w:rsidR="00934A11" w:rsidRPr="00B740B4">
        <w:t>”</w:t>
      </w:r>
      <w:r w:rsidRPr="00B740B4">
        <w:t xml:space="preserve"> which </w:t>
      </w:r>
      <w:r w:rsidR="002D73D4" w:rsidRPr="00B740B4">
        <w:t>suggests</w:t>
      </w:r>
      <w:r w:rsidRPr="00B740B4">
        <w:t xml:space="preserve"> a more </w:t>
      </w:r>
      <w:r w:rsidR="00090934" w:rsidRPr="00B740B4">
        <w:t>pedagogical reading of the book,</w:t>
      </w:r>
      <w:r w:rsidR="00A40C96" w:rsidRPr="00B740B4">
        <w:rPr>
          <w:rStyle w:val="FootnoteReference"/>
        </w:rPr>
        <w:footnoteReference w:id="83"/>
      </w:r>
      <w:r w:rsidRPr="00B740B4">
        <w:t xml:space="preserve"> </w:t>
      </w:r>
      <w:r w:rsidR="00090934" w:rsidRPr="00B740B4">
        <w:t>even if</w:t>
      </w:r>
      <w:r w:rsidR="00A40C96" w:rsidRPr="00B740B4">
        <w:t xml:space="preserve"> </w:t>
      </w:r>
      <w:r w:rsidR="002D73D4" w:rsidRPr="00B740B4">
        <w:t xml:space="preserve">for the book and the man </w:t>
      </w:r>
      <w:r w:rsidR="00934A11" w:rsidRPr="00B740B4">
        <w:t>“</w:t>
      </w:r>
      <w:r w:rsidR="00A40C96" w:rsidRPr="00B740B4">
        <w:t>prophet or wise man</w:t>
      </w:r>
      <w:r w:rsidR="00934A11" w:rsidRPr="00B740B4">
        <w:t>”</w:t>
      </w:r>
      <w:r w:rsidR="00A40C96" w:rsidRPr="00B740B4">
        <w:t xml:space="preserve"> is to</w:t>
      </w:r>
      <w:r w:rsidR="009B5919" w:rsidRPr="00B740B4">
        <w:t>o</w:t>
      </w:r>
      <w:r w:rsidR="00262767">
        <w:t xml:space="preserve"> restrictive an alternative</w:t>
      </w:r>
      <w:r w:rsidR="00A40C96" w:rsidRPr="00B740B4">
        <w:t>.</w:t>
      </w:r>
      <w:r w:rsidR="00A40C96" w:rsidRPr="00B740B4">
        <w:rPr>
          <w:rStyle w:val="FootnoteReference"/>
        </w:rPr>
        <w:footnoteReference w:id="84"/>
      </w:r>
    </w:p>
    <w:p w:rsidR="003851AD" w:rsidRPr="00B740B4" w:rsidRDefault="00B958D4" w:rsidP="003851AD">
      <w:r w:rsidRPr="00B740B4">
        <w:t>Beginning with the</w:t>
      </w:r>
      <w:r w:rsidR="001B2642" w:rsidRPr="00B740B4">
        <w:t xml:space="preserve"> writings of the Roman period, one can distinguish two t</w:t>
      </w:r>
      <w:r w:rsidRPr="00B740B4">
        <w:t xml:space="preserve">ypes of </w:t>
      </w:r>
      <w:r w:rsidR="00731A5A" w:rsidRPr="00B740B4">
        <w:t>scriptural study</w:t>
      </w:r>
      <w:r w:rsidRPr="00B740B4">
        <w:t>, wh</w:t>
      </w:r>
      <w:r w:rsidR="00731A5A" w:rsidRPr="00B740B4">
        <w:t>ich</w:t>
      </w:r>
      <w:r w:rsidR="001B2642" w:rsidRPr="00B740B4">
        <w:t xml:space="preserve"> might </w:t>
      </w:r>
      <w:r w:rsidRPr="00B740B4">
        <w:t xml:space="preserve">in a Jewish context </w:t>
      </w:r>
      <w:r w:rsidR="002D73D4" w:rsidRPr="00B740B4">
        <w:t>be called expository midrash</w:t>
      </w:r>
      <w:r w:rsidRPr="00B740B4">
        <w:t xml:space="preserve"> </w:t>
      </w:r>
      <w:r w:rsidR="001B2642" w:rsidRPr="00B740B4">
        <w:t xml:space="preserve">and situational midrash. In the former the biblical text sets the agenda, though the text is looked at </w:t>
      </w:r>
      <w:r w:rsidR="00330C0F">
        <w:t>in light</w:t>
      </w:r>
      <w:r w:rsidR="001B2642" w:rsidRPr="00B740B4">
        <w:t xml:space="preserve"> of co</w:t>
      </w:r>
      <w:r w:rsidR="002D73D4" w:rsidRPr="00B740B4">
        <w:t>ncerns and questions of the interpret</w:t>
      </w:r>
      <w:r w:rsidR="001B2642" w:rsidRPr="00B740B4">
        <w:t>er’s day. In the latter these concerns and questions set the agenda, and the biblical text is studied and appealed to selectively on the basis of whether it seems to deal with these</w:t>
      </w:r>
      <w:r w:rsidR="002D73D4" w:rsidRPr="00B740B4">
        <w:t xml:space="preserve"> concerns and questions</w:t>
      </w:r>
      <w:r w:rsidR="001B2642" w:rsidRPr="00B740B4">
        <w:t>. The study of Daniel in the period of the Talmud and among the Church Fathers can have either starting point</w:t>
      </w:r>
      <w:r w:rsidR="00FE3EF1" w:rsidRPr="00B740B4">
        <w:t xml:space="preserve"> (though </w:t>
      </w:r>
      <w:r w:rsidR="002D73D4" w:rsidRPr="00B740B4">
        <w:t>as well as there being</w:t>
      </w:r>
      <w:r w:rsidR="00FE3EF1" w:rsidRPr="00B740B4">
        <w:t xml:space="preserve"> no targum of Daniel</w:t>
      </w:r>
      <w:r w:rsidR="002D73D4" w:rsidRPr="00B740B4">
        <w:t>,</w:t>
      </w:r>
      <w:r w:rsidR="00FE3EF1" w:rsidRPr="00B740B4">
        <w:t xml:space="preserve"> </w:t>
      </w:r>
      <w:r w:rsidR="00934A11" w:rsidRPr="00B740B4">
        <w:t>“</w:t>
      </w:r>
      <w:r w:rsidR="00FE3EF1" w:rsidRPr="00B740B4">
        <w:t>Midrash Daniel</w:t>
      </w:r>
      <w:r w:rsidR="00934A11" w:rsidRPr="00B740B4">
        <w:t>”</w:t>
      </w:r>
      <w:r w:rsidR="00FE3EF1" w:rsidRPr="00B740B4">
        <w:t xml:space="preserve"> comes from a much later period)</w:t>
      </w:r>
      <w:r w:rsidR="003851AD" w:rsidRPr="00B740B4">
        <w:t>.</w:t>
      </w:r>
      <w:r w:rsidR="008318A4" w:rsidRPr="00B740B4">
        <w:rPr>
          <w:rStyle w:val="FootnoteReference"/>
        </w:rPr>
        <w:footnoteReference w:id="85"/>
      </w:r>
      <w:r w:rsidR="003851AD" w:rsidRPr="00B740B4">
        <w:t xml:space="preserve"> </w:t>
      </w:r>
      <w:r w:rsidR="008318A4" w:rsidRPr="00B740B4">
        <w:t>It ha</w:t>
      </w:r>
      <w:r w:rsidR="00731A5A" w:rsidRPr="00B740B4">
        <w:t>s been suggested that Daniel had a significant influence on the devel</w:t>
      </w:r>
      <w:r w:rsidR="00237811" w:rsidRPr="00B740B4">
        <w:t>opment of the Passover Haggadah,</w:t>
      </w:r>
      <w:r w:rsidR="00731A5A" w:rsidRPr="00B740B4">
        <w:rPr>
          <w:vertAlign w:val="superscript"/>
        </w:rPr>
        <w:footnoteReference w:id="86"/>
      </w:r>
      <w:r w:rsidR="00237811" w:rsidRPr="00B740B4">
        <w:t xml:space="preserve"> and it was one of the books read to the High Priest to keep him awake on th</w:t>
      </w:r>
      <w:r w:rsidR="008318A4" w:rsidRPr="00B740B4">
        <w:t>e night before the Day of Atone</w:t>
      </w:r>
      <w:r w:rsidR="00237811" w:rsidRPr="00B740B4">
        <w:t>ment (</w:t>
      </w:r>
      <w:r w:rsidR="00237811" w:rsidRPr="00262767">
        <w:rPr>
          <w:i/>
        </w:rPr>
        <w:t>m. Yona</w:t>
      </w:r>
      <w:r w:rsidR="00237811" w:rsidRPr="00B740B4">
        <w:t xml:space="preserve"> 1.6). </w:t>
      </w:r>
      <w:r w:rsidR="008318A4" w:rsidRPr="00B740B4">
        <w:t>In general, Jewish interpretation was wary of attempts to calculate when the End would come,</w:t>
      </w:r>
      <w:r w:rsidR="008318A4" w:rsidRPr="00B740B4">
        <w:rPr>
          <w:vertAlign w:val="superscript"/>
        </w:rPr>
        <w:footnoteReference w:id="87"/>
      </w:r>
      <w:r w:rsidR="008318A4" w:rsidRPr="00B740B4">
        <w:t xml:space="preserve"> and</w:t>
      </w:r>
      <w:r w:rsidR="00FC3307" w:rsidRPr="00B740B4">
        <w:t xml:space="preserve"> one could say that Talmud</w:t>
      </w:r>
      <w:r w:rsidR="003851AD" w:rsidRPr="00B740B4">
        <w:t>ic</w:t>
      </w:r>
      <w:r w:rsidR="00FC3307" w:rsidRPr="00B740B4">
        <w:t xml:space="preserve"> rabbis </w:t>
      </w:r>
      <w:r w:rsidR="003851AD" w:rsidRPr="00B740B4">
        <w:t xml:space="preserve">were more inclined to </w:t>
      </w:r>
      <w:r w:rsidR="00FC3307" w:rsidRPr="00B740B4">
        <w:t>read Daniel ethically</w:t>
      </w:r>
      <w:r w:rsidR="00FE3EF1" w:rsidRPr="00B740B4">
        <w:t xml:space="preserve"> or parenetically</w:t>
      </w:r>
      <w:r w:rsidR="00FC3307" w:rsidRPr="00B740B4">
        <w:t>,</w:t>
      </w:r>
      <w:r w:rsidR="00FE3EF1" w:rsidRPr="00B740B4">
        <w:rPr>
          <w:rStyle w:val="FootnoteReference"/>
        </w:rPr>
        <w:footnoteReference w:id="88"/>
      </w:r>
      <w:r w:rsidR="000737A0">
        <w:t xml:space="preserve"> </w:t>
      </w:r>
      <w:r w:rsidR="00FC3307" w:rsidRPr="00B740B4">
        <w:t>Christian</w:t>
      </w:r>
      <w:r w:rsidR="008318A4" w:rsidRPr="00B740B4">
        <w:t xml:space="preserve"> interpreter</w:t>
      </w:r>
      <w:r w:rsidR="00FC3307" w:rsidRPr="00B740B4">
        <w:t>s p</w:t>
      </w:r>
      <w:r w:rsidR="003851AD" w:rsidRPr="00B740B4">
        <w:t>rophetically.</w:t>
      </w:r>
      <w:r w:rsidR="00FC3307" w:rsidRPr="00B740B4">
        <w:rPr>
          <w:vertAlign w:val="superscript"/>
        </w:rPr>
        <w:footnoteReference w:id="89"/>
      </w:r>
      <w:r w:rsidR="003851AD" w:rsidRPr="00B740B4">
        <w:t xml:space="preserve"> One </w:t>
      </w:r>
      <w:r w:rsidR="003851AD" w:rsidRPr="00B740B4">
        <w:lastRenderedPageBreak/>
        <w:t xml:space="preserve">background to this divergence was the contrast between the Jewish and Christian conviction </w:t>
      </w:r>
      <w:r w:rsidR="00731A5A" w:rsidRPr="00B740B4">
        <w:t xml:space="preserve">over whether </w:t>
      </w:r>
      <w:r w:rsidR="003851AD" w:rsidRPr="00B740B4">
        <w:t>the decisive fulfillment of prophecies such as</w:t>
      </w:r>
      <w:r w:rsidR="00731A5A" w:rsidRPr="00B740B4">
        <w:t xml:space="preserve"> Dan 9:24-27</w:t>
      </w:r>
      <w:r w:rsidR="00EA7B99" w:rsidRPr="00B740B4">
        <w:t xml:space="preserve"> had happened.</w:t>
      </w:r>
      <w:r w:rsidR="003851AD" w:rsidRPr="00B740B4">
        <w:rPr>
          <w:vertAlign w:val="superscript"/>
        </w:rPr>
        <w:footnoteReference w:id="90"/>
      </w:r>
    </w:p>
    <w:p w:rsidR="00514A19" w:rsidRPr="00B740B4" w:rsidRDefault="00C96A4C" w:rsidP="009479B1">
      <w:pPr>
        <w:pStyle w:val="Heading2"/>
      </w:pPr>
      <w:r w:rsidRPr="00B740B4">
        <w:t>Daniel in the Church 100-500</w:t>
      </w:r>
    </w:p>
    <w:p w:rsidR="00056A2C" w:rsidRPr="00B740B4" w:rsidRDefault="004E0694" w:rsidP="00056A2C">
      <w:r w:rsidRPr="00B740B4">
        <w:t>While p</w:t>
      </w:r>
      <w:r w:rsidR="00731A5A" w:rsidRPr="00B740B4">
        <w:t>atristic writers have their own parenetic interest in Daniel,</w:t>
      </w:r>
      <w:r w:rsidR="0039705D" w:rsidRPr="00B740B4">
        <w:rPr>
          <w:rStyle w:val="FootnoteReference"/>
        </w:rPr>
        <w:footnoteReference w:id="91"/>
      </w:r>
      <w:r w:rsidR="00731A5A" w:rsidRPr="00B740B4">
        <w:t xml:space="preserve"> </w:t>
      </w:r>
      <w:r w:rsidR="00457D4B" w:rsidRPr="00B740B4">
        <w:t xml:space="preserve">their works </w:t>
      </w:r>
      <w:r w:rsidR="007033BA" w:rsidRPr="00B740B4">
        <w:t xml:space="preserve">thus </w:t>
      </w:r>
      <w:r w:rsidR="00457D4B" w:rsidRPr="00B740B4">
        <w:t>focus</w:t>
      </w:r>
      <w:r w:rsidR="00731A5A" w:rsidRPr="00B740B4">
        <w:t xml:space="preserve"> </w:t>
      </w:r>
      <w:r w:rsidR="00457D4B" w:rsidRPr="00B740B4">
        <w:t xml:space="preserve">more </w:t>
      </w:r>
      <w:r w:rsidR="00731A5A" w:rsidRPr="00B740B4">
        <w:t xml:space="preserve">on </w:t>
      </w:r>
      <w:r w:rsidR="009073BE" w:rsidRPr="00B740B4">
        <w:t>the eschatological</w:t>
      </w:r>
      <w:r w:rsidR="001402E3" w:rsidRPr="00B740B4">
        <w:t>.</w:t>
      </w:r>
      <w:r w:rsidR="009073BE" w:rsidRPr="00B740B4">
        <w:rPr>
          <w:vertAlign w:val="superscript"/>
        </w:rPr>
        <w:footnoteReference w:id="92"/>
      </w:r>
      <w:r w:rsidR="001402E3" w:rsidRPr="00B740B4">
        <w:t xml:space="preserve"> T</w:t>
      </w:r>
      <w:r w:rsidR="00552A69" w:rsidRPr="00B740B4">
        <w:t xml:space="preserve">he </w:t>
      </w:r>
      <w:r w:rsidR="000737A0">
        <w:t>small horn in Dan</w:t>
      </w:r>
      <w:r w:rsidR="001402E3" w:rsidRPr="00B740B4">
        <w:t xml:space="preserve"> 7—12, the one who embodies lawlessness in 2 Thessalonians, and the anti-Messiah in 1 John become a composite</w:t>
      </w:r>
      <w:r w:rsidR="000737A0">
        <w:t xml:space="preserve"> anti-M</w:t>
      </w:r>
      <w:r w:rsidR="000F328B">
        <w:t>essiah</w:t>
      </w:r>
      <w:r w:rsidR="00457D4B" w:rsidRPr="00B740B4">
        <w:t xml:space="preserve"> figure.</w:t>
      </w:r>
      <w:r w:rsidR="001402E3" w:rsidRPr="00B740B4">
        <w:rPr>
          <w:vertAlign w:val="superscript"/>
        </w:rPr>
        <w:footnoteReference w:id="93"/>
      </w:r>
      <w:r w:rsidR="001402E3" w:rsidRPr="00B740B4">
        <w:t xml:space="preserve"> </w:t>
      </w:r>
      <w:r w:rsidR="00457D4B" w:rsidRPr="00B740B4">
        <w:t>A</w:t>
      </w:r>
      <w:r w:rsidR="00552A69" w:rsidRPr="00B740B4">
        <w:t>though t</w:t>
      </w:r>
      <w:r w:rsidR="001402E3" w:rsidRPr="00B740B4">
        <w:t xml:space="preserve">he small horn receives many </w:t>
      </w:r>
      <w:r w:rsidR="00457D4B" w:rsidRPr="00B740B4">
        <w:t xml:space="preserve">historical </w:t>
      </w:r>
      <w:r w:rsidR="001402E3" w:rsidRPr="00B740B4">
        <w:t xml:space="preserve">identifications </w:t>
      </w:r>
      <w:r w:rsidR="00056A2C" w:rsidRPr="00B740B4">
        <w:t>as time goes by,</w:t>
      </w:r>
      <w:r w:rsidR="001402E3" w:rsidRPr="00B740B4">
        <w:rPr>
          <w:vertAlign w:val="superscript"/>
        </w:rPr>
        <w:footnoteReference w:id="94"/>
      </w:r>
      <w:r w:rsidR="001402E3" w:rsidRPr="00B740B4">
        <w:t xml:space="preserve"> </w:t>
      </w:r>
      <w:r w:rsidR="00457D4B" w:rsidRPr="00B740B4">
        <w:t>Augustine comments that</w:t>
      </w:r>
      <w:r w:rsidR="001402E3" w:rsidRPr="00B740B4">
        <w:t xml:space="preserve"> anyone who reads Dan 7—12 </w:t>
      </w:r>
      <w:r w:rsidR="00934A11" w:rsidRPr="00B740B4">
        <w:t>“</w:t>
      </w:r>
      <w:r w:rsidR="001402E3" w:rsidRPr="00B740B4">
        <w:t xml:space="preserve">even </w:t>
      </w:r>
      <w:r w:rsidR="00CC688F" w:rsidRPr="00B740B4">
        <w:t>if half-</w:t>
      </w:r>
      <w:r w:rsidR="001402E3" w:rsidRPr="00B740B4">
        <w:t>asleep</w:t>
      </w:r>
      <w:r w:rsidR="00934A11" w:rsidRPr="00B740B4">
        <w:t>”</w:t>
      </w:r>
      <w:r w:rsidR="001402E3" w:rsidRPr="00B740B4">
        <w:t xml:space="preserve"> will be able t</w:t>
      </w:r>
      <w:r w:rsidR="00872913" w:rsidRPr="00B740B4">
        <w:t xml:space="preserve">o see that </w:t>
      </w:r>
      <w:r w:rsidR="00934A11" w:rsidRPr="00B740B4">
        <w:t>“</w:t>
      </w:r>
      <w:r w:rsidR="00872913" w:rsidRPr="00B740B4">
        <w:t>Daniel prophesies about</w:t>
      </w:r>
      <w:r w:rsidR="001402E3" w:rsidRPr="00B740B4">
        <w:t xml:space="preserve"> the last judg</w:t>
      </w:r>
      <w:r w:rsidR="00872913" w:rsidRPr="00B740B4">
        <w:t>e</w:t>
      </w:r>
      <w:r w:rsidR="001402E3" w:rsidRPr="00B740B4">
        <w:t>ment i</w:t>
      </w:r>
      <w:r w:rsidR="00872913" w:rsidRPr="00B740B4">
        <w:t>n such a way as to predict also</w:t>
      </w:r>
      <w:r w:rsidR="001402E3" w:rsidRPr="00B740B4">
        <w:t xml:space="preserve"> </w:t>
      </w:r>
      <w:r w:rsidR="00872913" w:rsidRPr="00B740B4">
        <w:t>the prior coming of</w:t>
      </w:r>
      <w:r w:rsidR="00105597">
        <w:t xml:space="preserve"> the </w:t>
      </w:r>
      <w:r w:rsidR="00872913" w:rsidRPr="00B740B4">
        <w:t>Antichrist</w:t>
      </w:r>
      <w:r w:rsidR="001402E3" w:rsidRPr="00B740B4">
        <w:t>.</w:t>
      </w:r>
      <w:r w:rsidR="00934A11" w:rsidRPr="00B740B4">
        <w:t>”</w:t>
      </w:r>
      <w:r w:rsidR="001402E3" w:rsidRPr="00B740B4">
        <w:rPr>
          <w:vertAlign w:val="superscript"/>
        </w:rPr>
        <w:footnoteReference w:id="95"/>
      </w:r>
      <w:r w:rsidR="001402E3" w:rsidRPr="00B740B4">
        <w:t xml:space="preserve"> </w:t>
      </w:r>
    </w:p>
    <w:p w:rsidR="00A95B7D" w:rsidRPr="00B740B4" w:rsidRDefault="007033BA" w:rsidP="00056A2C">
      <w:r w:rsidRPr="00B740B4">
        <w:t>O</w:t>
      </w:r>
      <w:r w:rsidR="00056A2C" w:rsidRPr="00B740B4">
        <w:t xml:space="preserve">ccasional </w:t>
      </w:r>
      <w:r w:rsidR="004E0694" w:rsidRPr="00B740B4">
        <w:t xml:space="preserve">patristic </w:t>
      </w:r>
      <w:r w:rsidR="00FB34F8" w:rsidRPr="00B740B4">
        <w:t>writers assume that</w:t>
      </w:r>
      <w:r w:rsidR="00056A2C" w:rsidRPr="00B740B4">
        <w:t xml:space="preserve"> the four</w:t>
      </w:r>
      <w:r w:rsidR="004E0694" w:rsidRPr="00B740B4">
        <w:t>th empire</w:t>
      </w:r>
      <w:r w:rsidR="00056A2C" w:rsidRPr="00B740B4">
        <w:t xml:space="preserve"> </w:t>
      </w:r>
      <w:r w:rsidR="004E0694" w:rsidRPr="00B740B4">
        <w:t>in Daniel is</w:t>
      </w:r>
      <w:r w:rsidR="008718BB" w:rsidRPr="00B740B4">
        <w:t xml:space="preserve"> </w:t>
      </w:r>
      <w:r w:rsidR="004E0694" w:rsidRPr="00B740B4">
        <w:t xml:space="preserve">Greece or </w:t>
      </w:r>
      <w:r w:rsidR="00056A2C" w:rsidRPr="00B740B4">
        <w:t xml:space="preserve">the </w:t>
      </w:r>
      <w:r w:rsidR="004E0694" w:rsidRPr="00B740B4">
        <w:t xml:space="preserve">subsequent </w:t>
      </w:r>
      <w:r w:rsidRPr="00B740B4">
        <w:t>Hellenistic monarchies and</w:t>
      </w:r>
      <w:r w:rsidR="00056A2C" w:rsidRPr="00B740B4">
        <w:t xml:space="preserve"> </w:t>
      </w:r>
      <w:r w:rsidR="00FB34F8" w:rsidRPr="00B740B4">
        <w:t xml:space="preserve">that </w:t>
      </w:r>
      <w:r w:rsidR="008718BB" w:rsidRPr="00B740B4">
        <w:t>the small horn is</w:t>
      </w:r>
      <w:r w:rsidR="00056A2C" w:rsidRPr="00B740B4">
        <w:t xml:space="preserve"> Antiochus</w:t>
      </w:r>
      <w:r w:rsidR="008718BB" w:rsidRPr="00B740B4">
        <w:t>,</w:t>
      </w:r>
      <w:r w:rsidRPr="00B740B4">
        <w:t xml:space="preserve"> with</w:t>
      </w:r>
      <w:r w:rsidR="00056A2C" w:rsidRPr="00B740B4">
        <w:t xml:space="preserve"> the humanlike figure and the holy ones on high </w:t>
      </w:r>
      <w:r w:rsidR="008718BB" w:rsidRPr="00B740B4">
        <w:t>stand</w:t>
      </w:r>
      <w:r w:rsidRPr="00B740B4">
        <w:t>ing</w:t>
      </w:r>
      <w:r w:rsidR="00056A2C" w:rsidRPr="00B740B4">
        <w:t xml:space="preserve"> for </w:t>
      </w:r>
      <w:r w:rsidR="008718BB" w:rsidRPr="00B740B4">
        <w:t>the Jewish people in this context</w:t>
      </w:r>
      <w:r w:rsidR="00056A2C" w:rsidRPr="00B740B4">
        <w:t xml:space="preserve">: see, e.g., </w:t>
      </w:r>
      <w:r w:rsidR="00A95B7D" w:rsidRPr="00B740B4">
        <w:rPr>
          <w:i/>
        </w:rPr>
        <w:t>Demonstration</w:t>
      </w:r>
      <w:r w:rsidR="00A95B7D" w:rsidRPr="00B740B4">
        <w:t xml:space="preserve"> 5 of Aphrahat</w:t>
      </w:r>
      <w:r w:rsidR="008718BB" w:rsidRPr="00B740B4">
        <w:t xml:space="preserve"> (270-345</w:t>
      </w:r>
      <w:r w:rsidR="00A95B7D" w:rsidRPr="00B740B4">
        <w:t>)</w:t>
      </w:r>
      <w:r w:rsidR="00056A2C" w:rsidRPr="00B740B4">
        <w:t>.</w:t>
      </w:r>
      <w:r w:rsidR="00056A2C" w:rsidRPr="00B740B4">
        <w:rPr>
          <w:vertAlign w:val="superscript"/>
        </w:rPr>
        <w:footnoteReference w:id="96"/>
      </w:r>
      <w:r w:rsidR="00A95B7D" w:rsidRPr="00B740B4">
        <w:t xml:space="preserve"> </w:t>
      </w:r>
      <w:r w:rsidR="00EA37EB">
        <w:t>Theodoret opposes a vew of this kind.</w:t>
      </w:r>
      <w:r w:rsidR="00EA37EB">
        <w:rPr>
          <w:rStyle w:val="FootnoteReference"/>
        </w:rPr>
        <w:footnoteReference w:id="97"/>
      </w:r>
      <w:r w:rsidR="00EA37EB">
        <w:t xml:space="preserve"> </w:t>
      </w:r>
      <w:r w:rsidR="00056A2C" w:rsidRPr="00B740B4">
        <w:t xml:space="preserve">The pagan philosopher Porphyry (233–304) </w:t>
      </w:r>
      <w:r w:rsidR="008718BB" w:rsidRPr="00B740B4">
        <w:t xml:space="preserve">likewise </w:t>
      </w:r>
      <w:r w:rsidR="00056A2C" w:rsidRPr="00B740B4">
        <w:t>assumes that the latter two empires are Alexander and the Hellenistic monarchies and that Antiochus is the small</w:t>
      </w:r>
      <w:r w:rsidR="00830F49">
        <w:t xml:space="preserve"> horn, broken by the Maccabees. He assumes</w:t>
      </w:r>
      <w:r w:rsidR="00830F49" w:rsidRPr="00830F49">
        <w:t xml:space="preserve"> that the quasi-predictive historical account of Antiochus’s career continues</w:t>
      </w:r>
      <w:r w:rsidR="00830F49">
        <w:t xml:space="preserve"> through Dan 11 (and 12)</w:t>
      </w:r>
      <w:r w:rsidR="00830F49" w:rsidRPr="00830F49">
        <w:t>,</w:t>
      </w:r>
      <w:r w:rsidR="00830F49">
        <w:t xml:space="preserve"> </w:t>
      </w:r>
      <w:r w:rsidR="00056A2C" w:rsidRPr="00B740B4">
        <w:t xml:space="preserve">inferring </w:t>
      </w:r>
      <w:r w:rsidR="00A95B7D" w:rsidRPr="00B740B4">
        <w:t>an account of his death from 11:</w:t>
      </w:r>
      <w:r w:rsidR="00056A2C" w:rsidRPr="00B740B4">
        <w:t>40–45.</w:t>
      </w:r>
      <w:r w:rsidR="00830F49" w:rsidRPr="00830F49">
        <w:rPr>
          <w:vertAlign w:val="superscript"/>
        </w:rPr>
        <w:footnoteReference w:id="98"/>
      </w:r>
      <w:r w:rsidR="00056A2C" w:rsidRPr="00B740B4">
        <w:t xml:space="preserve"> Porp</w:t>
      </w:r>
      <w:r w:rsidR="00FB34F8" w:rsidRPr="00B740B4">
        <w:t>hyry is concerned to show</w:t>
      </w:r>
      <w:r w:rsidR="00056A2C" w:rsidRPr="00B740B4">
        <w:t xml:space="preserve"> that there are no grounds for claiming that prophecies in Daniel refer to Christ, or to </w:t>
      </w:r>
      <w:r w:rsidR="000F328B">
        <w:t xml:space="preserve">the </w:t>
      </w:r>
      <w:r w:rsidR="00056A2C" w:rsidRPr="00B740B4">
        <w:t>Antichrist;</w:t>
      </w:r>
      <w:r w:rsidR="00CD7A25">
        <w:t xml:space="preserve"> the visions are quasi-prediction</w:t>
      </w:r>
      <w:r w:rsidR="00056A2C" w:rsidRPr="00B740B4">
        <w:t>s written after the Antiochene crisis was over.</w:t>
      </w:r>
      <w:r w:rsidR="00056A2C" w:rsidRPr="00B740B4">
        <w:rPr>
          <w:vertAlign w:val="superscript"/>
        </w:rPr>
        <w:footnoteReference w:id="99"/>
      </w:r>
      <w:r w:rsidR="00FB34F8" w:rsidRPr="00B740B4">
        <w:t xml:space="preserve"> </w:t>
      </w:r>
      <w:r w:rsidR="00056A2C" w:rsidRPr="00B740B4">
        <w:t xml:space="preserve">But the interpretation of the empires as Babylon, Medo-Persia, Greece, and Rome predominates among Christians as among Jews, and writers often see themselves and their readers as thus near the End of which Daniel spoke (see e.g., </w:t>
      </w:r>
      <w:r w:rsidR="00056A2C" w:rsidRPr="00B740B4">
        <w:rPr>
          <w:i/>
        </w:rPr>
        <w:t>Barn</w:t>
      </w:r>
      <w:r w:rsidR="008718BB" w:rsidRPr="00B740B4">
        <w:rPr>
          <w:i/>
        </w:rPr>
        <w:t>abas</w:t>
      </w:r>
      <w:r w:rsidR="00056A2C" w:rsidRPr="00B740B4">
        <w:t xml:space="preserve"> 4.4). </w:t>
      </w:r>
    </w:p>
    <w:p w:rsidR="00FB34F8" w:rsidRPr="00B740B4" w:rsidRDefault="00A95B7D" w:rsidP="00A95B7D">
      <w:r w:rsidRPr="00B740B4">
        <w:t xml:space="preserve">The focus of attention on stories such as Daniel 3 changes after Constantine. Augustine (354-430) neatly notes that Nebuchnezzar’s actions </w:t>
      </w:r>
      <w:r w:rsidR="00934A11" w:rsidRPr="00B740B4">
        <w:t>“</w:t>
      </w:r>
      <w:r w:rsidRPr="00B740B4">
        <w:t>foreshadowed</w:t>
      </w:r>
      <w:r w:rsidR="00934A11" w:rsidRPr="00B740B4">
        <w:t>”</w:t>
      </w:r>
      <w:r w:rsidRPr="00B740B4">
        <w:t xml:space="preserve"> the early experience of the church and the ex</w:t>
      </w:r>
      <w:r w:rsidR="00FB34F8" w:rsidRPr="00B740B4">
        <w:t>perience of his own day—first Consta</w:t>
      </w:r>
      <w:r w:rsidR="000A11EB" w:rsidRPr="00B740B4">
        <w:t>n</w:t>
      </w:r>
      <w:r w:rsidR="00FB34F8" w:rsidRPr="00B740B4">
        <w:t>tine’</w:t>
      </w:r>
      <w:r w:rsidRPr="00B740B4">
        <w:t>s persecution, then his conversion.</w:t>
      </w:r>
      <w:r w:rsidRPr="00B740B4">
        <w:rPr>
          <w:rStyle w:val="FootnoteReference"/>
        </w:rPr>
        <w:footnoteReference w:id="100"/>
      </w:r>
      <w:r w:rsidRPr="00B740B4">
        <w:t xml:space="preserve"> Whereas Rome had been identified wi</w:t>
      </w:r>
      <w:r w:rsidR="00FB34F8" w:rsidRPr="00B740B4">
        <w:t>th the fourth empire and then ca</w:t>
      </w:r>
      <w:r w:rsidRPr="00B740B4">
        <w:t>me close to being identified with the fifth,</w:t>
      </w:r>
      <w:r w:rsidR="00884E54" w:rsidRPr="00B740B4">
        <w:rPr>
          <w:rStyle w:val="FootnoteReference"/>
        </w:rPr>
        <w:footnoteReference w:id="101"/>
      </w:r>
      <w:r w:rsidRPr="00B740B4">
        <w:t xml:space="preserve"> </w:t>
      </w:r>
      <w:r w:rsidR="00934A11" w:rsidRPr="00B740B4">
        <w:t>“</w:t>
      </w:r>
      <w:r w:rsidRPr="00B740B4">
        <w:t xml:space="preserve">in </w:t>
      </w:r>
      <w:r w:rsidRPr="00B740B4">
        <w:lastRenderedPageBreak/>
        <w:t>Augustine’s hands the Roman Empire has l</w:t>
      </w:r>
      <w:r w:rsidR="00FB34F8" w:rsidRPr="00B740B4">
        <w:t>o</w:t>
      </w:r>
      <w:r w:rsidRPr="00B740B4">
        <w:t>st its religious signi</w:t>
      </w:r>
      <w:r w:rsidR="00FB34F8" w:rsidRPr="00B740B4">
        <w:t>ficance</w:t>
      </w:r>
      <w:r w:rsidR="00934A11" w:rsidRPr="00B740B4">
        <w:t>”</w:t>
      </w:r>
      <w:r w:rsidR="00FB34F8" w:rsidRPr="00B740B4">
        <w:t>; i</w:t>
      </w:r>
      <w:r w:rsidRPr="00B740B4">
        <w:t>t is neither th</w:t>
      </w:r>
      <w:r w:rsidR="00FB34F8" w:rsidRPr="00B740B4">
        <w:t>e beast nor God’s chosen instrum</w:t>
      </w:r>
      <w:r w:rsidRPr="00B740B4">
        <w:t>ent for the world’s salvation.</w:t>
      </w:r>
      <w:r w:rsidR="00934A11" w:rsidRPr="00B740B4">
        <w:t>”</w:t>
      </w:r>
      <w:r w:rsidRPr="00B740B4">
        <w:rPr>
          <w:rStyle w:val="FootnoteReference"/>
        </w:rPr>
        <w:footnoteReference w:id="102"/>
      </w:r>
      <w:r w:rsidR="008718BB" w:rsidRPr="00B740B4">
        <w:t xml:space="preserve"> </w:t>
      </w:r>
    </w:p>
    <w:p w:rsidR="00A95B7D" w:rsidRPr="00B740B4" w:rsidRDefault="007F3043" w:rsidP="00A95B7D">
      <w:r w:rsidRPr="00B740B4">
        <w:t xml:space="preserve">Eusebius (263-339) in </w:t>
      </w:r>
      <w:r w:rsidRPr="00B740B4">
        <w:rPr>
          <w:i/>
        </w:rPr>
        <w:t>Demonstrations</w:t>
      </w:r>
      <w:r w:rsidRPr="00B740B4">
        <w:t xml:space="preserve"> 8 passes on the calculation of </w:t>
      </w:r>
      <w:r w:rsidR="00A95B7D" w:rsidRPr="00B740B4">
        <w:t xml:space="preserve">Julius Africanus </w:t>
      </w:r>
      <w:r w:rsidR="008718BB" w:rsidRPr="00B740B4">
        <w:t>(160-240)</w:t>
      </w:r>
      <w:r w:rsidRPr="00B740B4">
        <w:t xml:space="preserve"> that</w:t>
      </w:r>
      <w:r w:rsidR="008718BB" w:rsidRPr="00B740B4">
        <w:t xml:space="preserve"> </w:t>
      </w:r>
      <w:r w:rsidR="00A95B7D" w:rsidRPr="00B740B4">
        <w:t>490 years elapsed from the time of Nehemiah to Christ’s death</w:t>
      </w:r>
      <w:r w:rsidRPr="00B740B4">
        <w:t>, and from 300 it became usual to see Dan 9 as pointing to Christ.</w:t>
      </w:r>
      <w:r w:rsidRPr="00B740B4">
        <w:rPr>
          <w:vertAlign w:val="superscript"/>
        </w:rPr>
        <w:footnoteReference w:id="103"/>
      </w:r>
      <w:r w:rsidRPr="00B740B4">
        <w:t xml:space="preserve"> This belief </w:t>
      </w:r>
      <w:r w:rsidR="00FB34F8" w:rsidRPr="00B740B4">
        <w:t xml:space="preserve">would discourage false expectations of fulfillment in contemporary history. </w:t>
      </w:r>
      <w:r w:rsidRPr="00B740B4">
        <w:t>Yet s</w:t>
      </w:r>
      <w:r w:rsidR="0097649A">
        <w:t>uch an interpretation also compares</w:t>
      </w:r>
      <w:r w:rsidRPr="00B740B4">
        <w:t xml:space="preserve"> </w:t>
      </w:r>
      <w:r w:rsidR="00A95B7D" w:rsidRPr="00B740B4">
        <w:t>with Jewish approaches, which saw the four empires and the 490 years coming to a climax with Rome and the</w:t>
      </w:r>
      <w:r w:rsidR="00925DB5" w:rsidRPr="00B740B4">
        <w:t xml:space="preserve"> events of 70 and 135, though the understanding</w:t>
      </w:r>
      <w:r w:rsidR="00A95B7D" w:rsidRPr="00B740B4">
        <w:t xml:space="preserve"> could also be used in anti-Jewish polemic to prove that the prophecies related to Jesus and not </w:t>
      </w:r>
      <w:r w:rsidR="0097649A">
        <w:t xml:space="preserve">to </w:t>
      </w:r>
      <w:r w:rsidR="00A95B7D" w:rsidRPr="00B740B4">
        <w:t>these events.</w:t>
      </w:r>
    </w:p>
    <w:p w:rsidR="00A95B7D" w:rsidRPr="00B740B4" w:rsidRDefault="00A95B7D" w:rsidP="009479B1">
      <w:pPr>
        <w:pStyle w:val="Heading2"/>
      </w:pPr>
      <w:r w:rsidRPr="00B740B4">
        <w:t>Patristic Commentators</w:t>
      </w:r>
    </w:p>
    <w:p w:rsidR="00E358D7" w:rsidRPr="00B740B4" w:rsidRDefault="0097649A" w:rsidP="00A95B7D">
      <w:r>
        <w:t xml:space="preserve">In that </w:t>
      </w:r>
      <w:r w:rsidR="00056A2C" w:rsidRPr="00B740B4">
        <w:t>con</w:t>
      </w:r>
      <w:r w:rsidR="007F3043" w:rsidRPr="00B740B4">
        <w:t>text of persecution an</w:t>
      </w:r>
      <w:r>
        <w:t>d of expectation of</w:t>
      </w:r>
      <w:r w:rsidR="00056A2C" w:rsidRPr="00B740B4">
        <w:t xml:space="preserve"> the </w:t>
      </w:r>
      <w:r>
        <w:t>coming end of the world</w:t>
      </w:r>
      <w:r w:rsidR="00056A2C" w:rsidRPr="00B740B4">
        <w:t xml:space="preserve">, </w:t>
      </w:r>
      <w:r w:rsidR="00934A11" w:rsidRPr="00B740B4">
        <w:t>“</w:t>
      </w:r>
      <w:r w:rsidR="00056A2C" w:rsidRPr="00B740B4">
        <w:t>it is no accident that the earliest surviving complete Greek biblical commentary is that of Hippolytus on Daniel and the earliest surviving Latin one is that of Victorinus on the Apocalypse, the one from the beginning, the other from the end of the third century</w:t>
      </w:r>
      <w:r w:rsidR="00934A11" w:rsidRPr="00B740B4">
        <w:t>”</w:t>
      </w:r>
      <w:r w:rsidR="00925DB5" w:rsidRPr="00B740B4">
        <w:t>;</w:t>
      </w:r>
      <w:r w:rsidR="00056A2C" w:rsidRPr="00B740B4">
        <w:rPr>
          <w:vertAlign w:val="superscript"/>
        </w:rPr>
        <w:footnoteReference w:id="104"/>
      </w:r>
      <w:r w:rsidR="00056A2C" w:rsidRPr="00B740B4">
        <w:t xml:space="preserve"> </w:t>
      </w:r>
      <w:r w:rsidR="00925DB5" w:rsidRPr="00B740B4">
        <w:t xml:space="preserve">though </w:t>
      </w:r>
      <w:r w:rsidR="003C49DA" w:rsidRPr="00B740B4">
        <w:t xml:space="preserve">admittedly </w:t>
      </w:r>
      <w:r w:rsidR="0039705D" w:rsidRPr="00B740B4">
        <w:t xml:space="preserve">Hippolytus </w:t>
      </w:r>
      <w:r w:rsidR="00D36B15" w:rsidRPr="00B740B4">
        <w:t>(</w:t>
      </w:r>
      <w:r w:rsidR="0039705D" w:rsidRPr="00B740B4">
        <w:t xml:space="preserve">170–235) </w:t>
      </w:r>
      <w:r w:rsidR="00934A11" w:rsidRPr="00B740B4">
        <w:t>“</w:t>
      </w:r>
      <w:r w:rsidR="0039705D" w:rsidRPr="00B740B4">
        <w:t>struggled with a genre of theological scholarship which had yet to be invented.</w:t>
      </w:r>
      <w:r w:rsidR="00934A11" w:rsidRPr="00B740B4">
        <w:t>”</w:t>
      </w:r>
      <w:r w:rsidR="0039705D" w:rsidRPr="00B740B4">
        <w:rPr>
          <w:vertAlign w:val="superscript"/>
        </w:rPr>
        <w:footnoteReference w:id="105"/>
      </w:r>
      <w:r w:rsidR="0039705D" w:rsidRPr="00B740B4">
        <w:t xml:space="preserve"> </w:t>
      </w:r>
      <w:r w:rsidR="003C49DA" w:rsidRPr="00B740B4">
        <w:t>His concerns are not just confined to</w:t>
      </w:r>
      <w:r>
        <w:t xml:space="preserve"> questions about the End; they </w:t>
      </w:r>
      <w:r w:rsidR="003C49DA" w:rsidRPr="00B740B4">
        <w:t>include</w:t>
      </w:r>
      <w:r w:rsidR="00A95B7D" w:rsidRPr="00B740B4">
        <w:t xml:space="preserve"> the </w:t>
      </w:r>
      <w:r w:rsidR="003C49DA" w:rsidRPr="00B740B4">
        <w:t>book’s historical reference</w:t>
      </w:r>
      <w:r w:rsidR="00A95B7D" w:rsidRPr="00B740B4">
        <w:t>, its parenetic value, a</w:t>
      </w:r>
      <w:r>
        <w:t xml:space="preserve">nd its theological significance, </w:t>
      </w:r>
      <w:r w:rsidR="00A95B7D" w:rsidRPr="00B740B4">
        <w:t>sometimes reached by recourse to allegory (e.g., on chaps. 3 and 6).</w:t>
      </w:r>
      <w:r w:rsidR="00A95B7D" w:rsidRPr="00B740B4">
        <w:rPr>
          <w:vertAlign w:val="superscript"/>
        </w:rPr>
        <w:footnoteReference w:id="106"/>
      </w:r>
      <w:r w:rsidR="00A95B7D" w:rsidRPr="00B740B4">
        <w:t xml:space="preserve"> </w:t>
      </w:r>
      <w:r w:rsidR="003C49DA" w:rsidRPr="00B740B4">
        <w:t>H</w:t>
      </w:r>
      <w:r w:rsidR="00925DB5" w:rsidRPr="00B740B4">
        <w:t>e</w:t>
      </w:r>
      <w:r w:rsidR="00A95B7D" w:rsidRPr="00B740B4">
        <w:t xml:space="preserve"> and his successors assume that the revered</w:t>
      </w:r>
      <w:r w:rsidR="00E358D7" w:rsidRPr="00B740B4">
        <w:t xml:space="preserve"> figure and the human-like figur</w:t>
      </w:r>
      <w:r w:rsidR="00A95B7D" w:rsidRPr="00B740B4">
        <w:t xml:space="preserve">e in Dan 7 are God the Father and Jesus, </w:t>
      </w:r>
      <w:r w:rsidR="003C49DA" w:rsidRPr="00B740B4">
        <w:t xml:space="preserve">but </w:t>
      </w:r>
      <w:r w:rsidR="00A95B7D" w:rsidRPr="00B740B4">
        <w:t xml:space="preserve">in a reversal of the question whether Jesus as Son of Man is divine, </w:t>
      </w:r>
      <w:r w:rsidR="00925DB5" w:rsidRPr="00B740B4">
        <w:t>other patri</w:t>
      </w:r>
      <w:r w:rsidR="00A95B7D" w:rsidRPr="00B740B4">
        <w:t xml:space="preserve">stic writers can think in terms of the older, revered figure </w:t>
      </w:r>
      <w:r w:rsidR="00925DB5" w:rsidRPr="00B740B4">
        <w:t>being</w:t>
      </w:r>
      <w:r w:rsidR="00A95B7D" w:rsidRPr="00B740B4">
        <w:t xml:space="preserve"> the second person of the Trinity</w:t>
      </w:r>
      <w:r w:rsidR="003C49DA" w:rsidRPr="00B740B4">
        <w:t>, not the first</w:t>
      </w:r>
      <w:r w:rsidR="00A95B7D" w:rsidRPr="00B740B4">
        <w:t>.</w:t>
      </w:r>
      <w:r w:rsidR="00A95B7D" w:rsidRPr="00B740B4">
        <w:rPr>
          <w:vertAlign w:val="superscript"/>
        </w:rPr>
        <w:footnoteReference w:id="107"/>
      </w:r>
      <w:r w:rsidR="003C49DA" w:rsidRPr="00B740B4">
        <w:t xml:space="preserve"> </w:t>
      </w:r>
      <w:r w:rsidR="00E358D7" w:rsidRPr="00B740B4">
        <w:t xml:space="preserve">Hippolytus’s words are </w:t>
      </w:r>
      <w:r w:rsidR="00934A11" w:rsidRPr="00B740B4">
        <w:t>“</w:t>
      </w:r>
      <w:r w:rsidR="00E358D7" w:rsidRPr="00B740B4">
        <w:t>fighting words,</w:t>
      </w:r>
      <w:r w:rsidR="00934A11" w:rsidRPr="00B740B4">
        <w:t>”</w:t>
      </w:r>
      <w:r w:rsidR="00E358D7" w:rsidRPr="00B740B4">
        <w:t xml:space="preserve"> arguing on the basis of the text with Jews, pagans, and heretics, and challenging believers in Jesus to stand firm against the arrogance of the state.</w:t>
      </w:r>
      <w:r w:rsidR="00E358D7" w:rsidRPr="00B740B4">
        <w:rPr>
          <w:rStyle w:val="FootnoteReference"/>
        </w:rPr>
        <w:footnoteReference w:id="108"/>
      </w:r>
      <w:r w:rsidR="00E358D7" w:rsidRPr="00B740B4">
        <w:t xml:space="preserve"> He thus sets the tone for much exposition of Daniel over the millennia.</w:t>
      </w:r>
    </w:p>
    <w:p w:rsidR="008A37B1" w:rsidRPr="00B740B4" w:rsidRDefault="00457D4B" w:rsidP="00A03B3E">
      <w:r w:rsidRPr="00B740B4">
        <w:t>H</w:t>
      </w:r>
      <w:r w:rsidR="004E0694" w:rsidRPr="00B740B4">
        <w:t>ippolytus’s</w:t>
      </w:r>
      <w:r w:rsidR="00A03B3E" w:rsidRPr="00B740B4">
        <w:t xml:space="preserve"> paren</w:t>
      </w:r>
      <w:r w:rsidR="004E0694" w:rsidRPr="00B740B4">
        <w:t>e</w:t>
      </w:r>
      <w:r w:rsidR="00A03B3E" w:rsidRPr="00B740B4">
        <w:t>ti</w:t>
      </w:r>
      <w:r w:rsidR="0097649A">
        <w:t xml:space="preserve">c interest is paralleled in </w:t>
      </w:r>
      <w:r w:rsidR="00A03B3E" w:rsidRPr="00B740B4">
        <w:t xml:space="preserve">evidence </w:t>
      </w:r>
      <w:r w:rsidR="0097649A">
        <w:t xml:space="preserve">elsewhere </w:t>
      </w:r>
      <w:r w:rsidR="00A03B3E" w:rsidRPr="00B740B4">
        <w:t>of the stories’ significance for the life of the church</w:t>
      </w:r>
      <w:r w:rsidR="003C49DA" w:rsidRPr="00B740B4">
        <w:t xml:space="preserve"> (especially chaps. 3 and 6)</w:t>
      </w:r>
      <w:r w:rsidR="00C96A4C" w:rsidRPr="00B740B4">
        <w:t>, as</w:t>
      </w:r>
      <w:r w:rsidR="00A03B3E" w:rsidRPr="00B740B4">
        <w:t xml:space="preserve"> </w:t>
      </w:r>
      <w:r w:rsidR="003C49DA" w:rsidRPr="00B740B4">
        <w:t xml:space="preserve">is </w:t>
      </w:r>
      <w:r w:rsidR="00925DB5" w:rsidRPr="00B740B4">
        <w:t>indicated by their featuring</w:t>
      </w:r>
      <w:r w:rsidR="00A03B3E" w:rsidRPr="00B740B4">
        <w:t xml:space="preserve"> in iconography and </w:t>
      </w:r>
      <w:r w:rsidR="003C49DA" w:rsidRPr="00B740B4">
        <w:t>on tombstones and sarcophagi. They are</w:t>
      </w:r>
      <w:r w:rsidR="00A03B3E" w:rsidRPr="00B740B4">
        <w:t xml:space="preserve"> symbols that could be linked typologically with </w:t>
      </w:r>
      <w:r w:rsidR="00E45228">
        <w:t>Jesus’</w:t>
      </w:r>
      <w:r w:rsidR="00A03B3E" w:rsidRPr="00B740B4">
        <w:t xml:space="preserve"> suffering, death, and resurrection, and with the death of Christian martyrs.</w:t>
      </w:r>
      <w:r w:rsidR="00A03B3E" w:rsidRPr="00B740B4">
        <w:rPr>
          <w:vertAlign w:val="superscript"/>
        </w:rPr>
        <w:footnoteReference w:id="109"/>
      </w:r>
      <w:r w:rsidR="00C32889" w:rsidRPr="00B740B4">
        <w:t xml:space="preserve"> </w:t>
      </w:r>
      <w:r w:rsidR="001402E3" w:rsidRPr="00B740B4">
        <w:t>T</w:t>
      </w:r>
      <w:r w:rsidR="00541155">
        <w:rPr>
          <w:rFonts w:eastAsiaTheme="minorHAnsi" w:cs="TimesNewRomanPS-BoldMT"/>
          <w:bCs/>
        </w:rPr>
        <w:t>he point</w:t>
      </w:r>
      <w:r w:rsidR="008A37B1" w:rsidRPr="00B740B4">
        <w:rPr>
          <w:rFonts w:eastAsiaTheme="minorHAnsi" w:cs="TimesNewRomanPS-BoldMT"/>
          <w:bCs/>
        </w:rPr>
        <w:t>s made in Dan 3 about empire a</w:t>
      </w:r>
      <w:r w:rsidR="001402E3" w:rsidRPr="00B740B4">
        <w:rPr>
          <w:rFonts w:eastAsiaTheme="minorHAnsi" w:cs="TimesNewRomanPS-BoldMT"/>
          <w:bCs/>
        </w:rPr>
        <w:t>nd martyrdom, political disloy</w:t>
      </w:r>
      <w:r w:rsidR="008A37B1" w:rsidRPr="00B740B4">
        <w:rPr>
          <w:rFonts w:eastAsiaTheme="minorHAnsi" w:cs="TimesNewRomanPS-BoldMT"/>
          <w:bCs/>
        </w:rPr>
        <w:t>a</w:t>
      </w:r>
      <w:r w:rsidR="00541155">
        <w:rPr>
          <w:rFonts w:eastAsiaTheme="minorHAnsi" w:cs="TimesNewRomanPS-BoldMT"/>
          <w:bCs/>
        </w:rPr>
        <w:t xml:space="preserve">lty and religious fidelity, </w:t>
      </w:r>
      <w:r w:rsidR="008A37B1" w:rsidRPr="00B740B4">
        <w:rPr>
          <w:rFonts w:eastAsiaTheme="minorHAnsi" w:cs="TimesNewRomanPS-BoldMT"/>
          <w:bCs/>
        </w:rPr>
        <w:t xml:space="preserve">indeed </w:t>
      </w:r>
      <w:r w:rsidR="00F85479">
        <w:rPr>
          <w:rFonts w:eastAsiaTheme="minorHAnsi" w:cs="TimesNewRomanPS-BoldMT"/>
          <w:bCs/>
        </w:rPr>
        <w:t>suggest</w:t>
      </w:r>
      <w:r w:rsidR="00541155">
        <w:rPr>
          <w:rFonts w:eastAsiaTheme="minorHAnsi" w:cs="TimesNewRomanPS-BoldMT"/>
          <w:bCs/>
        </w:rPr>
        <w:t xml:space="preserve"> </w:t>
      </w:r>
      <w:r w:rsidR="008A37B1" w:rsidRPr="00B740B4">
        <w:rPr>
          <w:rFonts w:eastAsiaTheme="minorHAnsi" w:cs="TimesNewRomanPS-BoldMT"/>
          <w:bCs/>
        </w:rPr>
        <w:t>patt</w:t>
      </w:r>
      <w:r w:rsidR="006244F8" w:rsidRPr="00B740B4">
        <w:rPr>
          <w:rFonts w:eastAsiaTheme="minorHAnsi" w:cs="TimesNewRomanPS-BoldMT"/>
          <w:bCs/>
        </w:rPr>
        <w:t>erns of behavior for the commu</w:t>
      </w:r>
      <w:r w:rsidR="008A37B1" w:rsidRPr="00B740B4">
        <w:rPr>
          <w:rFonts w:eastAsiaTheme="minorHAnsi" w:cs="TimesNewRomanPS-BoldMT"/>
          <w:bCs/>
        </w:rPr>
        <w:t>nity under</w:t>
      </w:r>
      <w:r w:rsidR="003C49DA" w:rsidRPr="00B740B4">
        <w:rPr>
          <w:rFonts w:eastAsiaTheme="minorHAnsi" w:cs="TimesNewRomanPS-BoldMT"/>
          <w:bCs/>
        </w:rPr>
        <w:t>going</w:t>
      </w:r>
      <w:r w:rsidR="008A37B1" w:rsidRPr="00B740B4">
        <w:rPr>
          <w:rFonts w:eastAsiaTheme="minorHAnsi" w:cs="TimesNewRomanPS-BoldMT"/>
          <w:bCs/>
        </w:rPr>
        <w:t xml:space="preserve"> persecution.</w:t>
      </w:r>
      <w:r w:rsidR="008A37B1" w:rsidRPr="00B740B4">
        <w:rPr>
          <w:rStyle w:val="FootnoteReference"/>
          <w:rFonts w:eastAsiaTheme="minorHAnsi" w:cs="TimesNewRomanPS-BoldMT"/>
          <w:bCs/>
        </w:rPr>
        <w:footnoteReference w:id="110"/>
      </w:r>
      <w:r w:rsidR="001402E3" w:rsidRPr="00B740B4">
        <w:rPr>
          <w:rFonts w:eastAsiaTheme="minorHAnsi" w:cs="TimesNewRomanPS-BoldMT"/>
          <w:bCs/>
        </w:rPr>
        <w:t xml:space="preserve"> </w:t>
      </w:r>
      <w:r w:rsidR="002E7A77" w:rsidRPr="00B740B4">
        <w:rPr>
          <w:rFonts w:eastAsiaTheme="minorHAnsi" w:cs="TimesNewRomanPS-BoldMT"/>
          <w:bCs/>
        </w:rPr>
        <w:t>Origen, too,</w:t>
      </w:r>
      <w:r w:rsidR="00925DB5" w:rsidRPr="00B740B4">
        <w:rPr>
          <w:rFonts w:eastAsiaTheme="minorHAnsi" w:cs="TimesNewRomanPS-BoldMT"/>
          <w:bCs/>
        </w:rPr>
        <w:t xml:space="preserve"> </w:t>
      </w:r>
      <w:r w:rsidR="001402E3" w:rsidRPr="00B740B4">
        <w:rPr>
          <w:rFonts w:eastAsiaTheme="minorHAnsi" w:cs="TimesNewRomanPS-BoldMT"/>
          <w:bCs/>
        </w:rPr>
        <w:t>urges people in danger of martyrdom to recall the story of the three young men.</w:t>
      </w:r>
      <w:r w:rsidR="001402E3" w:rsidRPr="00B740B4">
        <w:rPr>
          <w:rFonts w:eastAsiaTheme="minorHAnsi" w:cs="TimesNewRomanPS-BoldMT"/>
          <w:bCs/>
          <w:vertAlign w:val="superscript"/>
        </w:rPr>
        <w:footnoteReference w:id="111"/>
      </w:r>
    </w:p>
    <w:p w:rsidR="006778F7" w:rsidRPr="00B740B4" w:rsidRDefault="00457D4B" w:rsidP="001B2642">
      <w:r w:rsidRPr="00B740B4">
        <w:lastRenderedPageBreak/>
        <w:t xml:space="preserve">The </w:t>
      </w:r>
      <w:r w:rsidR="00934A11" w:rsidRPr="00B740B4">
        <w:t>“</w:t>
      </w:r>
      <w:r w:rsidR="00412F70" w:rsidRPr="00B740B4">
        <w:t>epoch-making</w:t>
      </w:r>
      <w:r w:rsidR="00934A11" w:rsidRPr="00B740B4">
        <w:t>”</w:t>
      </w:r>
      <w:r w:rsidRPr="00B740B4">
        <w:t xml:space="preserve">commentary of Jerome </w:t>
      </w:r>
      <w:r w:rsidR="00D36B15" w:rsidRPr="00B740B4">
        <w:t>(</w:t>
      </w:r>
      <w:r w:rsidR="001B2642" w:rsidRPr="00B740B4">
        <w:t>331–420)</w:t>
      </w:r>
      <w:r w:rsidR="00DE45CF" w:rsidRPr="00B740B4">
        <w:rPr>
          <w:rStyle w:val="FootnoteReference"/>
        </w:rPr>
        <w:footnoteReference w:id="112"/>
      </w:r>
      <w:r w:rsidR="00925DB5" w:rsidRPr="00B740B4">
        <w:t xml:space="preserve"> is our source for </w:t>
      </w:r>
      <w:r w:rsidR="001B2642" w:rsidRPr="00B740B4">
        <w:t>kno</w:t>
      </w:r>
      <w:r w:rsidRPr="00B740B4">
        <w:t>wle</w:t>
      </w:r>
      <w:r w:rsidR="00413397" w:rsidRPr="00B740B4">
        <w:t>dge of Porphyry’s work, which Jerome</w:t>
      </w:r>
      <w:r w:rsidRPr="00B740B4">
        <w:t xml:space="preserve"> quotes </w:t>
      </w:r>
      <w:r w:rsidR="001B2642" w:rsidRPr="00B740B4">
        <w:t>extensively in or</w:t>
      </w:r>
      <w:r w:rsidRPr="00B740B4">
        <w:t>der to refute it, and of writers</w:t>
      </w:r>
      <w:r w:rsidR="001B2642" w:rsidRPr="00B740B4">
        <w:t xml:space="preserve"> such as Origen, s</w:t>
      </w:r>
      <w:r w:rsidR="005D7D74" w:rsidRPr="00B740B4">
        <w:t xml:space="preserve">ince in </w:t>
      </w:r>
      <w:r w:rsidR="001B2642" w:rsidRPr="00B740B4">
        <w:t>explaining and clarifying the text he seeks to pass on the fruits of earl</w:t>
      </w:r>
      <w:r w:rsidR="00413397" w:rsidRPr="00B740B4">
        <w:t>ier commentators’ writings</w:t>
      </w:r>
      <w:r w:rsidR="001B2642" w:rsidRPr="00B740B4">
        <w:t xml:space="preserve">. </w:t>
      </w:r>
      <w:r w:rsidR="00CD694C">
        <w:t>Though</w:t>
      </w:r>
      <w:r w:rsidR="00413397" w:rsidRPr="00B740B4">
        <w:t xml:space="preserve"> h</w:t>
      </w:r>
      <w:r w:rsidR="006778F7" w:rsidRPr="00B740B4">
        <w:t xml:space="preserve">e begins </w:t>
      </w:r>
      <w:r w:rsidR="00413397" w:rsidRPr="00B740B4">
        <w:t>with a reference to Porphyry, he</w:t>
      </w:r>
      <w:r w:rsidR="006778F7" w:rsidRPr="00B740B4">
        <w:t xml:space="preserve"> notes that predecessors such as Eusebius have </w:t>
      </w:r>
      <w:r w:rsidR="00413397" w:rsidRPr="00B740B4">
        <w:t>already responded to him, and</w:t>
      </w:r>
      <w:r w:rsidR="006778F7" w:rsidRPr="00B740B4">
        <w:t xml:space="preserve"> Jerome himself wants to put the emphasis on the fact that </w:t>
      </w:r>
      <w:r w:rsidR="00934A11" w:rsidRPr="00B740B4">
        <w:t>“</w:t>
      </w:r>
      <w:r w:rsidR="006778F7" w:rsidRPr="00B740B4">
        <w:t>none of the prophets ha</w:t>
      </w:r>
      <w:r w:rsidR="00D6433A" w:rsidRPr="00B740B4">
        <w:t xml:space="preserve">s so clearly spoken concerning </w:t>
      </w:r>
      <w:r w:rsidR="006778F7" w:rsidRPr="00B740B4">
        <w:t>Christ as has this prophet Daniel</w:t>
      </w:r>
      <w:r w:rsidR="00413397" w:rsidRPr="00B740B4">
        <w:t>,</w:t>
      </w:r>
      <w:r w:rsidR="00934A11" w:rsidRPr="00B740B4">
        <w:t>”</w:t>
      </w:r>
      <w:r w:rsidR="00413397" w:rsidRPr="00B740B4">
        <w:t xml:space="preserve"> who not only said Jesus would come</w:t>
      </w:r>
      <w:r w:rsidR="006778F7" w:rsidRPr="00B740B4">
        <w:t xml:space="preserve"> but </w:t>
      </w:r>
      <w:r w:rsidR="00934A11" w:rsidRPr="00B740B4">
        <w:t>“</w:t>
      </w:r>
      <w:r w:rsidR="006778F7" w:rsidRPr="00B740B4">
        <w:t>set forth the very time at which He would come</w:t>
      </w:r>
      <w:r w:rsidR="00934A11" w:rsidRPr="00B740B4">
        <w:t>”</w:t>
      </w:r>
      <w:r w:rsidR="006778F7" w:rsidRPr="00B740B4">
        <w:t xml:space="preserve"> (in 9:24-27).</w:t>
      </w:r>
      <w:r w:rsidR="006778F7" w:rsidRPr="00B740B4">
        <w:rPr>
          <w:rStyle w:val="FootnoteReference"/>
        </w:rPr>
        <w:footnoteReference w:id="113"/>
      </w:r>
      <w:r w:rsidR="005D7D74" w:rsidRPr="00B740B4">
        <w:t xml:space="preserve"> </w:t>
      </w:r>
    </w:p>
    <w:p w:rsidR="00930E4F" w:rsidRPr="00B740B4" w:rsidRDefault="001B2642" w:rsidP="001B2642">
      <w:r w:rsidRPr="00B740B4">
        <w:t xml:space="preserve">Jerome also made a </w:t>
      </w:r>
      <w:r w:rsidR="006778F7" w:rsidRPr="00B740B4">
        <w:t>new Latin translation of Daniel</w:t>
      </w:r>
      <w:r w:rsidRPr="00B740B4">
        <w:t>, as of other OT books,</w:t>
      </w:r>
      <w:r w:rsidR="00925DB5" w:rsidRPr="00B740B4">
        <w:t xml:space="preserve"> to replace the Old Latin </w:t>
      </w:r>
      <w:r w:rsidR="00961A93" w:rsidRPr="00B740B4">
        <w:t xml:space="preserve">version made </w:t>
      </w:r>
      <w:r w:rsidR="00925DB5" w:rsidRPr="00B740B4">
        <w:t>from the Greek. Jerome’s</w:t>
      </w:r>
      <w:r w:rsidR="00961A93" w:rsidRPr="00B740B4">
        <w:t xml:space="preserve"> rendering</w:t>
      </w:r>
      <w:r w:rsidRPr="00B740B4">
        <w:t>, which came to be called the Vulgate</w:t>
      </w:r>
      <w:r w:rsidR="00925DB5" w:rsidRPr="00B740B4">
        <w:t xml:space="preserve"> or </w:t>
      </w:r>
      <w:r w:rsidR="00934A11" w:rsidRPr="00B740B4">
        <w:t>“</w:t>
      </w:r>
      <w:r w:rsidR="00925DB5" w:rsidRPr="00B740B4">
        <w:t>common version,</w:t>
      </w:r>
      <w:r w:rsidR="00934A11" w:rsidRPr="00B740B4">
        <w:t>”</w:t>
      </w:r>
      <w:r w:rsidR="00925DB5" w:rsidRPr="00B740B4">
        <w:t xml:space="preserve"> was made from the Hebrew</w:t>
      </w:r>
      <w:r w:rsidR="00961A93" w:rsidRPr="00B740B4">
        <w:t>/Aramaic</w:t>
      </w:r>
      <w:r w:rsidR="00CD694C">
        <w:t>,</w:t>
      </w:r>
      <w:r w:rsidR="00961A93" w:rsidRPr="00B740B4">
        <w:t xml:space="preserve"> though he referred</w:t>
      </w:r>
      <w:r w:rsidR="00CD694C">
        <w:t xml:space="preserve"> to the Greek</w:t>
      </w:r>
      <w:r w:rsidRPr="00B740B4">
        <w:t xml:space="preserve"> and it is thus not simply an independent witness t</w:t>
      </w:r>
      <w:r w:rsidR="00961A93" w:rsidRPr="00B740B4">
        <w:t>o the Hebrew text of his day. Jerome’</w:t>
      </w:r>
      <w:r w:rsidRPr="00B740B4">
        <w:t xml:space="preserve">s involvement with </w:t>
      </w:r>
      <w:r w:rsidR="00961A93" w:rsidRPr="00B740B4">
        <w:t xml:space="preserve">the </w:t>
      </w:r>
      <w:r w:rsidRPr="00B740B4">
        <w:t>Hebrew</w:t>
      </w:r>
      <w:r w:rsidR="00961A93" w:rsidRPr="00B740B4">
        <w:t>/Aramaic text</w:t>
      </w:r>
      <w:r w:rsidRPr="00B740B4">
        <w:t xml:space="preserve"> is also reflected in his utilization of Jewish exegesis in his commentary.</w:t>
      </w:r>
      <w:r w:rsidR="004F42CD" w:rsidRPr="00B740B4">
        <w:rPr>
          <w:rStyle w:val="FootnoteReference"/>
        </w:rPr>
        <w:footnoteReference w:id="114"/>
      </w:r>
      <w:r w:rsidRPr="00B740B4">
        <w:t xml:space="preserve"> </w:t>
      </w:r>
    </w:p>
    <w:p w:rsidR="001B0FC6" w:rsidRPr="00B740B4" w:rsidRDefault="00EF5F8D" w:rsidP="001B0FC6">
      <w:r w:rsidRPr="00B740B4">
        <w:t>The commentary</w:t>
      </w:r>
      <w:r w:rsidR="001402E3" w:rsidRPr="00B740B4">
        <w:t xml:space="preserve"> of </w:t>
      </w:r>
      <w:r w:rsidR="00412F70" w:rsidRPr="00B740B4">
        <w:t xml:space="preserve">John </w:t>
      </w:r>
      <w:r w:rsidR="001402E3" w:rsidRPr="00B740B4">
        <w:t>Chrysostom</w:t>
      </w:r>
      <w:r w:rsidRPr="00B740B4">
        <w:t xml:space="preserve"> (347–407)</w:t>
      </w:r>
      <w:r w:rsidR="001402E3" w:rsidRPr="00B740B4">
        <w:t xml:space="preserve"> survives only in fragments</w:t>
      </w:r>
      <w:r w:rsidR="00925DB5" w:rsidRPr="00B740B4">
        <w:t>, but</w:t>
      </w:r>
      <w:r w:rsidR="001402E3" w:rsidRPr="00B740B4">
        <w:t xml:space="preserve"> the popularity and importance of Daniel 3 is refle</w:t>
      </w:r>
      <w:r w:rsidR="00961A93" w:rsidRPr="00B740B4">
        <w:t>cted in the way he (like other patristic writers</w:t>
      </w:r>
      <w:r w:rsidR="001402E3" w:rsidRPr="00B740B4">
        <w:t xml:space="preserve">) refers frequently </w:t>
      </w:r>
      <w:r w:rsidR="006178DA" w:rsidRPr="00B740B4">
        <w:t>to this story in other writings and draws</w:t>
      </w:r>
      <w:r w:rsidR="001402E3" w:rsidRPr="00B740B4">
        <w:t xml:space="preserve"> theological and practical application from it.</w:t>
      </w:r>
      <w:r w:rsidR="001402E3" w:rsidRPr="00B740B4">
        <w:rPr>
          <w:rStyle w:val="FootnoteReference"/>
        </w:rPr>
        <w:footnoteReference w:id="115"/>
      </w:r>
      <w:r w:rsidR="001402E3" w:rsidRPr="00B740B4">
        <w:t xml:space="preserve"> From the fourth century we </w:t>
      </w:r>
      <w:r w:rsidR="006178DA" w:rsidRPr="00B740B4">
        <w:t xml:space="preserve">also </w:t>
      </w:r>
      <w:r w:rsidR="001402E3" w:rsidRPr="00B740B4">
        <w:t>know of two Syriac writers on Da</w:t>
      </w:r>
      <w:r w:rsidR="00925DB5" w:rsidRPr="00B740B4">
        <w:t xml:space="preserve">niel, </w:t>
      </w:r>
      <w:r w:rsidR="003F2F41" w:rsidRPr="00B740B4">
        <w:t>Aphrahat</w:t>
      </w:r>
      <w:r w:rsidR="00981F23" w:rsidRPr="00B740B4">
        <w:t xml:space="preserve"> (270-345)</w:t>
      </w:r>
      <w:r w:rsidR="006178DA" w:rsidRPr="00B740B4">
        <w:t xml:space="preserve"> and </w:t>
      </w:r>
      <w:r w:rsidR="001B0FC6" w:rsidRPr="00B740B4">
        <w:t>Ephrem</w:t>
      </w:r>
      <w:r w:rsidR="006178DA" w:rsidRPr="00B740B4">
        <w:t xml:space="preserve"> (306-73)</w:t>
      </w:r>
      <w:r w:rsidR="003F2F41" w:rsidRPr="00B740B4">
        <w:t>.</w:t>
      </w:r>
      <w:r w:rsidR="001402E3" w:rsidRPr="00B740B4">
        <w:rPr>
          <w:rStyle w:val="FootnoteReference"/>
        </w:rPr>
        <w:footnoteReference w:id="116"/>
      </w:r>
      <w:r w:rsidR="001402E3" w:rsidRPr="00B740B4">
        <w:t xml:space="preserve"> </w:t>
      </w:r>
      <w:r w:rsidR="00412193">
        <w:t>They encourage their readers to trust in God in the context of subjection to the Persians.</w:t>
      </w:r>
      <w:r w:rsidR="001B0FC6" w:rsidRPr="00B740B4">
        <w:t xml:space="preserve"> </w:t>
      </w:r>
      <w:r w:rsidR="00412193">
        <w:t>”T</w:t>
      </w:r>
      <w:r w:rsidR="009C01C5" w:rsidRPr="00B740B4">
        <w:t>h</w:t>
      </w:r>
      <w:r w:rsidR="001B0FC6" w:rsidRPr="00B740B4">
        <w:t>e succession of kingdoms in Daniel enjoyed divine sanction and the fourth kingdom, Rome, woul</w:t>
      </w:r>
      <w:r w:rsidR="009C01C5" w:rsidRPr="00B740B4">
        <w:t>d endure until Christ</w:t>
      </w:r>
      <w:r w:rsidR="001B0FC6" w:rsidRPr="00B740B4">
        <w:t xml:space="preserve">’s second </w:t>
      </w:r>
      <w:r w:rsidR="009C01C5" w:rsidRPr="00B740B4">
        <w:t>coming,</w:t>
      </w:r>
      <w:r w:rsidR="001B0FC6" w:rsidRPr="00B740B4">
        <w:t xml:space="preserve">” </w:t>
      </w:r>
      <w:r w:rsidR="00412193">
        <w:t xml:space="preserve">so </w:t>
      </w:r>
      <w:r w:rsidR="001B0FC6" w:rsidRPr="00B740B4">
        <w:t>Aphrahat’s audience “had nothing to fear from their Persian rulers.”</w:t>
      </w:r>
      <w:r w:rsidR="001B0FC6" w:rsidRPr="00B740B4">
        <w:rPr>
          <w:vertAlign w:val="superscript"/>
        </w:rPr>
        <w:footnoteReference w:id="117"/>
      </w:r>
      <w:r w:rsidR="001B0FC6" w:rsidRPr="00B740B4">
        <w:t xml:space="preserve"> </w:t>
      </w:r>
      <w:r w:rsidR="009C01C5" w:rsidRPr="00B740B4">
        <w:t>Aphrahat’</w:t>
      </w:r>
      <w:r w:rsidR="001B0FC6" w:rsidRPr="00B740B4">
        <w:t>s i</w:t>
      </w:r>
      <w:r w:rsidR="00412193">
        <w:t xml:space="preserve">nterpretation thus parallels that of Jerome, who </w:t>
      </w:r>
      <w:r w:rsidR="001B0FC6" w:rsidRPr="00B740B4">
        <w:t>encourage</w:t>
      </w:r>
      <w:r w:rsidR="00412193">
        <w:t>d</w:t>
      </w:r>
      <w:r w:rsidR="001B0FC6" w:rsidRPr="00B740B4">
        <w:t xml:space="preserve"> his readers that the continuing Roman empire undergirded the world order.</w:t>
      </w:r>
      <w:r w:rsidR="001B0FC6" w:rsidRPr="00B740B4">
        <w:rPr>
          <w:vertAlign w:val="superscript"/>
        </w:rPr>
        <w:footnoteReference w:id="118"/>
      </w:r>
      <w:r w:rsidR="009C01C5" w:rsidRPr="00B740B4">
        <w:t xml:space="preserve"> </w:t>
      </w:r>
      <w:r w:rsidR="001B0FC6" w:rsidRPr="00B740B4">
        <w:t xml:space="preserve">Syriac study of Daniel 4 </w:t>
      </w:r>
      <w:r w:rsidR="009C01C5" w:rsidRPr="00B740B4">
        <w:t xml:space="preserve">also </w:t>
      </w:r>
      <w:r w:rsidR="001B0FC6" w:rsidRPr="00B740B4">
        <w:t>contributed to the development of desert spirituality.</w:t>
      </w:r>
      <w:r w:rsidR="001B0FC6" w:rsidRPr="00B740B4">
        <w:rPr>
          <w:vertAlign w:val="superscript"/>
        </w:rPr>
        <w:footnoteReference w:id="119"/>
      </w:r>
      <w:r w:rsidR="00CD694C">
        <w:t xml:space="preserve"> </w:t>
      </w:r>
    </w:p>
    <w:p w:rsidR="001B0FC6" w:rsidRPr="00B740B4" w:rsidRDefault="001402E3" w:rsidP="001B0FC6">
      <w:r w:rsidRPr="00B740B4">
        <w:t xml:space="preserve">From the fifth </w:t>
      </w:r>
      <w:r w:rsidR="00292FAA" w:rsidRPr="00B740B4">
        <w:t>century we know of</w:t>
      </w:r>
      <w:r w:rsidRPr="00B740B4">
        <w:t xml:space="preserve"> two </w:t>
      </w:r>
      <w:r w:rsidR="006178DA" w:rsidRPr="00B740B4">
        <w:t>Greek commentaries</w:t>
      </w:r>
      <w:r w:rsidRPr="00B740B4">
        <w:t>, a fragmentary work by Polychronius</w:t>
      </w:r>
      <w:r w:rsidR="006178DA" w:rsidRPr="00B740B4">
        <w:t xml:space="preserve"> (who died in 430)</w:t>
      </w:r>
      <w:r w:rsidRPr="00B740B4">
        <w:t xml:space="preserve"> and </w:t>
      </w:r>
      <w:r w:rsidR="006178DA" w:rsidRPr="00B740B4">
        <w:t xml:space="preserve">a </w:t>
      </w:r>
      <w:r w:rsidRPr="00B740B4">
        <w:t>commentary by Theodoret (3</w:t>
      </w:r>
      <w:r w:rsidR="006178DA" w:rsidRPr="00B740B4">
        <w:t>93–457) which takes a a historical and exegetical approach</w:t>
      </w:r>
      <w:r w:rsidRPr="00B740B4">
        <w:t xml:space="preserve">, though </w:t>
      </w:r>
      <w:r w:rsidR="006178DA" w:rsidRPr="00B740B4">
        <w:t>Theodoret</w:t>
      </w:r>
      <w:r w:rsidR="00457D4B" w:rsidRPr="00B740B4">
        <w:t xml:space="preserve"> emphasizes</w:t>
      </w:r>
      <w:r w:rsidR="006178DA" w:rsidRPr="00B740B4">
        <w:t xml:space="preserve"> in his</w:t>
      </w:r>
      <w:r w:rsidRPr="00B740B4">
        <w:t xml:space="preserve"> preface that Daniel belongs among the prophets (of Jesus) rather than among the Writings.</w:t>
      </w:r>
      <w:r w:rsidRPr="00B740B4">
        <w:rPr>
          <w:rStyle w:val="FootnoteReference"/>
        </w:rPr>
        <w:footnoteReference w:id="120"/>
      </w:r>
      <w:r w:rsidR="006178DA" w:rsidRPr="00B740B4">
        <w:t xml:space="preserve"> LikeJerome</w:t>
      </w:r>
      <w:r w:rsidR="009C01C5" w:rsidRPr="00B740B4">
        <w:t>,</w:t>
      </w:r>
      <w:r w:rsidR="006178DA" w:rsidRPr="00B740B4">
        <w:t xml:space="preserve"> Theodoret</w:t>
      </w:r>
      <w:r w:rsidR="006778F7" w:rsidRPr="00B740B4">
        <w:t xml:space="preserve"> comments that Daniel predicts Jesus more clearly than </w:t>
      </w:r>
      <w:r w:rsidR="00A21843" w:rsidRPr="00B740B4">
        <w:t>any other prophet, and even prov</w:t>
      </w:r>
      <w:r w:rsidR="009C01C5" w:rsidRPr="00B740B4">
        <w:t>ides the date of his coming,</w:t>
      </w:r>
      <w:r w:rsidR="006778F7" w:rsidRPr="00B740B4">
        <w:rPr>
          <w:rStyle w:val="FootnoteReference"/>
        </w:rPr>
        <w:footnoteReference w:id="121"/>
      </w:r>
      <w:r w:rsidR="009C01C5" w:rsidRPr="00B740B4">
        <w:t xml:space="preserve"> though </w:t>
      </w:r>
      <w:r w:rsidR="005A1964">
        <w:t xml:space="preserve">this </w:t>
      </w:r>
      <w:r w:rsidR="009C01C5" w:rsidRPr="00B740B4">
        <w:t>understanding of the seventy weeks is but one of a</w:t>
      </w:r>
      <w:r w:rsidR="001B0FC6" w:rsidRPr="00B740B4">
        <w:rPr>
          <w:rFonts w:eastAsiaTheme="minorHAnsi" w:cs="Garamond"/>
        </w:rPr>
        <w:t xml:space="preserve"> variety of ways of</w:t>
      </w:r>
      <w:r w:rsidR="009C01C5" w:rsidRPr="00B740B4">
        <w:rPr>
          <w:rFonts w:eastAsiaTheme="minorHAnsi" w:cs="Garamond"/>
        </w:rPr>
        <w:t xml:space="preserve"> understanding them</w:t>
      </w:r>
      <w:r w:rsidR="001B0FC6" w:rsidRPr="00B740B4">
        <w:rPr>
          <w:rFonts w:eastAsiaTheme="minorHAnsi" w:cs="Garamond"/>
        </w:rPr>
        <w:t>.</w:t>
      </w:r>
      <w:r w:rsidR="001B0FC6" w:rsidRPr="00B740B4">
        <w:rPr>
          <w:rStyle w:val="FootnoteReference"/>
          <w:rFonts w:eastAsiaTheme="minorHAnsi" w:cs="Garamond"/>
        </w:rPr>
        <w:footnoteReference w:id="122"/>
      </w:r>
    </w:p>
    <w:p w:rsidR="00514A19" w:rsidRPr="00B740B4" w:rsidRDefault="00B61572" w:rsidP="009479B1">
      <w:pPr>
        <w:pStyle w:val="Heading2"/>
      </w:pPr>
      <w:r w:rsidRPr="00B740B4">
        <w:lastRenderedPageBreak/>
        <w:t xml:space="preserve">Daniel </w:t>
      </w:r>
      <w:r w:rsidR="009F17D5" w:rsidRPr="00B740B4">
        <w:t xml:space="preserve">in the </w:t>
      </w:r>
      <w:r w:rsidRPr="00B740B4">
        <w:t xml:space="preserve">Medieval Period </w:t>
      </w:r>
      <w:r w:rsidR="009F17D5" w:rsidRPr="00B740B4">
        <w:t>500-1400</w:t>
      </w:r>
    </w:p>
    <w:p w:rsidR="00620066" w:rsidRPr="00B740B4" w:rsidRDefault="001B2642" w:rsidP="00B61572">
      <w:r w:rsidRPr="00B740B4">
        <w:t xml:space="preserve">There are a number of </w:t>
      </w:r>
      <w:r w:rsidR="00C3287E" w:rsidRPr="00B740B4">
        <w:t xml:space="preserve">early </w:t>
      </w:r>
      <w:r w:rsidRPr="00B740B4">
        <w:t xml:space="preserve">medieval works </w:t>
      </w:r>
      <w:r w:rsidR="004D0F3F" w:rsidRPr="00B740B4">
        <w:t>associated with the name Daniel.</w:t>
      </w:r>
      <w:r w:rsidR="004F42CD" w:rsidRPr="00B740B4">
        <w:rPr>
          <w:rStyle w:val="FootnoteReference"/>
        </w:rPr>
        <w:footnoteReference w:id="123"/>
      </w:r>
      <w:r w:rsidRPr="00B740B4">
        <w:t xml:space="preserve"> </w:t>
      </w:r>
      <w:r w:rsidR="00C3287E" w:rsidRPr="00B740B4">
        <w:t>The sixth-century Byzantine hymnwriter Romanos wrote a kontakion, a kind of poetic homily with musical accomp</w:t>
      </w:r>
      <w:r w:rsidR="005A1964">
        <w:t>iment, about the story in Dan</w:t>
      </w:r>
      <w:r w:rsidR="00C3287E" w:rsidRPr="00B740B4">
        <w:t xml:space="preserve"> 3 which was the subject of something like a liturgical drama which took place in Advent.</w:t>
      </w:r>
      <w:r w:rsidR="00C3287E" w:rsidRPr="00B740B4">
        <w:rPr>
          <w:vertAlign w:val="superscript"/>
        </w:rPr>
        <w:footnoteReference w:id="124"/>
      </w:r>
      <w:r w:rsidR="001C41CB" w:rsidRPr="00B740B4">
        <w:t xml:space="preserve"> </w:t>
      </w:r>
      <w:r w:rsidR="004D0F3F" w:rsidRPr="00B740B4">
        <w:t xml:space="preserve">The </w:t>
      </w:r>
      <w:r w:rsidRPr="00B740B4">
        <w:t xml:space="preserve">Greek </w:t>
      </w:r>
      <w:r w:rsidRPr="00B740B4">
        <w:rPr>
          <w:i/>
        </w:rPr>
        <w:t>Last Vision of Daniel</w:t>
      </w:r>
      <w:r w:rsidR="00FF6EE9" w:rsidRPr="00B740B4">
        <w:t>,</w:t>
      </w:r>
      <w:r w:rsidRPr="00B740B4">
        <w:t xml:space="preserve"> </w:t>
      </w:r>
      <w:r w:rsidR="00FF6EE9" w:rsidRPr="00B740B4">
        <w:t xml:space="preserve">the </w:t>
      </w:r>
      <w:r w:rsidR="004D0F3F" w:rsidRPr="00B740B4">
        <w:t xml:space="preserve">Syriac </w:t>
      </w:r>
      <w:r w:rsidR="0061505A" w:rsidRPr="00B740B4">
        <w:rPr>
          <w:i/>
        </w:rPr>
        <w:t>Young Daniel a</w:t>
      </w:r>
      <w:r w:rsidR="004D0F3F" w:rsidRPr="00B740B4">
        <w:t>pocalypse</w:t>
      </w:r>
      <w:r w:rsidR="0061505A" w:rsidRPr="00B740B4">
        <w:t xml:space="preserve">, </w:t>
      </w:r>
      <w:r w:rsidR="004D0F3F" w:rsidRPr="00B740B4">
        <w:t xml:space="preserve">and </w:t>
      </w:r>
      <w:r w:rsidR="00292FAA" w:rsidRPr="00B740B4">
        <w:t xml:space="preserve">the </w:t>
      </w:r>
      <w:r w:rsidR="004D0F3F" w:rsidRPr="00B740B4">
        <w:t xml:space="preserve">related </w:t>
      </w:r>
      <w:r w:rsidR="00292FAA" w:rsidRPr="00B740B4">
        <w:t xml:space="preserve">Syriac </w:t>
      </w:r>
      <w:r w:rsidR="004D0F3F" w:rsidRPr="00B740B4">
        <w:rPr>
          <w:i/>
        </w:rPr>
        <w:t>Apocalypse of Daniel</w:t>
      </w:r>
      <w:r w:rsidR="00292FAA" w:rsidRPr="00B740B4">
        <w:rPr>
          <w:rStyle w:val="FootnoteReference"/>
        </w:rPr>
        <w:footnoteReference w:id="125"/>
      </w:r>
      <w:r w:rsidR="00292FAA" w:rsidRPr="00B740B4">
        <w:t xml:space="preserve"> </w:t>
      </w:r>
      <w:r w:rsidR="004D0F3F" w:rsidRPr="00B740B4">
        <w:t>may all come from the seventh century;</w:t>
      </w:r>
      <w:r w:rsidRPr="00B740B4">
        <w:t xml:space="preserve"> the ninth-century Greek </w:t>
      </w:r>
      <w:r w:rsidRPr="00B740B4">
        <w:rPr>
          <w:i/>
        </w:rPr>
        <w:t>Apocalypse of Daniel</w:t>
      </w:r>
      <w:r w:rsidR="004D0F3F" w:rsidRPr="00B740B4">
        <w:rPr>
          <w:i/>
        </w:rPr>
        <w:t xml:space="preserve"> </w:t>
      </w:r>
      <w:r w:rsidR="008461D5" w:rsidRPr="00B740B4">
        <w:rPr>
          <w:rStyle w:val="FootnoteReference"/>
        </w:rPr>
        <w:footnoteReference w:id="126"/>
      </w:r>
      <w:r w:rsidRPr="00B740B4">
        <w:t xml:space="preserve"> </w:t>
      </w:r>
      <w:r w:rsidR="00B61572" w:rsidRPr="00B740B4">
        <w:t xml:space="preserve">is </w:t>
      </w:r>
      <w:r w:rsidR="00CD7A25">
        <w:t>a quasi-prediction</w:t>
      </w:r>
      <w:r w:rsidRPr="00B740B4">
        <w:t xml:space="preserve"> of eighth-century wars followed by </w:t>
      </w:r>
      <w:r w:rsidR="009C01C5" w:rsidRPr="00B740B4">
        <w:t xml:space="preserve">an </w:t>
      </w:r>
      <w:r w:rsidRPr="00B740B4">
        <w:t xml:space="preserve">actual prophecy of </w:t>
      </w:r>
      <w:r w:rsidR="000F328B">
        <w:t xml:space="preserve">the </w:t>
      </w:r>
      <w:r w:rsidRPr="00B740B4">
        <w:t>Antichrist and of Christ’s appearing at the End. The assumption</w:t>
      </w:r>
      <w:r w:rsidR="005A1964">
        <w:t xml:space="preserve"> that the fourth empire is Greece</w:t>
      </w:r>
      <w:r w:rsidRPr="00B740B4">
        <w:t xml:space="preserve"> and the small horn Antiochus is still alive in the Syrian tradition in glosses to the Syriac translation of Daniel that identify the small horn as Antiochus; the glosses perhaps belong to the sixth century</w:t>
      </w:r>
      <w:r w:rsidR="004F42CD" w:rsidRPr="00B740B4">
        <w:t>.</w:t>
      </w:r>
      <w:r w:rsidR="004F42CD" w:rsidRPr="00B740B4">
        <w:rPr>
          <w:rStyle w:val="FootnoteReference"/>
        </w:rPr>
        <w:footnoteReference w:id="127"/>
      </w:r>
      <w:r w:rsidRPr="00B740B4">
        <w:t xml:space="preserve"> But the usual view is that the empires extend into the writers’ period, so that Daniel’s four-empire scheme provides the framework for understanding world history throughout the medieval period—and beyond, until the view that the empires belonged to the second temple came to predominate and a basis for struct</w:t>
      </w:r>
      <w:r w:rsidR="004F42CD" w:rsidRPr="00B740B4">
        <w:t>uring world history disappeared.</w:t>
      </w:r>
      <w:r w:rsidR="004F42CD" w:rsidRPr="00B740B4">
        <w:rPr>
          <w:rStyle w:val="FootnoteReference"/>
        </w:rPr>
        <w:footnoteReference w:id="128"/>
      </w:r>
      <w:r w:rsidR="00B61572" w:rsidRPr="00B740B4">
        <w:t xml:space="preserve"> </w:t>
      </w:r>
      <w:r w:rsidR="00C3287E" w:rsidRPr="00B740B4">
        <w:t>The Syriac tradition thus updates Daniel’s four-empire sche</w:t>
      </w:r>
      <w:r w:rsidR="001B0FC6" w:rsidRPr="00B740B4">
        <w:t>me</w:t>
      </w:r>
      <w:r w:rsidR="00C3287E" w:rsidRPr="00B740B4">
        <w:t xml:space="preserve"> to incorporate the Arab conquest.</w:t>
      </w:r>
      <w:r w:rsidR="00C3287E" w:rsidRPr="00B740B4">
        <w:rPr>
          <w:vertAlign w:val="superscript"/>
        </w:rPr>
        <w:footnoteReference w:id="129"/>
      </w:r>
      <w:r w:rsidR="00C04A2C" w:rsidRPr="00B740B4">
        <w:t xml:space="preserve"> </w:t>
      </w:r>
    </w:p>
    <w:p w:rsidR="00B61572" w:rsidRPr="00B740B4" w:rsidRDefault="00C3287E" w:rsidP="00B61572">
      <w:r w:rsidRPr="00B740B4">
        <w:t>Daniel does not appear in the Quran, but he features in Islamic tradition as an Israelite prophet who preached in Babylon urging peo</w:t>
      </w:r>
      <w:r w:rsidR="005A1964">
        <w:t xml:space="preserve">ple to turn back to God and </w:t>
      </w:r>
      <w:r w:rsidRPr="00B740B4">
        <w:t>spoke of the coming of Mohammed. Moslem traditions also have versions of the story of Daniel in the lions den and of the vision of the statue—and stories about his corpse and his signet ring.</w:t>
      </w:r>
      <w:r w:rsidRPr="00B740B4">
        <w:rPr>
          <w:vertAlign w:val="superscript"/>
        </w:rPr>
        <w:footnoteReference w:id="130"/>
      </w:r>
      <w:r w:rsidRPr="00B740B4">
        <w:t xml:space="preserve"> </w:t>
      </w:r>
    </w:p>
    <w:p w:rsidR="006908BB" w:rsidRPr="00B740B4" w:rsidRDefault="00C4398A" w:rsidP="006908BB">
      <w:r w:rsidRPr="00B740B4">
        <w:t xml:space="preserve">The Old English poem </w:t>
      </w:r>
      <w:r w:rsidRPr="00B740B4">
        <w:rPr>
          <w:i/>
        </w:rPr>
        <w:t>Daniel</w:t>
      </w:r>
      <w:r w:rsidRPr="00B740B4">
        <w:t xml:space="preserve"> is loosely ba</w:t>
      </w:r>
      <w:r w:rsidR="00B61572" w:rsidRPr="00B740B4">
        <w:t>s</w:t>
      </w:r>
      <w:r w:rsidRPr="00B740B4">
        <w:t>ed on the OT Daniel story (esp</w:t>
      </w:r>
      <w:r w:rsidR="000265D7" w:rsidRPr="00B740B4">
        <w:t>.</w:t>
      </w:r>
      <w:r w:rsidRPr="00B740B4">
        <w:t xml:space="preserve"> on chap. 3), turning its amphasis to a warning about pride</w:t>
      </w:r>
      <w:r w:rsidR="00576730" w:rsidRPr="00B740B4">
        <w:t xml:space="preserve">, and Daniel is </w:t>
      </w:r>
      <w:r w:rsidR="005C7708" w:rsidRPr="00B740B4">
        <w:t>an inspiration for other Old English works includi</w:t>
      </w:r>
      <w:r w:rsidR="005A1964">
        <w:t>ng the Canterbury Tales, and furth</w:t>
      </w:r>
      <w:r w:rsidR="005C7708" w:rsidRPr="00B740B4">
        <w:t>er European works in the period</w:t>
      </w:r>
      <w:r w:rsidRPr="00B740B4">
        <w:t>.</w:t>
      </w:r>
      <w:r w:rsidRPr="00B740B4">
        <w:rPr>
          <w:rStyle w:val="FootnoteReference"/>
        </w:rPr>
        <w:footnoteReference w:id="131"/>
      </w:r>
      <w:r w:rsidR="006908BB" w:rsidRPr="00B740B4">
        <w:t xml:space="preserve"> </w:t>
      </w:r>
      <w:r w:rsidR="00934A11" w:rsidRPr="00B740B4">
        <w:t>“</w:t>
      </w:r>
      <w:r w:rsidR="006908BB" w:rsidRPr="00B740B4">
        <w:t>The stories and characters from the book of Daniel were commonplace in the medieval imagination as the book’s literary imagery permeated the medieval European religion, art, and literature that formed the context for the E[nglish]W[ycliffite]S[</w:t>
      </w:r>
      <w:r w:rsidR="008569AF" w:rsidRPr="00B740B4">
        <w:t>ermo</w:t>
      </w:r>
      <w:r w:rsidR="006908BB" w:rsidRPr="00B740B4">
        <w:t>ns].</w:t>
      </w:r>
      <w:r w:rsidR="00934A11" w:rsidRPr="00B740B4">
        <w:t>”</w:t>
      </w:r>
      <w:r w:rsidR="006908BB" w:rsidRPr="00B740B4">
        <w:rPr>
          <w:vertAlign w:val="superscript"/>
        </w:rPr>
        <w:footnoteReference w:id="132"/>
      </w:r>
      <w:r w:rsidR="008569AF" w:rsidRPr="00B740B4">
        <w:t xml:space="preserve"> </w:t>
      </w:r>
      <w:r w:rsidR="00E27F7F" w:rsidRPr="00B740B4">
        <w:t xml:space="preserve">The twelfth- or  thirteenth- century “Play of Daniel” from France was revived and recorded in New York in the 1950s. </w:t>
      </w:r>
      <w:r w:rsidR="008569AF" w:rsidRPr="00B740B4">
        <w:t xml:space="preserve">In the thirteenth-century </w:t>
      </w:r>
      <w:r w:rsidR="00E964AA" w:rsidRPr="00B740B4">
        <w:t>sta</w:t>
      </w:r>
      <w:r w:rsidR="00E0055D" w:rsidRPr="00B740B4">
        <w:t xml:space="preserve">ined glass of Chartres </w:t>
      </w:r>
      <w:r w:rsidR="00E964AA" w:rsidRPr="00B740B4">
        <w:t>Cathedral, Daniel is one of the four prophets on whose shoulders the four authors of the Gospels stand.</w:t>
      </w:r>
      <w:r w:rsidR="005C3FC9" w:rsidRPr="00B740B4">
        <w:t xml:space="preserve"> </w:t>
      </w:r>
    </w:p>
    <w:p w:rsidR="009F17D5" w:rsidRPr="00B740B4" w:rsidRDefault="009F17D5" w:rsidP="009F17D5">
      <w:pPr>
        <w:rPr>
          <w:iCs/>
        </w:rPr>
      </w:pPr>
      <w:r w:rsidRPr="00B740B4">
        <w:lastRenderedPageBreak/>
        <w:t xml:space="preserve">The promise that </w:t>
      </w:r>
      <w:r w:rsidR="00934A11" w:rsidRPr="00B740B4">
        <w:t>“</w:t>
      </w:r>
      <w:r w:rsidRPr="00B740B4">
        <w:t>knowledge will be manifold</w:t>
      </w:r>
      <w:r w:rsidR="00934A11" w:rsidRPr="00B740B4">
        <w:t>”</w:t>
      </w:r>
      <w:r w:rsidR="00576730" w:rsidRPr="00B740B4">
        <w:t xml:space="preserve"> was key to justifying</w:t>
      </w:r>
      <w:r w:rsidRPr="00B740B4">
        <w:t xml:space="preserve"> the growth of theological and scientific knowledge and learning in the Middle Ages </w:t>
      </w:r>
      <w:r w:rsidR="00576730" w:rsidRPr="00B740B4">
        <w:t xml:space="preserve">and beyond, </w:t>
      </w:r>
      <w:r w:rsidRPr="00B740B4">
        <w:t>for scholars from Jerome and Gregory the Great to Francis Bacon and Isaac Newton.</w:t>
      </w:r>
      <w:r w:rsidRPr="00B740B4">
        <w:rPr>
          <w:vertAlign w:val="superscript"/>
        </w:rPr>
        <w:footnoteReference w:id="133"/>
      </w:r>
      <w:r w:rsidRPr="00B740B4">
        <w:t xml:space="preserve"> </w:t>
      </w:r>
      <w:r w:rsidR="00294FB8" w:rsidRPr="00B740B4">
        <w:t xml:space="preserve">As the Middle Ages gave way to the Renaissance, </w:t>
      </w:r>
      <w:r w:rsidR="005A1964">
        <w:t xml:space="preserve">the commentary by the Franciscan teacher </w:t>
      </w:r>
      <w:r w:rsidRPr="00B740B4">
        <w:t xml:space="preserve">Nicholas of Lyre in Normandy </w:t>
      </w:r>
      <w:r w:rsidR="00D36B15" w:rsidRPr="00B740B4">
        <w:t>(</w:t>
      </w:r>
      <w:r w:rsidRPr="00B740B4">
        <w:t>12</w:t>
      </w:r>
      <w:r w:rsidR="005A1964">
        <w:t>70-1349)</w:t>
      </w:r>
      <w:r w:rsidR="00576730" w:rsidRPr="00B740B4">
        <w:t xml:space="preserve"> </w:t>
      </w:r>
      <w:r w:rsidRPr="00B740B4">
        <w:t xml:space="preserve">became the first printed Bible commentary, </w:t>
      </w:r>
      <w:r w:rsidRPr="00B740B4">
        <w:rPr>
          <w:i/>
          <w:iCs/>
        </w:rPr>
        <w:t>Postillae perpetuae in universam S. Scripturam</w:t>
      </w:r>
      <w:r w:rsidRPr="00B740B4">
        <w:rPr>
          <w:iCs/>
        </w:rPr>
        <w:t>. He learned Hebrew and read rabbinic commentators such as Rashi, whose work he also mediated to later Christian commentators. He concerned himself both with a literal interpretation of the text’s meaning for people of its day and with a Christologi</w:t>
      </w:r>
      <w:r w:rsidR="00576730" w:rsidRPr="00B740B4">
        <w:rPr>
          <w:iCs/>
        </w:rPr>
        <w:t>cal interpretation. Other exegetes of his time</w:t>
      </w:r>
      <w:r w:rsidRPr="00B740B4">
        <w:rPr>
          <w:iCs/>
        </w:rPr>
        <w:t xml:space="preserve"> had inferred from Daniel 12 that </w:t>
      </w:r>
      <w:r w:rsidR="000F328B">
        <w:rPr>
          <w:iCs/>
        </w:rPr>
        <w:t xml:space="preserve">the </w:t>
      </w:r>
      <w:r w:rsidRPr="00B740B4">
        <w:rPr>
          <w:iCs/>
        </w:rPr>
        <w:t>Antichrist’s reign would begin around 136</w:t>
      </w:r>
      <w:r w:rsidR="00576730" w:rsidRPr="00B740B4">
        <w:rPr>
          <w:iCs/>
        </w:rPr>
        <w:t xml:space="preserve">5; he opposed such views. He </w:t>
      </w:r>
      <w:r w:rsidRPr="00B740B4">
        <w:rPr>
          <w:iCs/>
        </w:rPr>
        <w:t>relate</w:t>
      </w:r>
      <w:r w:rsidR="005A1964">
        <w:rPr>
          <w:iCs/>
        </w:rPr>
        <w:t>d</w:t>
      </w:r>
      <w:r w:rsidRPr="00B740B4">
        <w:rPr>
          <w:iCs/>
        </w:rPr>
        <w:t xml:space="preserve"> the vision in chap. 2 to Ch</w:t>
      </w:r>
      <w:r w:rsidR="00576730" w:rsidRPr="00B740B4">
        <w:rPr>
          <w:iCs/>
        </w:rPr>
        <w:t xml:space="preserve">rist’s first coming and </w:t>
      </w:r>
      <w:r w:rsidRPr="00B740B4">
        <w:rPr>
          <w:iCs/>
        </w:rPr>
        <w:t>the visions in chaps. 7—12 to his second coming on the basis of seeing them to have two literal senses, one referring to Antiochus and one (which we might call t</w:t>
      </w:r>
      <w:r w:rsidR="00576730" w:rsidRPr="00B740B4">
        <w:rPr>
          <w:iCs/>
        </w:rPr>
        <w:t>ypological) to the Antichrist. B</w:t>
      </w:r>
      <w:r w:rsidRPr="00B740B4">
        <w:rPr>
          <w:iCs/>
        </w:rPr>
        <w:t>ut he declines to connect them with particular dates.</w:t>
      </w:r>
      <w:r w:rsidRPr="00B740B4">
        <w:rPr>
          <w:iCs/>
          <w:vertAlign w:val="superscript"/>
        </w:rPr>
        <w:footnoteReference w:id="134"/>
      </w:r>
    </w:p>
    <w:p w:rsidR="00C04A2C" w:rsidRPr="00B740B4" w:rsidRDefault="00C04A2C" w:rsidP="009F17D5">
      <w:r w:rsidRPr="00B740B4">
        <w:rPr>
          <w:iCs/>
        </w:rPr>
        <w:t>Meanwhile, in 1096 an offshoot of the Crusades was the first pogroms against the Jewish communites of the Rhineland, and Jewish writers of the period take Daniel a</w:t>
      </w:r>
      <w:r w:rsidR="005A1964">
        <w:rPr>
          <w:iCs/>
        </w:rPr>
        <w:t xml:space="preserve">nd his friends as models for a portrayal of </w:t>
      </w:r>
      <w:r w:rsidRPr="00B740B4">
        <w:rPr>
          <w:iCs/>
        </w:rPr>
        <w:t>Jewish martyrs.</w:t>
      </w:r>
      <w:r w:rsidRPr="00B740B4">
        <w:rPr>
          <w:rStyle w:val="FootnoteReference"/>
          <w:iCs/>
        </w:rPr>
        <w:footnoteReference w:id="135"/>
      </w:r>
      <w:r w:rsidR="00BB3911" w:rsidRPr="00B740B4">
        <w:rPr>
          <w:iCs/>
        </w:rPr>
        <w:t xml:space="preserve"> Daniel </w:t>
      </w:r>
      <w:r w:rsidR="00DA41D8" w:rsidRPr="00B740B4">
        <w:rPr>
          <w:iCs/>
        </w:rPr>
        <w:t xml:space="preserve">thus </w:t>
      </w:r>
      <w:r w:rsidR="00BB3911" w:rsidRPr="00B740B4">
        <w:rPr>
          <w:iCs/>
        </w:rPr>
        <w:t>continues to be important for Jews challenged to live faithfully in a hostil</w:t>
      </w:r>
      <w:r w:rsidR="00DA41D8" w:rsidRPr="00B740B4">
        <w:rPr>
          <w:iCs/>
        </w:rPr>
        <w:t>e</w:t>
      </w:r>
      <w:r w:rsidR="00BB3911" w:rsidRPr="00B740B4">
        <w:rPr>
          <w:iCs/>
        </w:rPr>
        <w:t xml:space="preserve"> world</w:t>
      </w:r>
      <w:r w:rsidR="00AF6049" w:rsidRPr="00B740B4">
        <w:rPr>
          <w:iCs/>
        </w:rPr>
        <w:t xml:space="preserve">, </w:t>
      </w:r>
      <w:r w:rsidR="001D331F">
        <w:rPr>
          <w:iCs/>
        </w:rPr>
        <w:t xml:space="preserve">inboth its stories and </w:t>
      </w:r>
      <w:r w:rsidR="00AF6049" w:rsidRPr="00B740B4">
        <w:rPr>
          <w:iCs/>
        </w:rPr>
        <w:t>its vision</w:t>
      </w:r>
      <w:r w:rsidR="00DA41D8" w:rsidRPr="00B740B4">
        <w:rPr>
          <w:iCs/>
        </w:rPr>
        <w:t>s</w:t>
      </w:r>
      <w:r w:rsidR="00BB3911" w:rsidRPr="00B740B4">
        <w:rPr>
          <w:iCs/>
        </w:rPr>
        <w:t>.</w:t>
      </w:r>
      <w:r w:rsidR="00BB3911" w:rsidRPr="00B740B4">
        <w:rPr>
          <w:rStyle w:val="FootnoteReference"/>
          <w:iCs/>
        </w:rPr>
        <w:footnoteReference w:id="136"/>
      </w:r>
    </w:p>
    <w:p w:rsidR="00EB64C1" w:rsidRPr="00B740B4" w:rsidRDefault="00EB64C1" w:rsidP="009479B1">
      <w:pPr>
        <w:pStyle w:val="Heading2"/>
      </w:pPr>
      <w:r w:rsidRPr="00B740B4">
        <w:t xml:space="preserve">The Masoretes </w:t>
      </w:r>
    </w:p>
    <w:p w:rsidR="001D331F" w:rsidRDefault="00EB64C1" w:rsidP="001B2642">
      <w:r w:rsidRPr="00B740B4">
        <w:t>T</w:t>
      </w:r>
      <w:r w:rsidR="001B2642" w:rsidRPr="00B740B4">
        <w:t>o the Jewish scholar</w:t>
      </w:r>
      <w:r w:rsidR="00514A19" w:rsidRPr="00B740B4">
        <w:t>ship of the first millennium</w:t>
      </w:r>
      <w:r w:rsidR="001B2642" w:rsidRPr="00B740B4">
        <w:t xml:space="preserve"> we owe the preservation and standardization of the Hebrew Bible</w:t>
      </w:r>
      <w:r w:rsidR="00BD560C" w:rsidRPr="00B740B4">
        <w:t>—</w:t>
      </w:r>
      <w:r w:rsidR="001B2642" w:rsidRPr="00B740B4">
        <w:t xml:space="preserve">the consonantal text over the first five centuries, the pointing over the succeeding five. Generally this scribal work was concerned to preserve one standard text of the Bible, but a distinctive feature with regard to Daniel is the number of alternative readings retained. These </w:t>
      </w:r>
      <w:r w:rsidR="00BD1B0A" w:rsidRPr="00B740B4">
        <w:t xml:space="preserve">alternative readings </w:t>
      </w:r>
      <w:r w:rsidR="001B2642" w:rsidRPr="00B740B4">
        <w:t xml:space="preserve">appear in the margins of extant manuscripts as the masora (tradition), and </w:t>
      </w:r>
      <w:r w:rsidR="00BD560C" w:rsidRPr="00B740B4">
        <w:t xml:space="preserve">they </w:t>
      </w:r>
      <w:r w:rsidR="001B2642" w:rsidRPr="00B740B4">
        <w:t>are reproduced in BHS: almost any verse, at least in the Aramaic chapters, provides examples. Some represent expansions or abbreviations of the text; most are matters of spelling, pronunciation, a</w:t>
      </w:r>
      <w:r w:rsidR="00BD1B0A" w:rsidRPr="00B740B4">
        <w:t>nd morphology, though even they</w:t>
      </w:r>
      <w:r w:rsidR="001B2642" w:rsidRPr="00B740B4">
        <w:t xml:space="preserve"> reflect an instinct to keep th</w:t>
      </w:r>
      <w:r w:rsidR="004F42CD" w:rsidRPr="00B740B4">
        <w:t>e text up-to-date and readable</w:t>
      </w:r>
      <w:r w:rsidR="001B2642" w:rsidRPr="00B740B4">
        <w:t>.</w:t>
      </w:r>
      <w:r w:rsidR="004F42CD" w:rsidRPr="00B740B4">
        <w:rPr>
          <w:rStyle w:val="FootnoteReference"/>
        </w:rPr>
        <w:footnoteReference w:id="137"/>
      </w:r>
      <w:r w:rsidR="001D331F">
        <w:t xml:space="preserve"> This instinct may</w:t>
      </w:r>
      <w:r w:rsidR="001B2642" w:rsidRPr="00B740B4">
        <w:t xml:space="preserve"> also have affected matters of more substance in the text, for example, in the incorporation of explanatory glosses. </w:t>
      </w:r>
      <w:r w:rsidR="001D331F">
        <w:t>An independent</w:t>
      </w:r>
      <w:r w:rsidR="001B2642" w:rsidRPr="00B740B4">
        <w:t xml:space="preserve"> manuscript of Daniel from about the seventh century </w:t>
      </w:r>
      <w:r w:rsidR="001D331F">
        <w:t xml:space="preserve">was </w:t>
      </w:r>
      <w:r w:rsidR="001B2642" w:rsidRPr="00B740B4">
        <w:t>among those found in the geniza of</w:t>
      </w:r>
      <w:r w:rsidR="001D331F">
        <w:t xml:space="preserve"> a Cairo synagogue. </w:t>
      </w:r>
    </w:p>
    <w:p w:rsidR="001B2642" w:rsidRPr="00B740B4" w:rsidRDefault="001D331F" w:rsidP="001B2642">
      <w:r>
        <w:t>T</w:t>
      </w:r>
      <w:r w:rsidR="00BD1B0A" w:rsidRPr="00B740B4">
        <w:t xml:space="preserve">he </w:t>
      </w:r>
      <w:r w:rsidR="001B2642" w:rsidRPr="00B740B4">
        <w:t>Masoretes</w:t>
      </w:r>
      <w:r w:rsidR="00BD1B0A" w:rsidRPr="00B740B4">
        <w:t>’ activity</w:t>
      </w:r>
      <w:r w:rsidR="001B2642" w:rsidRPr="00B740B4">
        <w:t xml:space="preserve"> came to a climax with the w</w:t>
      </w:r>
      <w:r w:rsidR="00BD1B0A" w:rsidRPr="00B740B4">
        <w:t>ork of the ben Asher family. This tradition’s</w:t>
      </w:r>
      <w:r w:rsidR="001B2642" w:rsidRPr="00B740B4">
        <w:t xml:space="preserve"> oldes</w:t>
      </w:r>
      <w:r>
        <w:t>t manuscript containing</w:t>
      </w:r>
      <w:r w:rsidR="001B2642" w:rsidRPr="00B740B4">
        <w:t xml:space="preserve"> Daniel is the Aleppo codex</w:t>
      </w:r>
      <w:r w:rsidR="00392504" w:rsidRPr="00B740B4">
        <w:t xml:space="preserve"> (A, long kept in the Aleppo synagogue), copied about 930.</w:t>
      </w:r>
      <w:r w:rsidR="001B2642" w:rsidRPr="00B740B4">
        <w:t xml:space="preserve"> BHS</w:t>
      </w:r>
      <w:r w:rsidR="00C82998" w:rsidRPr="00B740B4">
        <w:t xml:space="preserve"> is</w:t>
      </w:r>
      <w:r w:rsidR="001B2642" w:rsidRPr="00B740B4">
        <w:t xml:space="preserve"> based on the oldest complete Hebrew Bible, the Leningrad codex (L, located in the Leningrad Library</w:t>
      </w:r>
      <w:r w:rsidR="00392504" w:rsidRPr="00B740B4">
        <w:t xml:space="preserve"> and entitled B 19A),</w:t>
      </w:r>
      <w:r w:rsidR="001B2642" w:rsidRPr="00B740B4">
        <w:t xml:space="preserve"> </w:t>
      </w:r>
      <w:r w:rsidR="00392504" w:rsidRPr="00B740B4">
        <w:t>copied in 1008/9</w:t>
      </w:r>
      <w:r w:rsidR="001B2642" w:rsidRPr="00B740B4">
        <w:t>.</w:t>
      </w:r>
      <w:r>
        <w:t xml:space="preserve"> This version of Daniel </w:t>
      </w:r>
      <w:r w:rsidR="0030039C" w:rsidRPr="00B740B4">
        <w:t>the one translated in this commentary unless otherwise noted.</w:t>
      </w:r>
      <w:r w:rsidR="00C82998" w:rsidRPr="00B740B4">
        <w:t xml:space="preserve"> As a result of the work of the Masoretes almost all other Hebrew manuscripts disappeared</w:t>
      </w:r>
      <w:r w:rsidR="00774821" w:rsidRPr="00B740B4">
        <w:t>. T</w:t>
      </w:r>
      <w:r w:rsidR="00C82998" w:rsidRPr="00B740B4">
        <w:t>he other manuscripts to which BHS refers are t</w:t>
      </w:r>
      <w:r w:rsidR="00774821" w:rsidRPr="00B740B4">
        <w:t xml:space="preserve">hus ultimately offsprings of MT, and where they vary from MT, such variants have </w:t>
      </w:r>
      <w:r w:rsidR="00392504" w:rsidRPr="00B740B4">
        <w:t xml:space="preserve">likely </w:t>
      </w:r>
      <w:r w:rsidR="00774821" w:rsidRPr="00B740B4">
        <w:t>come int</w:t>
      </w:r>
      <w:r>
        <w:t xml:space="preserve">o the text at this later stage and I thus </w:t>
      </w:r>
      <w:r w:rsidR="00774821" w:rsidRPr="00B740B4">
        <w:t xml:space="preserve">refer to them as </w:t>
      </w:r>
      <w:r w:rsidR="00934A11" w:rsidRPr="00B740B4">
        <w:t>“</w:t>
      </w:r>
      <w:r w:rsidR="00157849" w:rsidRPr="00B740B4">
        <w:t>medieval</w:t>
      </w:r>
      <w:r w:rsidR="00774821" w:rsidRPr="00B740B4">
        <w:t xml:space="preserve"> mss</w:t>
      </w:r>
      <w:r w:rsidR="00934A11" w:rsidRPr="00B740B4">
        <w:t>”</w:t>
      </w:r>
      <w:r w:rsidR="00774821" w:rsidRPr="00B740B4">
        <w:t>; they do not witness to a tradition older than MT.</w:t>
      </w:r>
      <w:r w:rsidR="008F7F56">
        <w:rPr>
          <w:rStyle w:val="FootnoteReference"/>
        </w:rPr>
        <w:footnoteReference w:id="138"/>
      </w:r>
    </w:p>
    <w:p w:rsidR="001B2642" w:rsidRPr="00B740B4" w:rsidRDefault="001B2642" w:rsidP="001B2642">
      <w:r w:rsidRPr="00B740B4">
        <w:t xml:space="preserve">The textual work of the medieval period was complemented by </w:t>
      </w:r>
      <w:r w:rsidR="00BD560C" w:rsidRPr="00B740B4">
        <w:t xml:space="preserve">the </w:t>
      </w:r>
      <w:r w:rsidRPr="00B740B4">
        <w:t>systematic production of Hebrew grammars, dictionaries, and commentaries, designed to facilitate access t</w:t>
      </w:r>
      <w:r w:rsidR="00392504" w:rsidRPr="00B740B4">
        <w:t xml:space="preserve">o the text’s original </w:t>
      </w:r>
      <w:r w:rsidR="00392504" w:rsidRPr="00B740B4">
        <w:lastRenderedPageBreak/>
        <w:t>meaning. A</w:t>
      </w:r>
      <w:r w:rsidRPr="00B740B4">
        <w:t xml:space="preserve"> key figure is Saadia Gaon in Babylon (872–942), whose works included a translation of Daniel into Arabic, the everyday language there, and a commentary on the book. It was another period of esch</w:t>
      </w:r>
      <w:r w:rsidR="001D331F">
        <w:t>atological expectation, which</w:t>
      </w:r>
      <w:r w:rsidRPr="00B740B4">
        <w:t xml:space="preserve"> is one aspect of the background to the writing of a number of commentaries on Daniel. There were </w:t>
      </w:r>
      <w:r w:rsidR="008648C9">
        <w:t xml:space="preserve">also </w:t>
      </w:r>
      <w:r w:rsidRPr="00B740B4">
        <w:t>apparently a number by Karaite authors, of wh</w:t>
      </w:r>
      <w:r w:rsidR="007F401B">
        <w:t>ich the most famous is that of Y</w:t>
      </w:r>
      <w:r w:rsidRPr="00B740B4">
        <w:t>ephet ibn Ali (c</w:t>
      </w:r>
      <w:r w:rsidR="00392504" w:rsidRPr="00B740B4">
        <w:t>.</w:t>
      </w:r>
      <w:r w:rsidRPr="00B740B4">
        <w:t xml:space="preserve"> 1000) in Arabic. The Kara</w:t>
      </w:r>
      <w:r w:rsidR="004F2AA3">
        <w:t>ites stressed the authority of the s</w:t>
      </w:r>
      <w:r w:rsidRPr="00B740B4">
        <w:t>cripture</w:t>
      </w:r>
      <w:r w:rsidR="004F2AA3">
        <w:t>s</w:t>
      </w:r>
      <w:r w:rsidRPr="00B740B4">
        <w:t xml:space="preserve"> alone, questioned the authority of midrashic traditions, and sought to be rigorously literal</w:t>
      </w:r>
      <w:r w:rsidR="007F401B">
        <w:t xml:space="preserve"> in their interpretation. Thus Y</w:t>
      </w:r>
      <w:r w:rsidRPr="00B740B4">
        <w:t xml:space="preserve">ephet insisted against Saadia that </w:t>
      </w:r>
      <w:r w:rsidR="00934A11" w:rsidRPr="00B740B4">
        <w:t>“</w:t>
      </w:r>
      <w:r w:rsidRPr="00B740B4">
        <w:t>days</w:t>
      </w:r>
      <w:r w:rsidR="00934A11" w:rsidRPr="00B740B4">
        <w:t>”</w:t>
      </w:r>
      <w:r w:rsidRPr="00B740B4">
        <w:t xml:space="preserve"> in Daniel means </w:t>
      </w:r>
      <w:r w:rsidR="00934A11" w:rsidRPr="00B740B4">
        <w:t>“</w:t>
      </w:r>
      <w:r w:rsidRPr="00B740B4">
        <w:t>days</w:t>
      </w:r>
      <w:r w:rsidR="00934A11" w:rsidRPr="00B740B4">
        <w:t>”</w:t>
      </w:r>
      <w:r w:rsidRPr="00B740B4">
        <w:t xml:space="preserve"> and should not be taken to mean </w:t>
      </w:r>
      <w:r w:rsidR="00934A11" w:rsidRPr="00B740B4">
        <w:t>“</w:t>
      </w:r>
      <w:r w:rsidRPr="00B740B4">
        <w:t>years</w:t>
      </w:r>
      <w:r w:rsidR="00934A11" w:rsidRPr="00B740B4">
        <w:t>”</w:t>
      </w:r>
      <w:r w:rsidRPr="00B740B4">
        <w:t xml:space="preserve"> so as to refer it to contemporary events in a way that tends to be proved wrong by events. This </w:t>
      </w:r>
      <w:r w:rsidR="001D331F">
        <w:t xml:space="preserve">stance </w:t>
      </w:r>
      <w:r w:rsidRPr="00B740B4">
        <w:t xml:space="preserve">does not mean that </w:t>
      </w:r>
      <w:r w:rsidR="007F401B">
        <w:t>Yeph</w:t>
      </w:r>
      <w:r w:rsidRPr="00B740B4">
        <w:t xml:space="preserve">et in practice avoided following traditional interpretations or avoided what seems to us </w:t>
      </w:r>
      <w:r w:rsidRPr="00B740B4">
        <w:rPr>
          <w:i/>
        </w:rPr>
        <w:t>re</w:t>
      </w:r>
      <w:r w:rsidRPr="00B740B4">
        <w:t>application of the text, in referring Dan 8 and 11 to events of his own day such as the invasion of Mecca</w:t>
      </w:r>
      <w:r w:rsidR="00BD560C" w:rsidRPr="00B740B4">
        <w:t>.</w:t>
      </w:r>
      <w:r w:rsidR="00BD560C" w:rsidRPr="00B740B4">
        <w:rPr>
          <w:rStyle w:val="FootnoteReference"/>
        </w:rPr>
        <w:footnoteReference w:id="139"/>
      </w:r>
      <w:r w:rsidRPr="00B740B4">
        <w:t xml:space="preserve"> But the pressure of Karaite interpretation drove mainstream rabbinic scholarship in a literal, historical direction.</w:t>
      </w:r>
    </w:p>
    <w:p w:rsidR="001C41CB" w:rsidRPr="00B740B4" w:rsidRDefault="001B2642" w:rsidP="00BD560C">
      <w:r w:rsidRPr="00B740B4">
        <w:t>In France, Solomon bar Isa</w:t>
      </w:r>
      <w:r w:rsidR="008624FC" w:rsidRPr="00B740B4">
        <w:t xml:space="preserve">ac, Rashi (1040–1105), wrote </w:t>
      </w:r>
      <w:r w:rsidRPr="00B740B4">
        <w:t xml:space="preserve">a substantial commentary on Daniel </w:t>
      </w:r>
      <w:r w:rsidR="00392504" w:rsidRPr="00B740B4">
        <w:t>that combined</w:t>
      </w:r>
      <w:r w:rsidRPr="00B740B4">
        <w:t xml:space="preserve"> a concern for the literal sense with a willingness to incorporate traditional midrashic material. Rashi dated the fulfillment of its </w:t>
      </w:r>
      <w:r w:rsidR="00934A11" w:rsidRPr="00B740B4">
        <w:t>“</w:t>
      </w:r>
      <w:r w:rsidRPr="00B740B4">
        <w:t>messianic</w:t>
      </w:r>
      <w:r w:rsidR="00934A11" w:rsidRPr="00B740B4">
        <w:t>”</w:t>
      </w:r>
      <w:r w:rsidRPr="00B740B4">
        <w:t xml:space="preserve"> prophecies in the fourteenth century, which was his way of discouraging expectations for his own day. From Spanish Jewry, Abraham ben Meir ibn Ezra (1091–1167) produced a more rigorous literal exegesis, encouraging the reader to avoid attempting to calculate when Daniel’s prophecies would be fulfilled, on the grounds that we will not know until it happens (see </w:t>
      </w:r>
      <w:r w:rsidR="008624FC" w:rsidRPr="00B740B4">
        <w:t xml:space="preserve">his comment </w:t>
      </w:r>
      <w:r w:rsidR="001D331F">
        <w:t>on 11:31). He refers</w:t>
      </w:r>
      <w:r w:rsidRPr="00B740B4">
        <w:t xml:space="preserve"> the prophecies to political events of the Roman period (chap. 9) and of his own day (chap. 7) as well as of the second century (chap. 8). The commentary attributed to Saadia </w:t>
      </w:r>
      <w:r w:rsidR="00CF1BD4" w:rsidRPr="00B740B4">
        <w:t xml:space="preserve">(“Pseudo-Saadia”) </w:t>
      </w:r>
      <w:r w:rsidRPr="00B740B4">
        <w:t xml:space="preserve">in the Rabbinic Bible </w:t>
      </w:r>
      <w:r w:rsidR="008624FC" w:rsidRPr="00B740B4">
        <w:t xml:space="preserve">(see next section) </w:t>
      </w:r>
      <w:r w:rsidRPr="00B740B4">
        <w:t>dates from t</w:t>
      </w:r>
      <w:r w:rsidR="008624FC" w:rsidRPr="00B740B4">
        <w:t>he same period as Ibn Ezra. The commentary</w:t>
      </w:r>
      <w:r w:rsidRPr="00B740B4">
        <w:t xml:space="preserve"> of Levi ben </w:t>
      </w:r>
      <w:r w:rsidR="00BD560C" w:rsidRPr="00B740B4">
        <w:t>Gershon, Gersonides (1288–1344)</w:t>
      </w:r>
      <w:r w:rsidRPr="00B740B4">
        <w:t xml:space="preserve"> from Provence was also included in some editions of the Rabbinic Bible. </w:t>
      </w:r>
      <w:r w:rsidR="00FF6A81" w:rsidRPr="00B740B4">
        <w:t xml:space="preserve">The medieval Jewish commentaries handle most of the same exegetical problems as modern commentaries, and often the latter can take discussion of such problems little further (see, e.g., 2:1, </w:t>
      </w:r>
      <w:r w:rsidR="00FF6A81" w:rsidRPr="00B740B4">
        <w:rPr>
          <w:rFonts w:ascii="Arial" w:hAnsi="Arial" w:cs="Arial"/>
        </w:rPr>
        <w:t>נהיתה</w:t>
      </w:r>
      <w:r w:rsidR="003F14FD" w:rsidRPr="00B740B4">
        <w:t>; 6:18 [19</w:t>
      </w:r>
      <w:r w:rsidR="00FF6A81" w:rsidRPr="00B740B4">
        <w:t xml:space="preserve">] </w:t>
      </w:r>
      <w:r w:rsidR="00FF6A81" w:rsidRPr="00B740B4">
        <w:rPr>
          <w:rFonts w:ascii="Arial" w:hAnsi="Arial" w:cs="Arial"/>
        </w:rPr>
        <w:t>דחון</w:t>
      </w:r>
      <w:r w:rsidR="00FF6A81" w:rsidRPr="00B740B4">
        <w:t xml:space="preserve">; 7:4 </w:t>
      </w:r>
      <w:r w:rsidR="00FF6A81" w:rsidRPr="00B740B4">
        <w:rPr>
          <w:rFonts w:ascii="Arial" w:hAnsi="Arial" w:cs="Arial"/>
        </w:rPr>
        <w:t>נטילת</w:t>
      </w:r>
      <w:r w:rsidR="00FF6A81" w:rsidRPr="00B740B4">
        <w:t xml:space="preserve">; 9:21 </w:t>
      </w:r>
      <w:r w:rsidR="00FF6A81" w:rsidRPr="00B740B4">
        <w:rPr>
          <w:rFonts w:ascii="Arial" w:hAnsi="Arial" w:cs="Arial"/>
        </w:rPr>
        <w:t>מעף</w:t>
      </w:r>
      <w:r w:rsidR="00FF6A81" w:rsidRPr="00B740B4">
        <w:t xml:space="preserve"> </w:t>
      </w:r>
      <w:r w:rsidR="00FF6A81" w:rsidRPr="00B740B4">
        <w:rPr>
          <w:rFonts w:ascii="Arial" w:hAnsi="Arial" w:cs="Arial"/>
        </w:rPr>
        <w:t>ביעף</w:t>
      </w:r>
      <w:r w:rsidR="00FF6A81" w:rsidRPr="00B740B4">
        <w:t>).</w:t>
      </w:r>
    </w:p>
    <w:p w:rsidR="00EB64C1" w:rsidRPr="00B740B4" w:rsidRDefault="002D4FFF" w:rsidP="009479B1">
      <w:pPr>
        <w:pStyle w:val="Heading2"/>
      </w:pPr>
      <w:r w:rsidRPr="00B740B4">
        <w:t xml:space="preserve">Towards </w:t>
      </w:r>
      <w:r w:rsidR="00EB64C1" w:rsidRPr="00B740B4">
        <w:t>the Rabbinic Bible</w:t>
      </w:r>
    </w:p>
    <w:p w:rsidR="00BD560C" w:rsidRPr="00B740B4" w:rsidRDefault="001B2642" w:rsidP="00BD560C">
      <w:r w:rsidRPr="00B740B4">
        <w:t>The last great medieval exegete of Daniel, or its first Renaissance humanist exegete in his critic</w:t>
      </w:r>
      <w:r w:rsidR="00BD560C" w:rsidRPr="00B740B4">
        <w:t>al scholarly approach, was Isaak</w:t>
      </w:r>
      <w:r w:rsidR="00C37A0F">
        <w:t xml:space="preserve"> Av</w:t>
      </w:r>
      <w:r w:rsidRPr="00B740B4">
        <w:t xml:space="preserve">ravanel </w:t>
      </w:r>
      <w:r w:rsidR="00BD560C" w:rsidRPr="00B740B4">
        <w:t xml:space="preserve">(Abarbanel) </w:t>
      </w:r>
      <w:r w:rsidR="00D36B15" w:rsidRPr="00B740B4">
        <w:t>(</w:t>
      </w:r>
      <w:r w:rsidRPr="00B740B4">
        <w:t>1437–1508).</w:t>
      </w:r>
      <w:r w:rsidR="0086242B" w:rsidRPr="00B740B4">
        <w:rPr>
          <w:rStyle w:val="FootnoteReference"/>
        </w:rPr>
        <w:footnoteReference w:id="140"/>
      </w:r>
      <w:r w:rsidR="008624FC" w:rsidRPr="00B740B4">
        <w:t xml:space="preserve"> Ye</w:t>
      </w:r>
      <w:r w:rsidRPr="00B740B4">
        <w:t>t his</w:t>
      </w:r>
      <w:r w:rsidR="00826E50" w:rsidRPr="00826E50">
        <w:rPr>
          <w:rFonts w:ascii="Arial" w:hAnsi="Arial" w:cs="Arial"/>
        </w:rPr>
        <w:t xml:space="preserve"> ה ע</w:t>
      </w:r>
      <w:r w:rsidRPr="00B740B4">
        <w:t xml:space="preserve"> </w:t>
      </w:r>
      <w:r w:rsidRPr="00B740B4">
        <w:rPr>
          <w:rFonts w:ascii="Arial" w:hAnsi="Arial" w:cs="Arial"/>
        </w:rPr>
        <w:t>שו</w:t>
      </w:r>
      <w:r w:rsidR="00826E50" w:rsidRPr="00826E50">
        <w:rPr>
          <w:rFonts w:ascii="Arial" w:hAnsi="Arial" w:cs="Arial"/>
        </w:rPr>
        <w:t xml:space="preserve"> הי</w:t>
      </w:r>
      <w:r w:rsidR="00826E50">
        <w:rPr>
          <w:rFonts w:ascii="Arial" w:hAnsi="Arial" w:cs="Arial"/>
        </w:rPr>
        <w:t xml:space="preserve"> </w:t>
      </w:r>
      <w:r w:rsidR="008624FC" w:rsidRPr="00B740B4">
        <w:rPr>
          <w:rFonts w:ascii="Arial" w:hAnsi="Arial" w:cs="Arial"/>
        </w:rPr>
        <w:t>מעני</w:t>
      </w:r>
      <w:r w:rsidR="008624FC" w:rsidRPr="00B740B4">
        <w:t xml:space="preserve"> </w:t>
      </w:r>
      <w:r w:rsidRPr="00B740B4">
        <w:t>(</w:t>
      </w:r>
      <w:r w:rsidRPr="00B740B4">
        <w:rPr>
          <w:i/>
        </w:rPr>
        <w:t>Wells of Salvation</w:t>
      </w:r>
      <w:r w:rsidR="00BD560C" w:rsidRPr="00B740B4">
        <w:t>, 1496),</w:t>
      </w:r>
      <w:r w:rsidRPr="00B740B4">
        <w:t xml:space="preserve"> written after the </w:t>
      </w:r>
      <w:r w:rsidR="00BD560C" w:rsidRPr="00B740B4">
        <w:t xml:space="preserve">Jews’ expulsion from Spain, </w:t>
      </w:r>
      <w:r w:rsidR="008624FC" w:rsidRPr="00B740B4">
        <w:t>seeks to</w:t>
      </w:r>
      <w:r w:rsidR="00826E50">
        <w:t xml:space="preserve"> </w:t>
      </w:r>
      <w:r w:rsidRPr="00B740B4">
        <w:t>enable his fellow Jews to learn fr</w:t>
      </w:r>
      <w:r w:rsidR="00826E50">
        <w:t>om Daniel how to live in exile during the continuing rule of</w:t>
      </w:r>
      <w:r w:rsidR="00B35D69" w:rsidRPr="00B740B4">
        <w:t xml:space="preserve"> the fourth, Roman empire</w:t>
      </w:r>
      <w:r w:rsidRPr="00B740B4">
        <w:t xml:space="preserve">, as </w:t>
      </w:r>
      <w:r w:rsidR="00F832D2" w:rsidRPr="00B740B4">
        <w:t>they await the messianic rule</w:t>
      </w:r>
      <w:r w:rsidRPr="00B740B4">
        <w:t xml:space="preserve"> on earth; he is not merely a pious exegete try</w:t>
      </w:r>
      <w:r w:rsidR="004F2AA3">
        <w:t>ing to unravel the problems of the s</w:t>
      </w:r>
      <w:r w:rsidRPr="00B740B4">
        <w:t>cripture</w:t>
      </w:r>
      <w:r w:rsidR="004F2AA3">
        <w:t>s</w:t>
      </w:r>
      <w:r w:rsidRPr="00B740B4">
        <w:t>, but an exile seeking refuge and hope</w:t>
      </w:r>
      <w:r w:rsidR="00BD560C" w:rsidRPr="00B740B4">
        <w:t>.</w:t>
      </w:r>
      <w:r w:rsidR="00BD560C" w:rsidRPr="00B740B4">
        <w:rPr>
          <w:rStyle w:val="FootnoteReference"/>
        </w:rPr>
        <w:footnoteReference w:id="141"/>
      </w:r>
      <w:r w:rsidRPr="00B740B4">
        <w:t xml:space="preserve"> </w:t>
      </w:r>
      <w:r w:rsidR="00C37A0F">
        <w:t>Av</w:t>
      </w:r>
      <w:r w:rsidR="00BD560C" w:rsidRPr="00B740B4">
        <w:t xml:space="preserve">ravanel sharply argues that large-scale Christian conversions to Islam belie the claim </w:t>
      </w:r>
      <w:r w:rsidR="00F832D2" w:rsidRPr="00B740B4">
        <w:t>that Christendom was the rule</w:t>
      </w:r>
      <w:r w:rsidR="00BD560C" w:rsidRPr="00B740B4">
        <w:t xml:space="preserve"> that would never pass to another people (Dan 2:44). Christians, he argues, fix the historical facts to match their exegesis of Daniel.</w:t>
      </w:r>
      <w:r w:rsidR="00BD560C" w:rsidRPr="00B740B4">
        <w:rPr>
          <w:vertAlign w:val="superscript"/>
        </w:rPr>
        <w:footnoteReference w:id="142"/>
      </w:r>
      <w:r w:rsidR="009F17D5" w:rsidRPr="00B740B4">
        <w:t>(</w:t>
      </w:r>
      <w:r w:rsidR="00BD560C" w:rsidRPr="00B740B4">
        <w:t>Calvin counters t</w:t>
      </w:r>
      <w:r w:rsidR="009F17D5" w:rsidRPr="00B740B4">
        <w:t>hat argument by urging that Chr</w:t>
      </w:r>
      <w:r w:rsidR="00F832D2" w:rsidRPr="00B740B4">
        <w:t>ist’s reign</w:t>
      </w:r>
      <w:r w:rsidR="00BD560C" w:rsidRPr="00B740B4">
        <w:t xml:space="preserve"> is invisible and not external</w:t>
      </w:r>
      <w:r w:rsidR="00826E50">
        <w:t>.</w:t>
      </w:r>
      <w:r w:rsidR="009F17D5" w:rsidRPr="00B740B4">
        <w:t>)</w:t>
      </w:r>
      <w:r w:rsidR="00BD560C" w:rsidRPr="00B740B4">
        <w:rPr>
          <w:vertAlign w:val="superscript"/>
        </w:rPr>
        <w:footnoteReference w:id="143"/>
      </w:r>
    </w:p>
    <w:p w:rsidR="001B2642" w:rsidRPr="00B740B4" w:rsidRDefault="00FF6A81" w:rsidP="001B2642">
      <w:r w:rsidRPr="00B740B4">
        <w:t>One stimulus for the rabbinic writers’ work, then,</w:t>
      </w:r>
      <w:r w:rsidR="001B2642" w:rsidRPr="00B740B4">
        <w:t xml:space="preserve"> is t</w:t>
      </w:r>
      <w:r w:rsidRPr="00B740B4">
        <w:t xml:space="preserve">he pressure placed on </w:t>
      </w:r>
      <w:r w:rsidR="001B2642" w:rsidRPr="00B740B4">
        <w:t>Judaism by the Christian Church, wi</w:t>
      </w:r>
      <w:r w:rsidR="004F2AA3">
        <w:t>th its claim that the Jewish s</w:t>
      </w:r>
      <w:r w:rsidRPr="00B740B4">
        <w:t>criptures refer to Jesus</w:t>
      </w:r>
      <w:r w:rsidR="001B2642" w:rsidRPr="00B740B4">
        <w:t xml:space="preserve">. Like the patristic commentators, the Jewish exegetes want to understand Daniel in a way that relates it to their own day and is consistent </w:t>
      </w:r>
      <w:r w:rsidR="001B2642" w:rsidRPr="00B740B4">
        <w:lastRenderedPageBreak/>
        <w:t xml:space="preserve">with their theological views (e.g., that the messiah has </w:t>
      </w:r>
      <w:r w:rsidR="001B2642" w:rsidRPr="00B740B4">
        <w:rPr>
          <w:i/>
        </w:rPr>
        <w:t>not</w:t>
      </w:r>
      <w:r w:rsidR="001B2642" w:rsidRPr="00B740B4">
        <w:t xml:space="preserve"> yet come). </w:t>
      </w:r>
      <w:r w:rsidR="00CF1BD4" w:rsidRPr="00B740B4">
        <w:t xml:space="preserve">They are less reticent than some of </w:t>
      </w:r>
      <w:r w:rsidR="00F8452F" w:rsidRPr="00B740B4">
        <w:t>thei</w:t>
      </w:r>
      <w:r w:rsidR="00826E50">
        <w:t xml:space="preserve">r </w:t>
      </w:r>
      <w:r w:rsidR="00CF1BD4" w:rsidRPr="00B740B4">
        <w:t xml:space="preserve">predecessors </w:t>
      </w:r>
      <w:r w:rsidR="00F8452F" w:rsidRPr="00B740B4">
        <w:t>about working out when God</w:t>
      </w:r>
      <w:r w:rsidR="00CF1BD4" w:rsidRPr="00B740B4">
        <w:t xml:space="preserve"> would fulfill his purpose.</w:t>
      </w:r>
      <w:r w:rsidR="00F8452F" w:rsidRPr="00B740B4">
        <w:rPr>
          <w:rStyle w:val="FootnoteReference"/>
        </w:rPr>
        <w:footnoteReference w:id="144"/>
      </w:r>
      <w:r w:rsidR="00F8452F" w:rsidRPr="00B740B4">
        <w:t xml:space="preserve"> </w:t>
      </w:r>
      <w:r w:rsidR="00CF1BD4" w:rsidRPr="00B740B4">
        <w:t>Daniel’s visions can be</w:t>
      </w:r>
      <w:r w:rsidR="001B2642" w:rsidRPr="00B740B4">
        <w:t xml:space="preserve"> taken to come to their historical climax with the Moslem Arab empire or the Christ</w:t>
      </w:r>
      <w:r w:rsidR="00F00779">
        <w:t>endom of their day (see, e.g., Y</w:t>
      </w:r>
      <w:r w:rsidR="001B2642" w:rsidRPr="00B740B4">
        <w:t xml:space="preserve">ephet’s extended treatment of chap. 11). The empires may then be Babylon, Medo-Persia, Greece, and Rome/the Arabs (a view Ibn Ezra refers to), or Babylon, Medo-Persia, Greece-Rome, and the Arabs (Ibn Ezra himself), or </w:t>
      </w:r>
      <w:r w:rsidR="00236AFC" w:rsidRPr="00B740B4">
        <w:t>Persia-Babylon-Media, Greece-Rome, Persia-Rome, and Islam (Ibn Daud, 1110-80),</w:t>
      </w:r>
      <w:r w:rsidR="00236AFC" w:rsidRPr="00B740B4">
        <w:rPr>
          <w:rStyle w:val="FootnoteReference"/>
        </w:rPr>
        <w:footnoteReference w:id="145"/>
      </w:r>
      <w:r w:rsidR="00236AFC" w:rsidRPr="00B740B4">
        <w:t xml:space="preserve"> or</w:t>
      </w:r>
      <w:r w:rsidR="00CF1BD4" w:rsidRPr="00B740B4">
        <w:t xml:space="preserve"> </w:t>
      </w:r>
      <w:r w:rsidR="001B2642" w:rsidRPr="00B740B4">
        <w:t>Babylon, Medo-Persia, Greece, and Rome divided into Christendom and Islam (Ibn Yachya</w:t>
      </w:r>
      <w:r w:rsidR="00236AFC" w:rsidRPr="00B740B4">
        <w:t>, 1120-96</w:t>
      </w:r>
      <w:r w:rsidR="001B2642" w:rsidRPr="00B740B4">
        <w:t>), or Babylon, Medo-Persia, Greece, and Rome/Christendom (Avra</w:t>
      </w:r>
      <w:r w:rsidR="00CF1BD4" w:rsidRPr="00B740B4">
        <w:t>vanel). The 1290 days/years could be</w:t>
      </w:r>
      <w:r w:rsidR="001B2642" w:rsidRPr="00B740B4">
        <w:t xml:space="preserve"> expected to terminate in 968 (Saadia), in 1352 (Rashi), </w:t>
      </w:r>
      <w:r w:rsidR="00826E50">
        <w:t xml:space="preserve">or </w:t>
      </w:r>
      <w:r w:rsidR="001B2642" w:rsidRPr="00B740B4">
        <w:t xml:space="preserve">in 1358 (Gersonides </w:t>
      </w:r>
      <w:r w:rsidR="00475A8C" w:rsidRPr="00B740B4">
        <w:t>et al.</w:t>
      </w:r>
      <w:r w:rsidR="001B2642" w:rsidRPr="00B740B4">
        <w:t xml:space="preserve">), while Avravanel promises that the 3 1/2 periods, the 2,300 days/years, and the 1335 days/years will all end in 1503. While Ibn Ezra takes the small horn of 8:9 to be Antiochus rather than Titus (Rashi) or </w:t>
      </w:r>
      <w:r w:rsidR="00934A11" w:rsidRPr="00B740B4">
        <w:t>“</w:t>
      </w:r>
      <w:r w:rsidR="001B2642" w:rsidRPr="00B740B4">
        <w:t>Ishmael,</w:t>
      </w:r>
      <w:r w:rsidR="00934A11" w:rsidRPr="00B740B4">
        <w:t>”</w:t>
      </w:r>
      <w:r w:rsidR="00826E50">
        <w:t xml:space="preserve"> the Arabs (Ps</w:t>
      </w:r>
      <w:r w:rsidR="00CF1BD4" w:rsidRPr="00B740B4">
        <w:t>-</w:t>
      </w:r>
      <w:r w:rsidR="001B2642" w:rsidRPr="00B740B4">
        <w:t>Saadia),</w:t>
      </w:r>
      <w:r w:rsidR="00C066CF" w:rsidRPr="00B740B4">
        <w:rPr>
          <w:rStyle w:val="FootnoteReference"/>
        </w:rPr>
        <w:footnoteReference w:id="146"/>
      </w:r>
      <w:r w:rsidR="001B2642" w:rsidRPr="00B740B4">
        <w:t xml:space="preserve"> the interpretation of all the vision material as relating to Antiochus appears only in Galipapa </w:t>
      </w:r>
      <w:r w:rsidR="00D36B15" w:rsidRPr="00B740B4">
        <w:t>(</w:t>
      </w:r>
      <w:r w:rsidR="001B2642" w:rsidRPr="00B740B4">
        <w:t>1310–80).</w:t>
      </w:r>
      <w:r w:rsidR="00C066CF" w:rsidRPr="00B740B4">
        <w:rPr>
          <w:rStyle w:val="FootnoteReference"/>
        </w:rPr>
        <w:footnoteReference w:id="147"/>
      </w:r>
      <w:r w:rsidR="001B2642" w:rsidRPr="00B740B4">
        <w:t xml:space="preserve"> We do</w:t>
      </w:r>
      <w:r w:rsidR="00FA03AF">
        <w:t xml:space="preserve"> </w:t>
      </w:r>
      <w:r w:rsidR="001B2642" w:rsidRPr="00B740B4">
        <w:t>not know how he came to this distinctive view. In the next century Albo (</w:t>
      </w:r>
      <w:r w:rsidR="00C066CF" w:rsidRPr="00B740B4">
        <w:t xml:space="preserve">1380-1444) in his </w:t>
      </w:r>
      <w:r w:rsidR="00C066CF" w:rsidRPr="00B740B4">
        <w:rPr>
          <w:i/>
        </w:rPr>
        <w:t>Book of Principles</w:t>
      </w:r>
      <w:r w:rsidR="00C066CF" w:rsidRPr="00B740B4">
        <w:t xml:space="preserve"> chap. 42 </w:t>
      </w:r>
      <w:r w:rsidR="001B2642" w:rsidRPr="00B740B4">
        <w:t>takes it up in order to deny that messianic hopes are essential to Jewish faith.</w:t>
      </w:r>
    </w:p>
    <w:p w:rsidR="001B2642" w:rsidRPr="00B740B4" w:rsidRDefault="001B2642" w:rsidP="001B2642">
      <w:r w:rsidRPr="00B740B4">
        <w:t xml:space="preserve">The invention of printing led to the first editions of </w:t>
      </w:r>
      <w:r w:rsidRPr="00B740B4">
        <w:rPr>
          <w:rFonts w:ascii="Arial" w:hAnsi="Arial" w:cs="Arial"/>
        </w:rPr>
        <w:t>גדולות</w:t>
      </w:r>
      <w:r w:rsidR="00CF1BD4" w:rsidRPr="00B740B4">
        <w:rPr>
          <w:rFonts w:ascii="Arial" w:hAnsi="Arial" w:cs="Arial"/>
        </w:rPr>
        <w:t xml:space="preserve"> מקראות</w:t>
      </w:r>
      <w:r w:rsidR="00CF1BD4" w:rsidRPr="00B740B4">
        <w:t xml:space="preserve">, the </w:t>
      </w:r>
      <w:r w:rsidR="00797DD8" w:rsidRPr="00B740B4">
        <w:t xml:space="preserve">“Great Scriptures,” usually known in English as the </w:t>
      </w:r>
      <w:r w:rsidR="00CF1BD4" w:rsidRPr="00B740B4">
        <w:t>Rabbinic Bible</w:t>
      </w:r>
      <w:r w:rsidR="00826E50">
        <w:t>,</w:t>
      </w:r>
      <w:r w:rsidR="00D36B15" w:rsidRPr="00B740B4">
        <w:t xml:space="preserve"> beginning in 1517</w:t>
      </w:r>
      <w:r w:rsidR="00826E50">
        <w:t>. They comprise</w:t>
      </w:r>
      <w:r w:rsidR="00797DD8" w:rsidRPr="00B740B4">
        <w:t xml:space="preserve"> </w:t>
      </w:r>
      <w:r w:rsidRPr="00B740B4">
        <w:t>the Hebrew text with the targums and the commentaries of exegetes such as Rashi, Ibn Ezra, and Ps</w:t>
      </w:r>
      <w:r w:rsidR="00CF1BD4" w:rsidRPr="00B740B4">
        <w:t>eudo</w:t>
      </w:r>
      <w:r w:rsidR="00826E50">
        <w:t>-Saadia. They are</w:t>
      </w:r>
      <w:r w:rsidRPr="00B740B4">
        <w:t xml:space="preserve"> u</w:t>
      </w:r>
      <w:r w:rsidR="00D36B15" w:rsidRPr="00B740B4">
        <w:t xml:space="preserve">tilized by </w:t>
      </w:r>
      <w:r w:rsidR="006908BB" w:rsidRPr="00B740B4">
        <w:t xml:space="preserve">that greatest of Christian exegetes </w:t>
      </w:r>
      <w:r w:rsidR="00D36B15" w:rsidRPr="00B740B4">
        <w:t>John Calvin (1509-64), though the rabbis’ work</w:t>
      </w:r>
      <w:r w:rsidRPr="00B740B4">
        <w:t xml:space="preserve"> </w:t>
      </w:r>
      <w:r w:rsidR="00D36B15" w:rsidRPr="00B740B4">
        <w:t xml:space="preserve">was </w:t>
      </w:r>
      <w:r w:rsidRPr="00B740B4">
        <w:t>also mediated th</w:t>
      </w:r>
      <w:r w:rsidR="00294FB8" w:rsidRPr="00B740B4">
        <w:t>rough the commentary of Nicholas of Lyr</w:t>
      </w:r>
      <w:r w:rsidR="00D36B15" w:rsidRPr="00B740B4">
        <w:t>e</w:t>
      </w:r>
      <w:r w:rsidR="00797DD8" w:rsidRPr="00B740B4">
        <w:t xml:space="preserve">, and Calvin </w:t>
      </w:r>
      <w:r w:rsidRPr="00B740B4">
        <w:t xml:space="preserve">indulges </w:t>
      </w:r>
      <w:r w:rsidR="00797DD8" w:rsidRPr="00B740B4">
        <w:t xml:space="preserve">additionally </w:t>
      </w:r>
      <w:r w:rsidRPr="00B740B4">
        <w:t xml:space="preserve">in controversy with the more recent work of Avravanel (see </w:t>
      </w:r>
      <w:r w:rsidR="0067104C">
        <w:t>Calvin’s</w:t>
      </w:r>
      <w:r w:rsidR="00797DD8" w:rsidRPr="00B740B4">
        <w:t xml:space="preserve"> commentary </w:t>
      </w:r>
      <w:r w:rsidRPr="00B740B4">
        <w:t xml:space="preserve">on 2:44–45). </w:t>
      </w:r>
      <w:r w:rsidR="00852086" w:rsidRPr="00B740B4">
        <w:t>Calvin’s own interpretation of Daniel’s visions is quite historical within the framework of the assumption that the fourth empire is Rome.</w:t>
      </w:r>
      <w:r w:rsidR="002C0268" w:rsidRPr="00B740B4">
        <w:rPr>
          <w:rStyle w:val="FootnoteReference"/>
        </w:rPr>
        <w:footnoteReference w:id="148"/>
      </w:r>
      <w:r w:rsidR="00852086" w:rsidRPr="00B740B4">
        <w:t xml:space="preserve"> </w:t>
      </w:r>
      <w:r w:rsidR="00B62273" w:rsidRPr="00B740B4">
        <w:t>Figur</w:t>
      </w:r>
      <w:r w:rsidR="00826E50">
        <w:t xml:space="preserve">es such as the 490 years of Dan </w:t>
      </w:r>
      <w:r w:rsidR="00B62273" w:rsidRPr="00B740B4">
        <w:t xml:space="preserve">9 are not to be treated as if they were designed to give precise chronological information. </w:t>
      </w:r>
      <w:r w:rsidR="00F832D2" w:rsidRPr="00B740B4">
        <w:t>The fifth regime</w:t>
      </w:r>
      <w:r w:rsidR="00852086" w:rsidRPr="00B740B4">
        <w:t xml:space="preserve"> arrived with Christ, but it is spiritual and invisible</w:t>
      </w:r>
      <w:r w:rsidR="002A4521" w:rsidRPr="00B740B4">
        <w:t xml:space="preserve">, </w:t>
      </w:r>
      <w:r w:rsidR="00934A11" w:rsidRPr="00B740B4">
        <w:t>“</w:t>
      </w:r>
      <w:r w:rsidR="002A4521" w:rsidRPr="00B740B4">
        <w:t>a spiritual return from exile</w:t>
      </w:r>
      <w:r w:rsidR="00934A11" w:rsidRPr="00B740B4">
        <w:t>”</w:t>
      </w:r>
      <w:r w:rsidR="005D4D5E" w:rsidRPr="00B740B4">
        <w:t>;</w:t>
      </w:r>
      <w:r w:rsidR="002A4521" w:rsidRPr="00B740B4">
        <w:rPr>
          <w:rStyle w:val="FootnoteReference"/>
        </w:rPr>
        <w:footnoteReference w:id="149"/>
      </w:r>
      <w:r w:rsidR="005D4D5E" w:rsidRPr="00B740B4">
        <w:t xml:space="preserve"> Rome is not to be demonized</w:t>
      </w:r>
      <w:r w:rsidR="00852086" w:rsidRPr="00B740B4">
        <w:t>.</w:t>
      </w:r>
      <w:r w:rsidR="005D4D5E" w:rsidRPr="00B740B4">
        <w:rPr>
          <w:rStyle w:val="FootnoteReference"/>
        </w:rPr>
        <w:footnoteReference w:id="150"/>
      </w:r>
      <w:r w:rsidR="00B62273" w:rsidRPr="00B740B4">
        <w:t xml:space="preserve"> The point about the prophecies was to encourage the faithful i</w:t>
      </w:r>
      <w:r w:rsidR="004B65EA" w:rsidRPr="00B740B4">
        <w:t>n OT</w:t>
      </w:r>
      <w:r w:rsidR="00B62273" w:rsidRPr="00B740B4">
        <w:t xml:space="preserve"> times</w:t>
      </w:r>
      <w:r w:rsidR="00797DD8" w:rsidRPr="00B740B4">
        <w:t>,</w:t>
      </w:r>
      <w:r w:rsidR="00852086" w:rsidRPr="00B740B4">
        <w:rPr>
          <w:rStyle w:val="FootnoteReference"/>
        </w:rPr>
        <w:footnoteReference w:id="151"/>
      </w:r>
      <w:r w:rsidR="00D36B15" w:rsidRPr="00B740B4">
        <w:t xml:space="preserve"> </w:t>
      </w:r>
      <w:r w:rsidR="00797DD8" w:rsidRPr="00B740B4">
        <w:t>but the implication is</w:t>
      </w:r>
      <w:r w:rsidR="002C0268" w:rsidRPr="00B740B4">
        <w:t xml:space="preserve"> not </w:t>
      </w:r>
      <w:r w:rsidR="00797DD8" w:rsidRPr="00B740B4">
        <w:t xml:space="preserve">that </w:t>
      </w:r>
      <w:r w:rsidR="002C0268" w:rsidRPr="00B740B4">
        <w:t xml:space="preserve">they are irrelevant to later centuries, and Calvin finds Daniel speaking to </w:t>
      </w:r>
      <w:r w:rsidRPr="00B740B4">
        <w:t>contemporary quest</w:t>
      </w:r>
      <w:r w:rsidR="002C0268" w:rsidRPr="00B740B4">
        <w:t>ions</w:t>
      </w:r>
      <w:r w:rsidR="00852086" w:rsidRPr="00B740B4">
        <w:t xml:space="preserve">: chap. </w:t>
      </w:r>
      <w:r w:rsidRPr="00B740B4">
        <w:t>3 shows that kings are justified in punishing heretics (Calv</w:t>
      </w:r>
      <w:r w:rsidR="002B6994" w:rsidRPr="00B740B4">
        <w:t>in is following Augustine); 4:27 [24] and 6:22 [23</w:t>
      </w:r>
      <w:r w:rsidRPr="00B740B4">
        <w:t xml:space="preserve">] do not teach justification by works. The influence of the Rabbinic Bible can also be seen in commentators such as </w:t>
      </w:r>
      <w:r w:rsidR="00B210A3" w:rsidRPr="00B740B4">
        <w:t xml:space="preserve">Hugh </w:t>
      </w:r>
      <w:r w:rsidRPr="00B740B4">
        <w:t>Bro</w:t>
      </w:r>
      <w:r w:rsidR="00B509EB" w:rsidRPr="00B740B4">
        <w:t xml:space="preserve">ughton </w:t>
      </w:r>
      <w:r w:rsidR="00335277" w:rsidRPr="00B740B4">
        <w:t xml:space="preserve">(1549-1612) </w:t>
      </w:r>
      <w:r w:rsidR="00B509EB" w:rsidRPr="00B740B4">
        <w:t xml:space="preserve">and </w:t>
      </w:r>
      <w:r w:rsidR="00B210A3" w:rsidRPr="00B740B4">
        <w:t xml:space="preserve">Andrew </w:t>
      </w:r>
      <w:r w:rsidR="00B509EB" w:rsidRPr="00B740B4">
        <w:t>Will</w:t>
      </w:r>
      <w:r w:rsidR="00C97027">
        <w:t>et</w:t>
      </w:r>
      <w:r w:rsidR="00335277" w:rsidRPr="00B740B4">
        <w:t xml:space="preserve"> (1562-1621)</w:t>
      </w:r>
      <w:r w:rsidR="00B509EB" w:rsidRPr="00B740B4">
        <w:t>, and in the KJ</w:t>
      </w:r>
      <w:r w:rsidRPr="00B740B4">
        <w:t xml:space="preserve">V, which often follows the medieval commentaries rather than the ancient versions (e.g., 2:5 </w:t>
      </w:r>
      <w:r w:rsidR="00934A11" w:rsidRPr="00B740B4">
        <w:t>“</w:t>
      </w:r>
      <w:r w:rsidRPr="00B740B4">
        <w:t>dunghill</w:t>
      </w:r>
      <w:r w:rsidR="00934A11" w:rsidRPr="00B740B4">
        <w:t>”</w:t>
      </w:r>
      <w:r w:rsidR="002B6994" w:rsidRPr="00B740B4">
        <w:t>; 4:27</w:t>
      </w:r>
      <w:r w:rsidRPr="00B740B4">
        <w:t xml:space="preserve"> [</w:t>
      </w:r>
      <w:r w:rsidR="002B6994" w:rsidRPr="00B740B4">
        <w:t>24</w:t>
      </w:r>
      <w:r w:rsidR="00B509EB" w:rsidRPr="00B740B4">
        <w:t xml:space="preserve">] </w:t>
      </w:r>
      <w:r w:rsidR="00934A11" w:rsidRPr="00B740B4">
        <w:t>“</w:t>
      </w:r>
      <w:r w:rsidR="00B509EB" w:rsidRPr="00B740B4">
        <w:t>break off</w:t>
      </w:r>
      <w:r w:rsidR="00934A11" w:rsidRPr="00B740B4">
        <w:t>”</w:t>
      </w:r>
      <w:r w:rsidR="00B509EB" w:rsidRPr="00B740B4">
        <w:t xml:space="preserve">; </w:t>
      </w:r>
      <w:r w:rsidR="006C1759" w:rsidRPr="00B740B4">
        <w:t>in both cases, compare</w:t>
      </w:r>
      <w:r w:rsidR="00B509EB" w:rsidRPr="00B740B4">
        <w:t xml:space="preserve"> Rashi</w:t>
      </w:r>
      <w:r w:rsidRPr="00B740B4">
        <w:t>).</w:t>
      </w:r>
      <w:r w:rsidR="00B509EB" w:rsidRPr="00B740B4">
        <w:rPr>
          <w:rStyle w:val="FootnoteReference"/>
        </w:rPr>
        <w:footnoteReference w:id="152"/>
      </w:r>
    </w:p>
    <w:p w:rsidR="00AE4C02" w:rsidRPr="00B740B4" w:rsidRDefault="00AE4C02" w:rsidP="009479B1">
      <w:pPr>
        <w:pStyle w:val="Heading2"/>
      </w:pPr>
      <w:r w:rsidRPr="00B740B4">
        <w:t>The Reformation</w:t>
      </w:r>
    </w:p>
    <w:p w:rsidR="001B2642" w:rsidRPr="00B740B4" w:rsidRDefault="001B2642" w:rsidP="001B2642">
      <w:r w:rsidRPr="00B740B4">
        <w:t>The centuries of the medieval Jewish exegetes were the centuries of millen</w:t>
      </w:r>
      <w:r w:rsidR="006908BB" w:rsidRPr="00B740B4">
        <w:t>n</w:t>
      </w:r>
      <w:r w:rsidRPr="00B740B4">
        <w:t xml:space="preserve">arian movements in Christian Europe. </w:t>
      </w:r>
      <w:r w:rsidR="0054580E" w:rsidRPr="0054580E">
        <w:t xml:space="preserve">After the death of the German emperor Frederick I during the Crusades, prophets </w:t>
      </w:r>
      <w:r w:rsidR="0054580E" w:rsidRPr="0054580E">
        <w:lastRenderedPageBreak/>
        <w:t xml:space="preserve">began to speak of a future Frederick as an Emperor of the Last Days. </w:t>
      </w:r>
      <w:r w:rsidR="006908BB" w:rsidRPr="00B740B4">
        <w:t>While Revelation wa</w:t>
      </w:r>
      <w:r w:rsidRPr="00B740B4">
        <w:t>s t</w:t>
      </w:r>
      <w:r w:rsidR="0054580E">
        <w:t>heir</w:t>
      </w:r>
      <w:r w:rsidR="006908BB" w:rsidRPr="00B740B4">
        <w:t xml:space="preserve"> key biblical resource, </w:t>
      </w:r>
      <w:r w:rsidRPr="00B740B4">
        <w:t xml:space="preserve">there is a striking appeal to Daniel in the anonymous </w:t>
      </w:r>
      <w:r w:rsidR="006908BB" w:rsidRPr="00B740B4">
        <w:rPr>
          <w:i/>
        </w:rPr>
        <w:t>Book of a Hundred Chapter</w:t>
      </w:r>
      <w:r w:rsidR="006908BB" w:rsidRPr="00B740B4">
        <w:t>s</w:t>
      </w:r>
      <w:r w:rsidR="0054580E">
        <w:t xml:space="preserve">, </w:t>
      </w:r>
      <w:r w:rsidR="0054580E" w:rsidRPr="0054580E">
        <w:t>written near the beginning of the sixteenth century</w:t>
      </w:r>
      <w:r w:rsidRPr="00B740B4">
        <w:t>.</w:t>
      </w:r>
      <w:r w:rsidR="006908BB" w:rsidRPr="00B740B4">
        <w:rPr>
          <w:rStyle w:val="FootnoteReference"/>
        </w:rPr>
        <w:footnoteReference w:id="153"/>
      </w:r>
      <w:r w:rsidRPr="00B740B4">
        <w:t xml:space="preserve"> Frederick is one who will restore Germany to the position o</w:t>
      </w:r>
      <w:r w:rsidR="00797DD8" w:rsidRPr="00B740B4">
        <w:t>f supremacy God intended</w:t>
      </w:r>
      <w:r w:rsidRPr="00B740B4">
        <w:t>: Daniel’s four empires are France, England, Spain, and Italy, while Germany is the fifth and greatest empire, which will not pass away.</w:t>
      </w:r>
    </w:p>
    <w:p w:rsidR="00E949EB" w:rsidRPr="00B740B4" w:rsidRDefault="001B2642" w:rsidP="001B2642">
      <w:r w:rsidRPr="00B740B4">
        <w:t>The centuries of the millen</w:t>
      </w:r>
      <w:r w:rsidR="00C76818" w:rsidRPr="00B740B4">
        <w:t>n</w:t>
      </w:r>
      <w:r w:rsidRPr="00B740B4">
        <w:t xml:space="preserve">arian movements were also preoccupied by the figure of </w:t>
      </w:r>
      <w:r w:rsidR="000F328B">
        <w:t xml:space="preserve">the </w:t>
      </w:r>
      <w:r w:rsidRPr="00B740B4">
        <w:t xml:space="preserve">Antichrist. Daniel’s </w:t>
      </w:r>
      <w:r w:rsidR="00934A11" w:rsidRPr="00B740B4">
        <w:t>“</w:t>
      </w:r>
      <w:r w:rsidRPr="00B740B4">
        <w:t>small horn</w:t>
      </w:r>
      <w:r w:rsidR="00934A11" w:rsidRPr="00B740B4">
        <w:t>”</w:t>
      </w:r>
      <w:r w:rsidRPr="00B740B4">
        <w:t xml:space="preserve"> was one important source for such teaching, elaborated in the medieval </w:t>
      </w:r>
      <w:r w:rsidR="00934A11" w:rsidRPr="00B740B4">
        <w:t>“</w:t>
      </w:r>
      <w:r w:rsidRPr="00B740B4">
        <w:t>Antichrist legend</w:t>
      </w:r>
      <w:r w:rsidR="00934A11" w:rsidRPr="00B740B4">
        <w:t>”</w:t>
      </w:r>
      <w:r w:rsidRPr="00B740B4">
        <w:t xml:space="preserve"> that tells how this pseudomessiah will come to Jerusalem and e</w:t>
      </w:r>
      <w:r w:rsidR="006908BB" w:rsidRPr="00B740B4">
        <w:t xml:space="preserve">nforce worship of himself </w:t>
      </w:r>
      <w:r w:rsidRPr="00B740B4">
        <w:t xml:space="preserve">for three and a half years until put down by Michael. It was also possible, however, to see </w:t>
      </w:r>
      <w:r w:rsidR="00105597">
        <w:t xml:space="preserve">the </w:t>
      </w:r>
      <w:r w:rsidRPr="00B740B4">
        <w:t xml:space="preserve">Antichrist as a principle of opposition to Christ </w:t>
      </w:r>
      <w:r w:rsidR="00797DD8" w:rsidRPr="00B740B4">
        <w:t>already embodied</w:t>
      </w:r>
      <w:r w:rsidRPr="00B740B4">
        <w:t xml:space="preserve"> in the papacy or in Islam, as it had been in Antiochus and in Rome.</w:t>
      </w:r>
      <w:r w:rsidR="0014765D" w:rsidRPr="00B740B4">
        <w:rPr>
          <w:rStyle w:val="FootnoteReference"/>
        </w:rPr>
        <w:footnoteReference w:id="154"/>
      </w:r>
      <w:r w:rsidRPr="00B740B4">
        <w:t xml:space="preserve"> </w:t>
      </w:r>
    </w:p>
    <w:p w:rsidR="001B2642" w:rsidRPr="00B740B4" w:rsidRDefault="00CE775A" w:rsidP="001B2642">
      <w:r w:rsidRPr="00B740B4">
        <w:t>In th</w:t>
      </w:r>
      <w:r w:rsidR="0054580E">
        <w:t xml:space="preserve">e years that followed the </w:t>
      </w:r>
      <w:r w:rsidR="001B2642" w:rsidRPr="00B740B4">
        <w:t xml:space="preserve">posting </w:t>
      </w:r>
      <w:r w:rsidRPr="00B740B4">
        <w:t xml:space="preserve">of </w:t>
      </w:r>
      <w:r w:rsidR="001B2642" w:rsidRPr="00B740B4">
        <w:t>his theses at Wittenberg</w:t>
      </w:r>
      <w:r w:rsidRPr="00B740B4">
        <w:t xml:space="preserve"> in 1517</w:t>
      </w:r>
      <w:r w:rsidR="001B2642" w:rsidRPr="00B740B4">
        <w:t xml:space="preserve">, Martin Luther </w:t>
      </w:r>
      <w:r w:rsidR="00E949EB" w:rsidRPr="00B740B4">
        <w:t xml:space="preserve">(1483-1546) </w:t>
      </w:r>
      <w:r w:rsidRPr="00B740B4">
        <w:t>came to the conclusion that the Pope was the Antichrist</w:t>
      </w:r>
      <w:r w:rsidR="001B2642" w:rsidRPr="00B740B4">
        <w:t xml:space="preserve"> of </w:t>
      </w:r>
      <w:r w:rsidRPr="00B740B4">
        <w:t xml:space="preserve">whom </w:t>
      </w:r>
      <w:r w:rsidR="001B2642" w:rsidRPr="00B740B4">
        <w:t>Dan 8</w:t>
      </w:r>
      <w:r w:rsidRPr="00B740B4">
        <w:t xml:space="preserve"> speaks</w:t>
      </w:r>
      <w:r w:rsidR="001B2642" w:rsidRPr="00B740B4">
        <w:t>. Thomas Müntzer</w:t>
      </w:r>
      <w:r w:rsidR="00E949EB" w:rsidRPr="00B740B4">
        <w:t xml:space="preserve"> (1489-1525)</w:t>
      </w:r>
      <w:r w:rsidR="001B2642" w:rsidRPr="00B740B4">
        <w:t xml:space="preserve"> had been attracted first to Luther, then to millen</w:t>
      </w:r>
      <w:r w:rsidR="00E949EB" w:rsidRPr="00B740B4">
        <w:t>n</w:t>
      </w:r>
      <w:r w:rsidR="001B2642" w:rsidRPr="00B740B4">
        <w:t xml:space="preserve">arianism, </w:t>
      </w:r>
      <w:r w:rsidRPr="00B740B4">
        <w:t xml:space="preserve">but in 1524 </w:t>
      </w:r>
      <w:r w:rsidR="0054580E">
        <w:t xml:space="preserve">he </w:t>
      </w:r>
      <w:r w:rsidRPr="00B740B4">
        <w:t>preached a s</w:t>
      </w:r>
      <w:r w:rsidR="001B2642" w:rsidRPr="00B740B4">
        <w:t>ermon</w:t>
      </w:r>
      <w:r w:rsidR="00E949EB" w:rsidRPr="00B740B4">
        <w:t xml:space="preserve"> </w:t>
      </w:r>
      <w:r w:rsidRPr="00B740B4">
        <w:t xml:space="preserve">on Dan 2 </w:t>
      </w:r>
      <w:r w:rsidR="006C4E8C" w:rsidRPr="00B740B4">
        <w:t xml:space="preserve">to the Princes of Saxony </w:t>
      </w:r>
      <w:r w:rsidRPr="00B740B4">
        <w:t>in which he declared tht the last of the world empires wa</w:t>
      </w:r>
      <w:r w:rsidR="001B2642" w:rsidRPr="00B740B4">
        <w:t>s coming to an end</w:t>
      </w:r>
      <w:r w:rsidRPr="00B740B4">
        <w:t>. The challenge to the princes wa</w:t>
      </w:r>
      <w:r w:rsidR="001B2642" w:rsidRPr="00B740B4">
        <w:t>s to take up the swo</w:t>
      </w:r>
      <w:r w:rsidRPr="00B740B4">
        <w:t>rd to slay God’s enemies. They we</w:t>
      </w:r>
      <w:r w:rsidR="001B2642" w:rsidRPr="00B740B4">
        <w:t xml:space="preserve">re like Nebuchadnezzar and his court; Müntzer </w:t>
      </w:r>
      <w:r w:rsidRPr="00B740B4">
        <w:t>implicitly offered</w:t>
      </w:r>
      <w:r w:rsidR="001B2642" w:rsidRPr="00B740B4">
        <w:t xml:space="preserve"> to be a modern Daniel to replace the useless sages—Luther and </w:t>
      </w:r>
      <w:r w:rsidRPr="00B740B4">
        <w:t>his kind—with whom the princes we</w:t>
      </w:r>
      <w:r w:rsidR="001B2642" w:rsidRPr="00B740B4">
        <w:t>re currently encumbered.</w:t>
      </w:r>
      <w:r w:rsidR="00DB393F" w:rsidRPr="00B740B4">
        <w:rPr>
          <w:vertAlign w:val="superscript"/>
        </w:rPr>
        <w:footnoteReference w:id="155"/>
      </w:r>
      <w:r w:rsidRPr="00B740B4">
        <w:t xml:space="preserve"> Within a year Müntzer had</w:t>
      </w:r>
      <w:r w:rsidR="001B2642" w:rsidRPr="00B740B4">
        <w:t xml:space="preserve"> taken up the sword himself in the Peasants’ Revolt and lost his life.</w:t>
      </w:r>
      <w:r w:rsidR="00C94C61" w:rsidRPr="00B740B4">
        <w:rPr>
          <w:rStyle w:val="FootnoteReference"/>
        </w:rPr>
        <w:footnoteReference w:id="156"/>
      </w:r>
    </w:p>
    <w:p w:rsidR="002D0BC9" w:rsidRPr="00B740B4" w:rsidRDefault="001B2642" w:rsidP="001B2642">
      <w:r w:rsidRPr="00B740B4">
        <w:t>During the 1520s the advance of the Turks in Europe increased, and whereas Luther had earlier stressed that</w:t>
      </w:r>
      <w:r w:rsidR="00105597">
        <w:t xml:space="preserve"> the</w:t>
      </w:r>
      <w:r w:rsidRPr="00B740B4">
        <w:t xml:space="preserve"> Antichrist was to be broken without hand, his </w:t>
      </w:r>
      <w:r w:rsidRPr="00B740B4">
        <w:rPr>
          <w:i/>
        </w:rPr>
        <w:t>Heerpredigt wider dem Türken</w:t>
      </w:r>
      <w:r w:rsidR="00CE775A" w:rsidRPr="00B740B4">
        <w:t xml:space="preserve"> (1529) not only identified</w:t>
      </w:r>
      <w:r w:rsidRPr="00B740B4">
        <w:t xml:space="preserve"> the Turks with the fourth beast </w:t>
      </w:r>
      <w:r w:rsidR="002D0ED6" w:rsidRPr="00B740B4">
        <w:t xml:space="preserve">(specifically, with the small horn) </w:t>
      </w:r>
      <w:r w:rsidR="00CE775A" w:rsidRPr="00B740B4">
        <w:t>but encouraged</w:t>
      </w:r>
      <w:r w:rsidRPr="00B740B4">
        <w:t xml:space="preserve"> people to join in the eschatological battle against them.</w:t>
      </w:r>
      <w:r w:rsidR="0014765D" w:rsidRPr="00B740B4">
        <w:rPr>
          <w:rStyle w:val="FootnoteReference"/>
        </w:rPr>
        <w:footnoteReference w:id="157"/>
      </w:r>
      <w:r w:rsidRPr="00B740B4">
        <w:t xml:space="preserve"> </w:t>
      </w:r>
      <w:r w:rsidR="002D0BC9" w:rsidRPr="00B740B4">
        <w:t xml:space="preserve">Philip </w:t>
      </w:r>
      <w:r w:rsidRPr="00B740B4">
        <w:t xml:space="preserve">Melanchthon </w:t>
      </w:r>
      <w:r w:rsidR="00692CA7" w:rsidRPr="00B740B4">
        <w:t xml:space="preserve">(1497-1560) </w:t>
      </w:r>
      <w:r w:rsidRPr="00B740B4">
        <w:t xml:space="preserve">had published an exposition of Dan 7 in this context, and </w:t>
      </w:r>
      <w:r w:rsidR="002D0BC9" w:rsidRPr="00B740B4">
        <w:t>his focus on the Turks and on the Pope also</w:t>
      </w:r>
      <w:r w:rsidR="00CE775A" w:rsidRPr="00B740B4">
        <w:t xml:space="preserve"> finds expression in his </w:t>
      </w:r>
      <w:r w:rsidR="002D0BC9" w:rsidRPr="00B740B4">
        <w:t>commentary on Daniel. Melanchthon saw Antiochus and the Antichrist as refe</w:t>
      </w:r>
      <w:r w:rsidR="00CE775A" w:rsidRPr="00B740B4">
        <w:t>rring to the Turks and the Pope;</w:t>
      </w:r>
      <w:r w:rsidR="002D0BC9" w:rsidRPr="00B740B4">
        <w:t xml:space="preserve"> Daniel thus offered comfort to the church in the face of such enemies.</w:t>
      </w:r>
      <w:r w:rsidR="002D0BC9" w:rsidRPr="00B740B4">
        <w:rPr>
          <w:rStyle w:val="FootnoteReference"/>
        </w:rPr>
        <w:footnoteReference w:id="158"/>
      </w:r>
    </w:p>
    <w:p w:rsidR="003F1E0E" w:rsidRPr="00B740B4" w:rsidRDefault="0054580E" w:rsidP="00CE775A">
      <w:r>
        <w:t xml:space="preserve">Luther </w:t>
      </w:r>
      <w:r w:rsidR="001B2642" w:rsidRPr="00B740B4">
        <w:t xml:space="preserve">hastened through his Prefaces to the books of the OT so as to reach this work so relevant </w:t>
      </w:r>
      <w:r>
        <w:t>to the situation in which he</w:t>
      </w:r>
      <w:r w:rsidR="001B2642" w:rsidRPr="00B740B4">
        <w:t xml:space="preserve"> and his people lived, and on which he then wrote particularly extensively. In his perception of the true church’s final confli</w:t>
      </w:r>
      <w:r w:rsidR="00CE775A" w:rsidRPr="00B740B4">
        <w:t>ct with the forces of evil</w:t>
      </w:r>
      <w:r w:rsidR="001B2642" w:rsidRPr="00B740B4">
        <w:t xml:space="preserve">, the latter are </w:t>
      </w:r>
      <w:r w:rsidR="00CE775A" w:rsidRPr="00B740B4">
        <w:t xml:space="preserve">indeed </w:t>
      </w:r>
      <w:r w:rsidR="001B2642" w:rsidRPr="00B740B4">
        <w:t>embodied in both the Turks and the Pope.</w:t>
      </w:r>
      <w:r w:rsidR="0014765D" w:rsidRPr="00B740B4">
        <w:rPr>
          <w:rStyle w:val="FootnoteReference"/>
        </w:rPr>
        <w:footnoteReference w:id="159"/>
      </w:r>
      <w:r w:rsidR="001B2642" w:rsidRPr="00B740B4">
        <w:t xml:space="preserve"> While noting the encouragement and example offered by the stories, he gives most space to the visions. The four empires are Assyria-Babylon, Medo-Persia, Greece, and Rome, the last living on in the German empire, currently threatened by the Turks—Mohammed being the small horn—but certain to survive until the fin</w:t>
      </w:r>
      <w:r w:rsidR="00F832D2" w:rsidRPr="00B740B4">
        <w:t>al consummation of God’s reign</w:t>
      </w:r>
      <w:r w:rsidR="001B2642" w:rsidRPr="00B740B4">
        <w:t>. Though Antiochus appears in chaps. 8 and 11, these prophecies also point to</w:t>
      </w:r>
      <w:r w:rsidR="00105597">
        <w:t xml:space="preserve"> the</w:t>
      </w:r>
      <w:r w:rsidR="001B2642" w:rsidRPr="00B740B4">
        <w:t xml:space="preserve"> Antichrist. </w:t>
      </w:r>
      <w:r w:rsidR="00E949EB" w:rsidRPr="00B740B4">
        <w:t xml:space="preserve">Daniel </w:t>
      </w:r>
      <w:r w:rsidR="001B2642" w:rsidRPr="00B740B4">
        <w:t>11:36–45 refers directly to</w:t>
      </w:r>
      <w:r w:rsidR="00105597">
        <w:t xml:space="preserve"> the</w:t>
      </w:r>
      <w:r w:rsidR="001B2642" w:rsidRPr="00B740B4">
        <w:t xml:space="preserve"> Antichrist, who is identified w</w:t>
      </w:r>
      <w:r w:rsidR="00E949EB" w:rsidRPr="00B740B4">
        <w:t>ith the celibate papacy (cf. 11:</w:t>
      </w:r>
      <w:r w:rsidR="001B2642" w:rsidRPr="00B740B4">
        <w:t>36–37).</w:t>
      </w:r>
      <w:r w:rsidR="00CE775A" w:rsidRPr="00B740B4">
        <w:t xml:space="preserve"> </w:t>
      </w:r>
      <w:r w:rsidR="00934A11" w:rsidRPr="00B740B4">
        <w:t>“</w:t>
      </w:r>
      <w:r w:rsidR="003F1E0E" w:rsidRPr="00B740B4">
        <w:t xml:space="preserve">Lutheranism was the only </w:t>
      </w:r>
      <w:r w:rsidR="003F1E0E" w:rsidRPr="00B740B4">
        <w:rPr>
          <w:rFonts w:eastAsia="ArialMT" w:cs="ArialMT"/>
        </w:rPr>
        <w:t xml:space="preserve">major </w:t>
      </w:r>
      <w:r w:rsidR="003F1E0E" w:rsidRPr="00B740B4">
        <w:rPr>
          <w:rFonts w:eastAsia="ArialMT" w:cs="ArialMT"/>
        </w:rPr>
        <w:lastRenderedPageBreak/>
        <w:t>confession of the Reformation era to give a</w:t>
      </w:r>
      <w:r w:rsidR="006504B3" w:rsidRPr="00B740B4">
        <w:rPr>
          <w:rFonts w:eastAsia="ArialMT" w:cs="ArialMT"/>
        </w:rPr>
        <w:t xml:space="preserve"> clear, virtually doctrinal sanction to a powerful sense of eschatological expectancy.</w:t>
      </w:r>
      <w:r w:rsidR="00934A11" w:rsidRPr="00B740B4">
        <w:rPr>
          <w:rFonts w:eastAsia="ArialMT" w:cs="ArialMT"/>
        </w:rPr>
        <w:t>”</w:t>
      </w:r>
      <w:r w:rsidR="006504B3" w:rsidRPr="00B740B4">
        <w:rPr>
          <w:rStyle w:val="FootnoteReference"/>
          <w:rFonts w:eastAsia="ArialMT" w:cs="ArialMT"/>
        </w:rPr>
        <w:footnoteReference w:id="160"/>
      </w:r>
    </w:p>
    <w:p w:rsidR="000F5D25" w:rsidRPr="00B740B4" w:rsidRDefault="000F5D25" w:rsidP="00E949EB">
      <w:r w:rsidRPr="00B740B4">
        <w:t xml:space="preserve">In 1543 Luther published a substabtial diatribe </w:t>
      </w:r>
      <w:r w:rsidR="00934A11" w:rsidRPr="00B740B4">
        <w:t>“</w:t>
      </w:r>
      <w:r w:rsidRPr="00B740B4">
        <w:t>On the Jews and Their Lies</w:t>
      </w:r>
      <w:r w:rsidR="00934A11" w:rsidRPr="00B740B4">
        <w:t>”</w:t>
      </w:r>
      <w:r w:rsidRPr="00B740B4">
        <w:t xml:space="preserve"> </w:t>
      </w:r>
      <w:r w:rsidR="0054580E">
        <w:t>which he described</w:t>
      </w:r>
      <w:r w:rsidR="00D55EE2" w:rsidRPr="00B740B4">
        <w:t xml:space="preserve"> as a response to a Jewish diatribe and </w:t>
      </w:r>
      <w:r w:rsidRPr="00B740B4">
        <w:t>in which he argued vigously and belligerently in the manner of John the Baptizer or Paul concerning the messianic sign</w:t>
      </w:r>
      <w:r w:rsidR="00E46DCA">
        <w:t>ifcance of Gen 49, 2 Sam 7, Hag</w:t>
      </w:r>
      <w:r w:rsidRPr="00B740B4">
        <w:t xml:space="preserve"> 2</w:t>
      </w:r>
      <w:r w:rsidR="00AE2CDD" w:rsidRPr="00B740B4">
        <w:t xml:space="preserve">, </w:t>
      </w:r>
      <w:r w:rsidRPr="00B740B4">
        <w:t xml:space="preserve">and </w:t>
      </w:r>
      <w:r w:rsidR="00AE2CDD" w:rsidRPr="00B740B4">
        <w:t xml:space="preserve">then of </w:t>
      </w:r>
      <w:r w:rsidRPr="00B740B4">
        <w:t>Dan 9.</w:t>
      </w:r>
      <w:r w:rsidR="003B398C" w:rsidRPr="00B740B4">
        <w:rPr>
          <w:rStyle w:val="FootnoteReference"/>
        </w:rPr>
        <w:footnoteReference w:id="161"/>
      </w:r>
      <w:r w:rsidRPr="00B740B4">
        <w:t xml:space="preserve"> Jews and Christains were agreed that the seventy weeks of years looked forward to the decades leading u</w:t>
      </w:r>
      <w:r w:rsidR="0054580E">
        <w:t>p to the fall of Jerusalem in AD</w:t>
      </w:r>
      <w:r w:rsidRPr="00B740B4">
        <w:t xml:space="preserve"> 70, but is </w:t>
      </w:r>
      <w:r w:rsidR="00995C3F" w:rsidRPr="00B740B4">
        <w:t xml:space="preserve">Jesus </w:t>
      </w:r>
      <w:r w:rsidRPr="00B740B4">
        <w:t xml:space="preserve">the </w:t>
      </w:r>
      <w:r w:rsidR="00995C3F" w:rsidRPr="00B740B4">
        <w:t xml:space="preserve">anointed one who will </w:t>
      </w:r>
      <w:r w:rsidR="00AE2CDD" w:rsidRPr="00B740B4">
        <w:t xml:space="preserve">then </w:t>
      </w:r>
      <w:r w:rsidR="00995C3F" w:rsidRPr="00B740B4">
        <w:t>be killed, or is it King Herod Agrippa I, who died</w:t>
      </w:r>
      <w:r w:rsidR="00D979E5" w:rsidRPr="00B740B4">
        <w:t xml:space="preserve"> suddenly </w:t>
      </w:r>
      <w:r w:rsidR="00AE2CDD" w:rsidRPr="00B740B4">
        <w:t xml:space="preserve">a </w:t>
      </w:r>
      <w:r w:rsidR="00995C3F" w:rsidRPr="00B740B4">
        <w:t>decade later?</w:t>
      </w:r>
      <w:r w:rsidR="00995C3F" w:rsidRPr="00B740B4">
        <w:rPr>
          <w:rStyle w:val="FootnoteReference"/>
        </w:rPr>
        <w:footnoteReference w:id="162"/>
      </w:r>
    </w:p>
    <w:p w:rsidR="00AE4C02" w:rsidRPr="00B740B4" w:rsidRDefault="00EB64C1" w:rsidP="00AE4C02">
      <w:r w:rsidRPr="00B740B4">
        <w:t xml:space="preserve">While </w:t>
      </w:r>
      <w:r w:rsidR="00AE4C02" w:rsidRPr="00B740B4">
        <w:t>Daniel’s popularity had been encouraged by Luther</w:t>
      </w:r>
      <w:r w:rsidRPr="00B740B4">
        <w:t>,</w:t>
      </w:r>
      <w:r w:rsidRPr="00B740B4">
        <w:rPr>
          <w:rStyle w:val="FootnoteReference"/>
        </w:rPr>
        <w:footnoteReference w:id="163"/>
      </w:r>
      <w:r w:rsidR="0054580E">
        <w:t xml:space="preserve"> it was </w:t>
      </w:r>
      <w:r w:rsidR="00AE4C02" w:rsidRPr="00B740B4">
        <w:t>discouraged by Calvin’s more historica</w:t>
      </w:r>
      <w:r w:rsidRPr="00B740B4">
        <w:t>l approach, which did not apply the visions</w:t>
      </w:r>
      <w:r w:rsidR="0054580E">
        <w:t xml:space="preserve"> beyond the Roman period. But </w:t>
      </w:r>
      <w:r w:rsidR="00AE4C02" w:rsidRPr="00B740B4">
        <w:t>Zwingli’s successor in Zur</w:t>
      </w:r>
      <w:r w:rsidR="00EF41A6" w:rsidRPr="00B740B4">
        <w:t>ich, Heinrich Bullinger (1504-</w:t>
      </w:r>
      <w:r w:rsidR="00AE4C02" w:rsidRPr="00B740B4">
        <w:t>75), continued to maintain the views of Melanchthon and Luther</w:t>
      </w:r>
      <w:r w:rsidRPr="00B740B4">
        <w:t xml:space="preserve"> in his sermons on Daniel</w:t>
      </w:r>
      <w:r w:rsidR="00AE4C02" w:rsidRPr="00B740B4">
        <w:t>.</w:t>
      </w:r>
      <w:r w:rsidR="00AE4C02" w:rsidRPr="00B740B4">
        <w:rPr>
          <w:vertAlign w:val="superscript"/>
        </w:rPr>
        <w:footnoteReference w:id="164"/>
      </w:r>
      <w:r w:rsidR="00AE4C02" w:rsidRPr="00B740B4">
        <w:t xml:space="preserve"> </w:t>
      </w:r>
    </w:p>
    <w:p w:rsidR="006908BB" w:rsidRPr="00B740B4" w:rsidRDefault="006908BB" w:rsidP="009479B1">
      <w:pPr>
        <w:pStyle w:val="Heading2"/>
      </w:pPr>
      <w:r w:rsidRPr="00B740B4">
        <w:t>Daniel and the Millennium in England</w:t>
      </w:r>
    </w:p>
    <w:p w:rsidR="001C6B3B" w:rsidRPr="00B740B4" w:rsidRDefault="006908BB" w:rsidP="001C6B3B">
      <w:r w:rsidRPr="00B740B4">
        <w:t>Luther’s exposition of Dan 8 as relating to</w:t>
      </w:r>
      <w:r w:rsidR="00105597">
        <w:t xml:space="preserve"> the</w:t>
      </w:r>
      <w:r w:rsidRPr="00B740B4">
        <w:t xml:space="preserve"> Antichrist/the pope was published in England by John Frith</w:t>
      </w:r>
      <w:r w:rsidR="00EF41A6" w:rsidRPr="00B740B4">
        <w:t xml:space="preserve"> (1503-</w:t>
      </w:r>
      <w:r w:rsidR="00EB64C1" w:rsidRPr="00B740B4">
        <w:t>33)</w:t>
      </w:r>
      <w:r w:rsidRPr="00B740B4">
        <w:t>, writing under the pseudonym Richard Brightwell. Other aspects of continental influence reached the English reformers through their exile in Europe. George Joye</w:t>
      </w:r>
      <w:r w:rsidR="00EB64C1" w:rsidRPr="00B740B4">
        <w:t xml:space="preserve"> (1495-1553)</w:t>
      </w:r>
      <w:r w:rsidRPr="00B740B4">
        <w:t>, exiled for his Protestant beliefs for a second time from 1540 to 1547, encouraged himself and others by producing a translation and exposition of Daniel, based on the commentaries of continental reformers, Melanchthon, Oecolampadius, Pellikan, and Draconites.</w:t>
      </w:r>
      <w:r w:rsidRPr="00B740B4">
        <w:rPr>
          <w:rStyle w:val="FootnoteReference"/>
        </w:rPr>
        <w:footnoteReference w:id="165"/>
      </w:r>
      <w:r w:rsidRPr="00B740B4">
        <w:t xml:space="preserve"> </w:t>
      </w:r>
      <w:r w:rsidR="00934A11" w:rsidRPr="00B740B4">
        <w:t>“</w:t>
      </w:r>
      <w:r w:rsidR="00E949EB" w:rsidRPr="00B740B4">
        <w:t>Apocalyptic in the early [English] Reformation was primarily a theology of persecution and a theology of history.</w:t>
      </w:r>
      <w:r w:rsidR="00934A11" w:rsidRPr="00B740B4">
        <w:t>”</w:t>
      </w:r>
      <w:r w:rsidR="00E949EB" w:rsidRPr="00B740B4">
        <w:rPr>
          <w:vertAlign w:val="superscript"/>
        </w:rPr>
        <w:footnoteReference w:id="166"/>
      </w:r>
      <w:r w:rsidR="00E949EB" w:rsidRPr="00B740B4">
        <w:t xml:space="preserve"> </w:t>
      </w:r>
      <w:r w:rsidRPr="00B740B4">
        <w:t xml:space="preserve">In </w:t>
      </w:r>
      <w:r w:rsidR="00A044BE" w:rsidRPr="00B740B4">
        <w:t xml:space="preserve">Scotland, </w:t>
      </w:r>
      <w:r w:rsidRPr="00B740B4">
        <w:t xml:space="preserve">John Knox </w:t>
      </w:r>
      <w:r w:rsidR="00EF41A6" w:rsidRPr="00B740B4">
        <w:t>(1513-</w:t>
      </w:r>
      <w:r w:rsidR="00335277" w:rsidRPr="00B740B4">
        <w:t xml:space="preserve">72) </w:t>
      </w:r>
      <w:r w:rsidR="00A044BE" w:rsidRPr="00B740B4">
        <w:t xml:space="preserve">relates how in 1547 he </w:t>
      </w:r>
      <w:r w:rsidRPr="00B740B4">
        <w:t>preach</w:t>
      </w:r>
      <w:r w:rsidR="00A044BE" w:rsidRPr="00B740B4">
        <w:t>ed his first ever public sermon in</w:t>
      </w:r>
      <w:r w:rsidRPr="00B740B4">
        <w:t xml:space="preserve"> St</w:t>
      </w:r>
      <w:r w:rsidR="002571DB" w:rsidRPr="00B740B4">
        <w:t>.</w:t>
      </w:r>
      <w:r w:rsidRPr="00B740B4">
        <w:t xml:space="preserve"> Andrews on Dan 7:24–25</w:t>
      </w:r>
      <w:r w:rsidR="00A044BE" w:rsidRPr="00B740B4">
        <w:t>, which he</w:t>
      </w:r>
      <w:r w:rsidRPr="00B740B4">
        <w:t xml:space="preserve"> applied to the papacy.</w:t>
      </w:r>
      <w:r w:rsidRPr="00B740B4">
        <w:rPr>
          <w:rStyle w:val="FootnoteReference"/>
        </w:rPr>
        <w:footnoteReference w:id="167"/>
      </w:r>
      <w:r w:rsidR="001C6B3B" w:rsidRPr="00B740B4">
        <w:t xml:space="preserve"> The note on Dan 12:4 in the Geneva Study Bible of 1560 declared that the commission to Daniel to seal the book until the time of the end applied </w:t>
      </w:r>
      <w:r w:rsidR="00934A11" w:rsidRPr="00B740B4">
        <w:t>“</w:t>
      </w:r>
      <w:r w:rsidR="001C6B3B" w:rsidRPr="00B740B4">
        <w:t>until the time that God has appointed for the full revelation of these things: and then many will run to and fro to search for the knowledge of these mysteries, which things they obtain now by the light of the Gospel.</w:t>
      </w:r>
      <w:r w:rsidR="00934A11" w:rsidRPr="00B740B4">
        <w:t>”</w:t>
      </w:r>
      <w:r w:rsidR="001C6B3B" w:rsidRPr="00B740B4">
        <w:t xml:space="preserve"> </w:t>
      </w:r>
    </w:p>
    <w:p w:rsidR="003F5ABF" w:rsidRPr="00B740B4" w:rsidRDefault="001B2642" w:rsidP="003F5ABF">
      <w:r w:rsidRPr="00B740B4">
        <w:t xml:space="preserve">In England’s native apocalyptic tradition, too, the mass could be seen as the desolating sacrilege of Daniel: Wycliffe’s </w:t>
      </w:r>
      <w:r w:rsidRPr="00B740B4">
        <w:rPr>
          <w:i/>
        </w:rPr>
        <w:t>Wyckett</w:t>
      </w:r>
      <w:r w:rsidRPr="00B740B4">
        <w:t xml:space="preserve">, which speaks in these terms, was first published in 1546. In mid-sixteenth-century England the natural way to apply the passages about the small horn was to the papacy. </w:t>
      </w:r>
      <w:r w:rsidR="00DB2417" w:rsidRPr="00B740B4">
        <w:t xml:space="preserve">In contrast, </w:t>
      </w:r>
      <w:r w:rsidR="00E03814">
        <w:t xml:space="preserve">however, </w:t>
      </w:r>
      <w:r w:rsidR="00DB2417" w:rsidRPr="00B740B4">
        <w:t>t</w:t>
      </w:r>
      <w:r w:rsidR="006D1EE2" w:rsidRPr="00B740B4">
        <w:t xml:space="preserve">he next English commentary on Daniel, by Broughton, </w:t>
      </w:r>
      <w:r w:rsidR="00B913CB" w:rsidRPr="00B740B4">
        <w:t xml:space="preserve">published in 1596, </w:t>
      </w:r>
      <w:r w:rsidR="006D1EE2" w:rsidRPr="00B740B4">
        <w:t>denied Daniel’s prophecies any historical reference beyond the Antiochene per</w:t>
      </w:r>
      <w:r w:rsidR="00E03814">
        <w:t>iod. While t</w:t>
      </w:r>
      <w:r w:rsidR="006D1EE2" w:rsidRPr="00B740B4">
        <w:t>he latt</w:t>
      </w:r>
      <w:r w:rsidR="00335277" w:rsidRPr="00B740B4">
        <w:t xml:space="preserve">er part of the century saw </w:t>
      </w:r>
      <w:r w:rsidR="006D1EE2" w:rsidRPr="00B740B4">
        <w:t>a lively general sense that the End was imminent and a sporadic int</w:t>
      </w:r>
      <w:r w:rsidR="00335277" w:rsidRPr="00B740B4">
        <w:t xml:space="preserve">erest in calculating its </w:t>
      </w:r>
      <w:r w:rsidR="00E03814">
        <w:t xml:space="preserve">date, </w:t>
      </w:r>
      <w:r w:rsidR="006D1EE2" w:rsidRPr="00B740B4">
        <w:t>Daniel does not seem to have contributed to this</w:t>
      </w:r>
      <w:r w:rsidR="00E03814">
        <w:t xml:space="preserve"> computing</w:t>
      </w:r>
      <w:r w:rsidR="006D1EE2" w:rsidRPr="00B740B4">
        <w:t>, though Joye</w:t>
      </w:r>
      <w:r w:rsidR="00E03814">
        <w:t>’s commentary</w:t>
      </w:r>
      <w:r w:rsidR="006D1EE2" w:rsidRPr="00B740B4">
        <w:t xml:space="preserve"> had</w:t>
      </w:r>
      <w:r w:rsidR="00335277" w:rsidRPr="00B740B4">
        <w:t xml:space="preserve"> offered some calculations pointing</w:t>
      </w:r>
      <w:r w:rsidR="006D1EE2" w:rsidRPr="00B740B4">
        <w:t xml:space="preserve"> to the end of</w:t>
      </w:r>
      <w:r w:rsidR="00E03814">
        <w:t xml:space="preserve"> the century</w:t>
      </w:r>
      <w:r w:rsidR="006D1EE2" w:rsidRPr="00B740B4">
        <w:t>. There was a spirited disagreement on the interpretation of 9:24–27 between Edward Lively</w:t>
      </w:r>
      <w:r w:rsidR="00B913CB" w:rsidRPr="00B740B4">
        <w:t xml:space="preserve"> (1545-1605)</w:t>
      </w:r>
      <w:r w:rsidR="006D1EE2" w:rsidRPr="00B740B4">
        <w:t xml:space="preserve">, who accepted the </w:t>
      </w:r>
      <w:r w:rsidR="002571DB" w:rsidRPr="00B740B4">
        <w:t>MT punctuation of 9:</w:t>
      </w:r>
      <w:r w:rsidR="00B210A3" w:rsidRPr="00B740B4">
        <w:t>25, and</w:t>
      </w:r>
      <w:r w:rsidR="006D1EE2" w:rsidRPr="00B740B4">
        <w:t xml:space="preserve"> Broughton, who rejected it in favor of a punctuation open to seeing the passage as a prophecy </w:t>
      </w:r>
      <w:r w:rsidR="006D1EE2" w:rsidRPr="00B740B4">
        <w:lastRenderedPageBreak/>
        <w:t>of Christ.</w:t>
      </w:r>
      <w:r w:rsidR="006D1EE2" w:rsidRPr="00B740B4">
        <w:rPr>
          <w:vertAlign w:val="superscript"/>
        </w:rPr>
        <w:footnoteReference w:id="168"/>
      </w:r>
      <w:r w:rsidR="003F5ABF" w:rsidRPr="00B740B4">
        <w:t xml:space="preserve"> Thomas Brightman </w:t>
      </w:r>
      <w:r w:rsidR="001C6B3B" w:rsidRPr="00B740B4">
        <w:t>(</w:t>
      </w:r>
      <w:r w:rsidR="003F5ABF" w:rsidRPr="00B740B4">
        <w:t>1562-1607</w:t>
      </w:r>
      <w:r w:rsidR="00E03814">
        <w:t>) developed a revision</w:t>
      </w:r>
      <w:r w:rsidR="001C6B3B" w:rsidRPr="00B740B4">
        <w:t>ist understanding of the chronology in Revelation and Daniel and also crit</w:t>
      </w:r>
      <w:r w:rsidR="00EF41A6" w:rsidRPr="00B740B4">
        <w:t>iqued the Church of England as L</w:t>
      </w:r>
      <w:r w:rsidR="001C6B3B" w:rsidRPr="00B740B4">
        <w:t xml:space="preserve">aodicean (see Rev 3:14-22); </w:t>
      </w:r>
      <w:r w:rsidR="003F5ABF" w:rsidRPr="00B740B4">
        <w:t>his commentary on the last part of Daniel could be published only after his death, in 1635.</w:t>
      </w:r>
      <w:r w:rsidR="003F5ABF" w:rsidRPr="00B740B4">
        <w:rPr>
          <w:vertAlign w:val="superscript"/>
        </w:rPr>
        <w:footnoteReference w:id="169"/>
      </w:r>
    </w:p>
    <w:p w:rsidR="001B2642" w:rsidRPr="00B740B4" w:rsidRDefault="00EF41A6" w:rsidP="001B2642">
      <w:r w:rsidRPr="00B740B4">
        <w:t>A</w:t>
      </w:r>
      <w:r w:rsidR="001B2642" w:rsidRPr="00B740B4">
        <w:t xml:space="preserve">s ecclesiastical and political events developed, </w:t>
      </w:r>
      <w:r w:rsidR="00105597">
        <w:t xml:space="preserve">the </w:t>
      </w:r>
      <w:r w:rsidR="001B2642" w:rsidRPr="00B740B4">
        <w:t xml:space="preserve">Antichrist came to be seen not only in the Roman church but in the Church of England and in the monarchy. </w:t>
      </w:r>
      <w:r w:rsidR="00DB2417" w:rsidRPr="00B740B4">
        <w:t xml:space="preserve">William </w:t>
      </w:r>
      <w:r w:rsidR="001B2642" w:rsidRPr="00B740B4">
        <w:t xml:space="preserve">Aspinwall </w:t>
      </w:r>
      <w:r w:rsidRPr="00B740B4">
        <w:t xml:space="preserve">(1605-62) </w:t>
      </w:r>
      <w:r w:rsidR="00C738EE" w:rsidRPr="00B740B4">
        <w:t xml:space="preserve">in the 1650s </w:t>
      </w:r>
      <w:r w:rsidRPr="00B740B4">
        <w:t>saw</w:t>
      </w:r>
      <w:r w:rsidR="001B2642" w:rsidRPr="00B740B4">
        <w:t xml:space="preserve"> Charles I as the small horn</w:t>
      </w:r>
      <w:r w:rsidR="00E03814">
        <w:t xml:space="preserve"> in Dan</w:t>
      </w:r>
      <w:r w:rsidR="00C94C61" w:rsidRPr="00B740B4">
        <w:t xml:space="preserve"> 7</w:t>
      </w:r>
      <w:r w:rsidR="001B2642" w:rsidRPr="00B740B4">
        <w:t xml:space="preserve">, England, Scotland, and Wales as the three horns that were broken off, the Puritan parliament as the holy ones, </w:t>
      </w:r>
      <w:r w:rsidR="00E03814">
        <w:t xml:space="preserve">and </w:t>
      </w:r>
      <w:r w:rsidR="001B2642" w:rsidRPr="00B740B4">
        <w:t>t</w:t>
      </w:r>
      <w:r w:rsidR="00F832D2" w:rsidRPr="00B740B4">
        <w:t>he Puritans’ rule as the rule</w:t>
      </w:r>
      <w:r w:rsidR="001B2642" w:rsidRPr="00B740B4">
        <w:t xml:space="preserve"> Daniel speaks of: the fifth monarchy is now beginning.</w:t>
      </w:r>
      <w:r w:rsidR="00AD1D14" w:rsidRPr="00B740B4">
        <w:rPr>
          <w:rStyle w:val="FootnoteReference"/>
        </w:rPr>
        <w:footnoteReference w:id="170"/>
      </w:r>
      <w:r w:rsidR="001B2642" w:rsidRPr="00B740B4">
        <w:t xml:space="preserve"> </w:t>
      </w:r>
      <w:r w:rsidR="00C738EE" w:rsidRPr="00B740B4">
        <w:t xml:space="preserve">Thomas </w:t>
      </w:r>
      <w:r w:rsidR="001B2642" w:rsidRPr="00B740B4">
        <w:t xml:space="preserve">Harrison </w:t>
      </w:r>
      <w:r w:rsidR="00C738EE" w:rsidRPr="00B740B4">
        <w:t xml:space="preserve">(1616-60) </w:t>
      </w:r>
      <w:r w:rsidR="001B2642" w:rsidRPr="00B740B4">
        <w:t xml:space="preserve">justifies the fifth monarchists’ violence by noting that Dan 7:18 said that the saints would </w:t>
      </w:r>
      <w:r w:rsidR="001B2642" w:rsidRPr="00B740B4">
        <w:rPr>
          <w:i/>
        </w:rPr>
        <w:t>take</w:t>
      </w:r>
      <w:r w:rsidR="00F832D2" w:rsidRPr="00B740B4">
        <w:t xml:space="preserve"> the rule</w:t>
      </w:r>
      <w:r w:rsidR="001B2642" w:rsidRPr="00B740B4">
        <w:t xml:space="preserve">; in 1653 the fifth monarchist </w:t>
      </w:r>
      <w:r w:rsidR="00C738EE" w:rsidRPr="00B740B4">
        <w:t xml:space="preserve">John </w:t>
      </w:r>
      <w:r w:rsidR="001B2642" w:rsidRPr="00B740B4">
        <w:t xml:space="preserve">Tillinghast </w:t>
      </w:r>
      <w:r w:rsidRPr="00B740B4">
        <w:t xml:space="preserve">(1604-55) </w:t>
      </w:r>
      <w:r w:rsidR="001B2642" w:rsidRPr="00B740B4">
        <w:t>redated the beginning of the 1290 years to 366, when the temple was actually destroyed, so that it would now end in 1656</w:t>
      </w:r>
      <w:r w:rsidR="00C94C61" w:rsidRPr="00B740B4">
        <w:t>.</w:t>
      </w:r>
      <w:r w:rsidR="00C94C61" w:rsidRPr="00B740B4">
        <w:rPr>
          <w:rStyle w:val="FootnoteReference"/>
        </w:rPr>
        <w:footnoteReference w:id="171"/>
      </w:r>
      <w:r w:rsidR="001B2642" w:rsidRPr="00B740B4">
        <w:t xml:space="preserve"> In due course the fifth-monarchy men themselves identified the Protector’s dominion as that of the Beast, to be terminated after its due three and a half years in 1657.</w:t>
      </w:r>
      <w:r w:rsidR="00C94C61" w:rsidRPr="00B740B4">
        <w:rPr>
          <w:rStyle w:val="FootnoteReference"/>
        </w:rPr>
        <w:footnoteReference w:id="172"/>
      </w:r>
      <w:r w:rsidR="009D37E4" w:rsidRPr="00B740B4">
        <w:t xml:space="preserve"> Like Münster, </w:t>
      </w:r>
      <w:r w:rsidR="00E976EE" w:rsidRPr="00B740B4">
        <w:t>G</w:t>
      </w:r>
      <w:r w:rsidR="009D37E4" w:rsidRPr="00B740B4">
        <w:t xml:space="preserve">errard Winstanley (1609-76) believed in taking action, but his action was something non-violent; he belonged to the </w:t>
      </w:r>
      <w:r w:rsidR="00934A11" w:rsidRPr="00B740B4">
        <w:t>“</w:t>
      </w:r>
      <w:r w:rsidR="009D37E4" w:rsidRPr="00B740B4">
        <w:t>Diggers,</w:t>
      </w:r>
      <w:r w:rsidR="00934A11" w:rsidRPr="00B740B4">
        <w:t>”</w:t>
      </w:r>
      <w:r w:rsidR="009D37E4" w:rsidRPr="00B740B4">
        <w:t xml:space="preserve"> who believed it was appropriate to dig up common land in order to farm it. </w:t>
      </w:r>
      <w:r w:rsidR="00ED0AB2" w:rsidRPr="00B740B4">
        <w:t xml:space="preserve">In </w:t>
      </w:r>
      <w:r w:rsidR="00ED0AB2" w:rsidRPr="00B740B4">
        <w:rPr>
          <w:i/>
        </w:rPr>
        <w:t>The Fire in the Bush</w:t>
      </w:r>
      <w:r w:rsidR="00ED0AB2" w:rsidRPr="00B740B4">
        <w:t xml:space="preserve">, he outlined the revelation on which he acted: Daniel’s </w:t>
      </w:r>
      <w:r w:rsidR="009D37E4" w:rsidRPr="00B740B4">
        <w:t>four beasts are kingly power, the power to imprison, the power to buy and sell the earth and its produce</w:t>
      </w:r>
      <w:r w:rsidR="00ED0AB2" w:rsidRPr="00B740B4">
        <w:t>, and the pow</w:t>
      </w:r>
      <w:r w:rsidR="009D37E4" w:rsidRPr="00B740B4">
        <w:t>er of the clergy.</w:t>
      </w:r>
      <w:r w:rsidR="00ED0AB2" w:rsidRPr="00B740B4">
        <w:rPr>
          <w:rStyle w:val="FootnoteReference"/>
        </w:rPr>
        <w:footnoteReference w:id="173"/>
      </w:r>
    </w:p>
    <w:p w:rsidR="001B2642" w:rsidRPr="00B740B4" w:rsidRDefault="001B2642" w:rsidP="001B2642">
      <w:r w:rsidRPr="00B740B4">
        <w:t xml:space="preserve">Among others, </w:t>
      </w:r>
      <w:r w:rsidR="000F6B0B" w:rsidRPr="00B740B4">
        <w:t xml:space="preserve">John </w:t>
      </w:r>
      <w:r w:rsidR="00E976EE" w:rsidRPr="00B740B4">
        <w:t xml:space="preserve">More </w:t>
      </w:r>
      <w:r w:rsidRPr="00B740B4">
        <w:t xml:space="preserve">argued </w:t>
      </w:r>
      <w:r w:rsidR="00E03814" w:rsidRPr="00E03814">
        <w:t xml:space="preserve">on an exegetical basis with Aspinwall </w:t>
      </w:r>
      <w:r w:rsidR="002571DB" w:rsidRPr="00B740B4">
        <w:t xml:space="preserve">in his </w:t>
      </w:r>
      <w:r w:rsidR="002571DB" w:rsidRPr="00B740B4">
        <w:rPr>
          <w:i/>
        </w:rPr>
        <w:t xml:space="preserve">A Trumpet Sounded </w:t>
      </w:r>
      <w:r w:rsidR="000F6B0B" w:rsidRPr="00B740B4">
        <w:t xml:space="preserve">(1654) </w:t>
      </w:r>
      <w:r w:rsidRPr="00B740B4">
        <w:t>by pointing out that Charles did not fit Daniel’s portrait. He killed no kings; it is</w:t>
      </w:r>
      <w:r w:rsidR="00E03814">
        <w:t xml:space="preserve"> Cromwell who is the small horn</w:t>
      </w:r>
      <w:r w:rsidRPr="00B740B4">
        <w:t>. But history was a more compelling judge of Danielic exegesis. After the end of the fifth</w:t>
      </w:r>
      <w:r w:rsidR="002657CE" w:rsidRPr="00B740B4">
        <w:t xml:space="preserve"> </w:t>
      </w:r>
      <w:r w:rsidRPr="00B740B4">
        <w:t>monarchy mov</w:t>
      </w:r>
      <w:r w:rsidR="002657CE" w:rsidRPr="00B740B4">
        <w:t>ement, the eschatological hopes</w:t>
      </w:r>
      <w:r w:rsidRPr="00B740B4">
        <w:t xml:space="preserve"> to whose shaping</w:t>
      </w:r>
      <w:r w:rsidR="002657CE" w:rsidRPr="00B740B4">
        <w:t xml:space="preserve"> Daniel made a key contribution</w:t>
      </w:r>
      <w:r w:rsidRPr="00B740B4">
        <w:t xml:space="preserve"> centered on less political events, such as the conversion of the Jews already emphasized by Brightman and </w:t>
      </w:r>
      <w:r w:rsidR="000F6B0B" w:rsidRPr="00B740B4">
        <w:t xml:space="preserve">Ephraim </w:t>
      </w:r>
      <w:r w:rsidRPr="00B740B4">
        <w:t>Huit</w:t>
      </w:r>
      <w:r w:rsidR="00E57DD0" w:rsidRPr="00B740B4">
        <w:t xml:space="preserve"> (1591-1644)</w:t>
      </w:r>
      <w:r w:rsidRPr="00B740B4">
        <w:t>.</w:t>
      </w:r>
      <w:r w:rsidR="002657CE" w:rsidRPr="00B740B4">
        <w:rPr>
          <w:rStyle w:val="FootnoteReference"/>
        </w:rPr>
        <w:footnoteReference w:id="174"/>
      </w:r>
      <w:r w:rsidRPr="00B740B4">
        <w:t xml:space="preserve"> The historical approach to interpretation practiced by writers such as Calvin (</w:t>
      </w:r>
      <w:r w:rsidR="00E03814">
        <w:t xml:space="preserve">his </w:t>
      </w:r>
      <w:r w:rsidRPr="00B740B4">
        <w:rPr>
          <w:i/>
        </w:rPr>
        <w:t>Institutes</w:t>
      </w:r>
      <w:r w:rsidRPr="00B740B4">
        <w:t xml:space="preserve"> quotes Dan 2:34 in this connection) and Broughton did not prevent them from expecting a future fulfillment of OT prophecies of the world’s acknowledgment of God, an expectation taken up by the Puritans, with the encouragement of passages such as Dan 2:34–35, 44; 7:26–27</w:t>
      </w:r>
      <w:r w:rsidR="00E03814">
        <w:t>. T</w:t>
      </w:r>
      <w:r w:rsidRPr="00B740B4">
        <w:t xml:space="preserve">his </w:t>
      </w:r>
      <w:r w:rsidR="00E03814">
        <w:t xml:space="preserve">approach </w:t>
      </w:r>
      <w:r w:rsidRPr="00B740B4">
        <w:t>was to be one important stimulus for the development of the missionary move</w:t>
      </w:r>
      <w:r w:rsidR="00E57DD0" w:rsidRPr="00B740B4">
        <w:t>ments of the next two centuries.</w:t>
      </w:r>
      <w:r w:rsidR="00E57DD0" w:rsidRPr="00B740B4">
        <w:rPr>
          <w:rStyle w:val="FootnoteReference"/>
        </w:rPr>
        <w:footnoteReference w:id="175"/>
      </w:r>
    </w:p>
    <w:p w:rsidR="00514A19" w:rsidRPr="00B740B4" w:rsidRDefault="00743144" w:rsidP="009479B1">
      <w:pPr>
        <w:pStyle w:val="Heading2"/>
      </w:pPr>
      <w:r w:rsidRPr="00B740B4">
        <w:t>On t</w:t>
      </w:r>
      <w:r w:rsidR="00514A19" w:rsidRPr="00B740B4">
        <w:t xml:space="preserve">he Eve of </w:t>
      </w:r>
      <w:r w:rsidRPr="00B740B4">
        <w:t xml:space="preserve">Biblical </w:t>
      </w:r>
      <w:r w:rsidR="00514A19" w:rsidRPr="00B740B4">
        <w:t>Criticism</w:t>
      </w:r>
    </w:p>
    <w:p w:rsidR="005C0BEF" w:rsidRPr="00B740B4" w:rsidRDefault="00DB10B0" w:rsidP="001B2642">
      <w:r w:rsidRPr="00B740B4">
        <w:t xml:space="preserve">The seventeenth century saw developing interest in the two related convictions that underlie the critical study of Daniel </w:t>
      </w:r>
      <w:r w:rsidR="00D37874" w:rsidRPr="00B740B4">
        <w:t xml:space="preserve">that is </w:t>
      </w:r>
      <w:r w:rsidRPr="00B740B4">
        <w:t xml:space="preserve">characteristic of </w:t>
      </w:r>
      <w:r w:rsidR="005C0BEF" w:rsidRPr="00B740B4">
        <w:t>academic study in the modern period. A</w:t>
      </w:r>
      <w:r w:rsidRPr="00B740B4">
        <w:t xml:space="preserve">s well as the belief that all the prophecies relate historically to the </w:t>
      </w:r>
      <w:r w:rsidR="00E03814">
        <w:t>time of Antiochus</w:t>
      </w:r>
      <w:r w:rsidRPr="00B740B4">
        <w:t xml:space="preserve">, </w:t>
      </w:r>
      <w:r w:rsidR="00D37874" w:rsidRPr="00B740B4">
        <w:t xml:space="preserve">there is </w:t>
      </w:r>
      <w:r w:rsidRPr="00B740B4">
        <w:t>also t</w:t>
      </w:r>
      <w:r w:rsidR="005C0BEF" w:rsidRPr="00B740B4">
        <w:t>he inference</w:t>
      </w:r>
      <w:r w:rsidRPr="00B740B4">
        <w:t xml:space="preserve"> that this </w:t>
      </w:r>
      <w:r w:rsidR="00D37874" w:rsidRPr="00B740B4">
        <w:t>period was when</w:t>
      </w:r>
      <w:r w:rsidR="005C0BEF" w:rsidRPr="00B740B4">
        <w:t xml:space="preserve"> the book was </w:t>
      </w:r>
      <w:r w:rsidRPr="00B740B4">
        <w:t>written.</w:t>
      </w:r>
      <w:r w:rsidR="00D37874" w:rsidRPr="00B740B4">
        <w:t xml:space="preserve"> At both points critical study came to affirm</w:t>
      </w:r>
      <w:r w:rsidRPr="00B740B4">
        <w:t xml:space="preserve"> what Porphyry declared in the second century. Thus Benedict de Spinoza (1632-77), the unapocalyptic unobservant Jew, in the tumultuous seventeenth-cen</w:t>
      </w:r>
      <w:r w:rsidR="002657CE" w:rsidRPr="00B740B4">
        <w:t>tury context from which he was apparently</w:t>
      </w:r>
      <w:r w:rsidRPr="00B740B4">
        <w:t xml:space="preserve"> insulated, </w:t>
      </w:r>
      <w:r w:rsidR="00D37874" w:rsidRPr="00B740B4">
        <w:t xml:space="preserve">seems to </w:t>
      </w:r>
      <w:r w:rsidR="00D37874" w:rsidRPr="00B740B4">
        <w:lastRenderedPageBreak/>
        <w:t xml:space="preserve">have studied Daniel in a detached fashion </w:t>
      </w:r>
      <w:r w:rsidR="007063F7">
        <w:t xml:space="preserve">within this framework </w:t>
      </w:r>
      <w:r w:rsidR="00D37874" w:rsidRPr="00B740B4">
        <w:t>in the course of thinking</w:t>
      </w:r>
      <w:r w:rsidRPr="00B740B4">
        <w:t xml:space="preserve"> his way through que</w:t>
      </w:r>
      <w:r w:rsidR="004F2AA3">
        <w:t>stions about the origin of the s</w:t>
      </w:r>
      <w:r w:rsidRPr="00B740B4">
        <w:t>criptures.</w:t>
      </w:r>
      <w:r w:rsidRPr="00B740B4">
        <w:rPr>
          <w:vertAlign w:val="superscript"/>
        </w:rPr>
        <w:footnoteReference w:id="176"/>
      </w:r>
      <w:r w:rsidRPr="00B740B4">
        <w:t xml:space="preserve"> </w:t>
      </w:r>
    </w:p>
    <w:p w:rsidR="00DB10B0" w:rsidRPr="00B740B4" w:rsidRDefault="006F0EB3" w:rsidP="001B2642">
      <w:r w:rsidRPr="00B740B4">
        <w:t>In contrast,</w:t>
      </w:r>
      <w:r w:rsidR="00DB10B0" w:rsidRPr="00B740B4">
        <w:t xml:space="preserve"> his </w:t>
      </w:r>
      <w:r w:rsidR="00D37874" w:rsidRPr="00B740B4">
        <w:t>fellow-</w:t>
      </w:r>
      <w:r w:rsidR="00DB10B0" w:rsidRPr="00B740B4">
        <w:t xml:space="preserve">Portuguese contemporary the Jesuit preacher and writer António Viera (1608-97) wrote an extensive </w:t>
      </w:r>
      <w:r w:rsidR="00934A11" w:rsidRPr="00B740B4">
        <w:t>“</w:t>
      </w:r>
      <w:r w:rsidR="00DB10B0" w:rsidRPr="00B740B4">
        <w:t>History of the Future</w:t>
      </w:r>
      <w:r w:rsidR="00934A11" w:rsidRPr="00B740B4">
        <w:t>”</w:t>
      </w:r>
      <w:r w:rsidR="00DB10B0" w:rsidRPr="00B740B4">
        <w:t xml:space="preserve"> or </w:t>
      </w:r>
      <w:r w:rsidR="00934A11" w:rsidRPr="00B740B4">
        <w:t>“</w:t>
      </w:r>
      <w:r w:rsidR="00DB10B0" w:rsidRPr="00B740B4">
        <w:t>Key to the Prophets</w:t>
      </w:r>
      <w:r w:rsidR="00934A11" w:rsidRPr="00B740B4">
        <w:t>”</w:t>
      </w:r>
      <w:r w:rsidR="00DB10B0" w:rsidRPr="00B740B4">
        <w:t xml:space="preserve"> or </w:t>
      </w:r>
      <w:r w:rsidR="00934A11" w:rsidRPr="00B740B4">
        <w:t>“</w:t>
      </w:r>
      <w:r w:rsidR="00DB10B0" w:rsidRPr="00B740B4">
        <w:t>Fifth Empire</w:t>
      </w:r>
      <w:r w:rsidR="00934A11" w:rsidRPr="00B740B4">
        <w:t>”</w:t>
      </w:r>
      <w:r w:rsidR="00DB10B0" w:rsidRPr="00B740B4">
        <w:t xml:space="preserve"> in which he took</w:t>
      </w:r>
      <w:r w:rsidR="00D37874" w:rsidRPr="00B740B4">
        <w:t xml:space="preserve"> Daniel’s four-empire scheme</w:t>
      </w:r>
      <w:r w:rsidR="00DB10B0" w:rsidRPr="00B740B4">
        <w:t xml:space="preserve"> as the basis for a promise that the tough aspects of Portugal’s current experience were but the preliminaries to the fulfillment of God’s final purpose, which would be good news for Portugal.</w:t>
      </w:r>
      <w:r w:rsidR="00DB10B0" w:rsidRPr="00B740B4">
        <w:rPr>
          <w:vertAlign w:val="superscript"/>
        </w:rPr>
        <w:footnoteReference w:id="177"/>
      </w:r>
      <w:r w:rsidR="00DB10B0" w:rsidRPr="00B740B4">
        <w:t xml:space="preserve"> </w:t>
      </w:r>
    </w:p>
    <w:p w:rsidR="00D37874" w:rsidRPr="00B740B4" w:rsidRDefault="00D37874" w:rsidP="00DB10B0">
      <w:r w:rsidRPr="00B740B4">
        <w:t>In England, l</w:t>
      </w:r>
      <w:r w:rsidR="00DB10B0" w:rsidRPr="00B740B4">
        <w:t>ikewise</w:t>
      </w:r>
      <w:r w:rsidRPr="00B740B4">
        <w:t>,</w:t>
      </w:r>
      <w:r w:rsidR="00DB10B0" w:rsidRPr="00B740B4">
        <w:t xml:space="preserve"> </w:t>
      </w:r>
      <w:r w:rsidR="000C507C" w:rsidRPr="00B740B4">
        <w:t xml:space="preserve">on one hand the work of Anthony Collins (1676-1729) presents </w:t>
      </w:r>
      <w:r w:rsidR="00DB10B0" w:rsidRPr="00B740B4">
        <w:t>t</w:t>
      </w:r>
      <w:r w:rsidR="001B2642" w:rsidRPr="00B740B4">
        <w:t>he main features of the critical argument for the second-</w:t>
      </w:r>
      <w:r w:rsidR="000C507C" w:rsidRPr="00B740B4">
        <w:t>century date of Daniel :</w:t>
      </w:r>
      <w:r w:rsidR="00743144" w:rsidRPr="00B740B4">
        <w:t xml:space="preserve"> </w:t>
      </w:r>
      <w:r w:rsidR="001B2642" w:rsidRPr="00B740B4">
        <w:t xml:space="preserve">the historical problems, the Greek words, the prophecies relating to the second century (Collins is taking up the work of Porphyry), the book’s location among the Writings, </w:t>
      </w:r>
      <w:r w:rsidR="007063F7">
        <w:t xml:space="preserve">and </w:t>
      </w:r>
      <w:r w:rsidR="001B2642" w:rsidRPr="00B740B4">
        <w:t>the late Aramaic.</w:t>
      </w:r>
      <w:r w:rsidR="00DB10B0" w:rsidRPr="00B740B4">
        <w:t xml:space="preserve"> </w:t>
      </w:r>
    </w:p>
    <w:p w:rsidR="00D37874" w:rsidRPr="00B740B4" w:rsidRDefault="00DB10B0" w:rsidP="00D37874">
      <w:pPr>
        <w:rPr>
          <w:iCs/>
        </w:rPr>
      </w:pPr>
      <w:r w:rsidRPr="00B740B4">
        <w:t xml:space="preserve">Yet </w:t>
      </w:r>
      <w:r w:rsidR="00D37874" w:rsidRPr="00B740B4">
        <w:t xml:space="preserve">as </w:t>
      </w:r>
      <w:r w:rsidR="001B2642" w:rsidRPr="00B740B4">
        <w:t>the critical approach to Daniel</w:t>
      </w:r>
      <w:r w:rsidR="00D37874" w:rsidRPr="00B740B4">
        <w:t xml:space="preserve"> was developing</w:t>
      </w:r>
      <w:r w:rsidR="001B2642" w:rsidRPr="00B740B4">
        <w:t xml:space="preserve">, </w:t>
      </w:r>
      <w:r w:rsidR="00934A11" w:rsidRPr="00B740B4">
        <w:t>“</w:t>
      </w:r>
      <w:r w:rsidR="001B2642" w:rsidRPr="00B740B4">
        <w:t>leading British churchmen and theologians</w:t>
      </w:r>
      <w:r w:rsidR="00934A11" w:rsidRPr="00B740B4">
        <w:t>”</w:t>
      </w:r>
      <w:r w:rsidR="001B2642" w:rsidRPr="00B740B4">
        <w:t xml:space="preserve"> and </w:t>
      </w:r>
      <w:r w:rsidR="00934A11" w:rsidRPr="00B740B4">
        <w:t>“</w:t>
      </w:r>
      <w:r w:rsidR="001B2642" w:rsidRPr="00B740B4">
        <w:t>leading British radicals and socialists</w:t>
      </w:r>
      <w:r w:rsidR="00934A11" w:rsidRPr="00B740B4">
        <w:t>”</w:t>
      </w:r>
      <w:r w:rsidR="001B2642" w:rsidRPr="00B740B4">
        <w:t xml:space="preserve">—not a mere lunatic fringe—continued to see events of their day as the fulfillment of Daniel’s visions and </w:t>
      </w:r>
      <w:r w:rsidR="004F2AA3">
        <w:t>of other prophetic material in the s</w:t>
      </w:r>
      <w:r w:rsidR="001B2642" w:rsidRPr="00B740B4">
        <w:t>cripture</w:t>
      </w:r>
      <w:r w:rsidR="004F2AA3">
        <w:t>s</w:t>
      </w:r>
      <w:r w:rsidR="00743144" w:rsidRPr="00B740B4">
        <w:t>.</w:t>
      </w:r>
      <w:r w:rsidR="00743144" w:rsidRPr="00B740B4">
        <w:rPr>
          <w:rStyle w:val="FootnoteReference"/>
        </w:rPr>
        <w:footnoteReference w:id="178"/>
      </w:r>
      <w:r w:rsidR="00D37874" w:rsidRPr="00B740B4">
        <w:t xml:space="preserve"> </w:t>
      </w:r>
      <w:r w:rsidR="005C0BEF" w:rsidRPr="00B740B4">
        <w:t>Isaac Newton (1642-1727) the</w:t>
      </w:r>
      <w:r w:rsidR="0054512A" w:rsidRPr="00B740B4">
        <w:t xml:space="preserve"> mathematician and physicist</w:t>
      </w:r>
      <w:r w:rsidR="005C0BEF" w:rsidRPr="00B740B4">
        <w:t xml:space="preserve"> </w:t>
      </w:r>
      <w:r w:rsidR="00741369" w:rsidRPr="00B740B4">
        <w:t>also wrote on the</w:t>
      </w:r>
      <w:r w:rsidRPr="00B740B4">
        <w:t xml:space="preserve"> prophecies in Daniel, which Go</w:t>
      </w:r>
      <w:r w:rsidR="00741369" w:rsidRPr="00B740B4">
        <w:t xml:space="preserve">d gave </w:t>
      </w:r>
      <w:r w:rsidR="00934A11" w:rsidRPr="00B740B4">
        <w:t>“</w:t>
      </w:r>
      <w:r w:rsidR="00741369" w:rsidRPr="00B740B4">
        <w:rPr>
          <w:iCs/>
        </w:rPr>
        <w:t>not to gratify men's curiosities by enabling them to foreknow things, but that after they were fulfilled they might be interpreted by the event,</w:t>
      </w:r>
      <w:r w:rsidR="00934A11" w:rsidRPr="00B740B4">
        <w:rPr>
          <w:iCs/>
        </w:rPr>
        <w:t>”</w:t>
      </w:r>
      <w:r w:rsidR="00741369" w:rsidRPr="00B740B4">
        <w:rPr>
          <w:iCs/>
        </w:rPr>
        <w:t xml:space="preserve"> so that </w:t>
      </w:r>
      <w:r w:rsidR="00934A11" w:rsidRPr="00B740B4">
        <w:rPr>
          <w:iCs/>
        </w:rPr>
        <w:t>“</w:t>
      </w:r>
      <w:r w:rsidR="00741369" w:rsidRPr="00B740B4">
        <w:rPr>
          <w:iCs/>
        </w:rPr>
        <w:t>the event of things predicted many ages before, will then be a convincing argument that the world is governed by providence</w:t>
      </w:r>
      <w:r w:rsidR="005C0BEF" w:rsidRPr="00B740B4">
        <w:rPr>
          <w:iCs/>
        </w:rPr>
        <w:t>.</w:t>
      </w:r>
      <w:r w:rsidR="00934A11" w:rsidRPr="00B740B4">
        <w:rPr>
          <w:iCs/>
        </w:rPr>
        <w:t>”</w:t>
      </w:r>
      <w:r w:rsidR="005C0BEF" w:rsidRPr="00B740B4">
        <w:rPr>
          <w:iCs/>
        </w:rPr>
        <w:t xml:space="preserve"> The four empires are </w:t>
      </w:r>
      <w:r w:rsidR="00741369" w:rsidRPr="00B740B4">
        <w:rPr>
          <w:iCs/>
        </w:rPr>
        <w:t>Babylon, Persia, Greece, and Rome, with the succeeding European nations being the ten horns; the seventy weeks extend from Ezra to the death of Christ.</w:t>
      </w:r>
      <w:r w:rsidR="00412655" w:rsidRPr="00B740B4">
        <w:rPr>
          <w:rStyle w:val="FootnoteReference"/>
          <w:iCs/>
        </w:rPr>
        <w:footnoteReference w:id="179"/>
      </w:r>
      <w:r w:rsidR="00D37874" w:rsidRPr="00B740B4">
        <w:rPr>
          <w:iCs/>
        </w:rPr>
        <w:t xml:space="preserve"> Newton </w:t>
      </w:r>
      <w:r w:rsidR="00412655" w:rsidRPr="00B740B4">
        <w:rPr>
          <w:iCs/>
        </w:rPr>
        <w:t xml:space="preserve">mostly </w:t>
      </w:r>
      <w:r w:rsidR="00D37874" w:rsidRPr="00B740B4">
        <w:rPr>
          <w:iCs/>
        </w:rPr>
        <w:t xml:space="preserve">declined to infer future </w:t>
      </w:r>
      <w:r w:rsidR="00E71ED0" w:rsidRPr="00B740B4">
        <w:rPr>
          <w:iCs/>
        </w:rPr>
        <w:t>dates from the</w:t>
      </w:r>
      <w:r w:rsidR="00D37874" w:rsidRPr="00B740B4">
        <w:rPr>
          <w:iCs/>
        </w:rPr>
        <w:t xml:space="preserve"> visions, </w:t>
      </w:r>
      <w:r w:rsidR="00E71ED0" w:rsidRPr="00B740B4">
        <w:rPr>
          <w:iCs/>
        </w:rPr>
        <w:t>though he did say that he expected the end to come in 2060. This calculation had the advantage of being a long way away from his own time and that of his rash contemporary interpreters (</w:t>
      </w:r>
      <w:r w:rsidR="000C507C" w:rsidRPr="00B740B4">
        <w:rPr>
          <w:iCs/>
        </w:rPr>
        <w:t xml:space="preserve">even </w:t>
      </w:r>
      <w:r w:rsidR="00E71ED0" w:rsidRPr="00B740B4">
        <w:rPr>
          <w:iCs/>
        </w:rPr>
        <w:t xml:space="preserve">the present writer will not live long enough to see whether the mathematician’s calculation was correct, but one or two of my readers may see it). </w:t>
      </w:r>
      <w:r w:rsidR="00D37874" w:rsidRPr="00B740B4">
        <w:rPr>
          <w:iCs/>
        </w:rPr>
        <w:t xml:space="preserve">Charles Wesley (1707-88), who appreciated Newton’s work on the prophecies, </w:t>
      </w:r>
      <w:r w:rsidR="00E71ED0" w:rsidRPr="00B740B4">
        <w:rPr>
          <w:iCs/>
        </w:rPr>
        <w:t>was less reticent. I</w:t>
      </w:r>
      <w:r w:rsidR="00D37874" w:rsidRPr="00B740B4">
        <w:rPr>
          <w:iCs/>
        </w:rPr>
        <w:t xml:space="preserve">n a letter of 1754 </w:t>
      </w:r>
      <w:r w:rsidR="00E71ED0" w:rsidRPr="00B740B4">
        <w:rPr>
          <w:iCs/>
        </w:rPr>
        <w:t xml:space="preserve">he </w:t>
      </w:r>
      <w:r w:rsidR="00D37874" w:rsidRPr="00B740B4">
        <w:rPr>
          <w:iCs/>
        </w:rPr>
        <w:t>explains that in his own day God had shaken off the seals on the scroll and enabled him to generate the year 1794 as the date for the arrival of the f</w:t>
      </w:r>
      <w:r w:rsidR="00F832D2" w:rsidRPr="00B740B4">
        <w:rPr>
          <w:iCs/>
        </w:rPr>
        <w:t>ifth regime</w:t>
      </w:r>
      <w:r w:rsidR="00E71ED0" w:rsidRPr="00B740B4">
        <w:rPr>
          <w:iCs/>
        </w:rPr>
        <w:t>, given that</w:t>
      </w:r>
      <w:r w:rsidR="005C0BEF" w:rsidRPr="00B740B4">
        <w:rPr>
          <w:iCs/>
        </w:rPr>
        <w:t xml:space="preserve"> </w:t>
      </w:r>
      <w:r w:rsidR="00D37874" w:rsidRPr="00B740B4">
        <w:rPr>
          <w:iCs/>
        </w:rPr>
        <w:t xml:space="preserve">2300 years (8:14) would </w:t>
      </w:r>
      <w:r w:rsidR="005C0BEF" w:rsidRPr="00B740B4">
        <w:rPr>
          <w:iCs/>
        </w:rPr>
        <w:t xml:space="preserve">then have </w:t>
      </w:r>
      <w:r w:rsidR="00D37874" w:rsidRPr="00B740B4">
        <w:rPr>
          <w:iCs/>
        </w:rPr>
        <w:t>elapse</w:t>
      </w:r>
      <w:r w:rsidR="005C0BEF" w:rsidRPr="00B740B4">
        <w:rPr>
          <w:iCs/>
        </w:rPr>
        <w:t xml:space="preserve">d from </w:t>
      </w:r>
      <w:r w:rsidR="00D37874" w:rsidRPr="00B740B4">
        <w:rPr>
          <w:iCs/>
        </w:rPr>
        <w:t>538</w:t>
      </w:r>
      <w:r w:rsidR="005C0BEF" w:rsidRPr="00B740B4">
        <w:rPr>
          <w:iCs/>
        </w:rPr>
        <w:t xml:space="preserve"> BC</w:t>
      </w:r>
      <w:r w:rsidR="00D37874" w:rsidRPr="00B740B4">
        <w:rPr>
          <w:iCs/>
        </w:rPr>
        <w:t>.</w:t>
      </w:r>
      <w:r w:rsidR="00D37874" w:rsidRPr="00B740B4">
        <w:rPr>
          <w:iCs/>
          <w:vertAlign w:val="superscript"/>
        </w:rPr>
        <w:footnoteReference w:id="180"/>
      </w:r>
    </w:p>
    <w:p w:rsidR="008C06B6" w:rsidRPr="00B740B4" w:rsidRDefault="002F51D6" w:rsidP="008C06B6">
      <w:r w:rsidRPr="00B740B4">
        <w:t>In</w:t>
      </w:r>
      <w:r w:rsidR="00DB10B0" w:rsidRPr="00B740B4">
        <w:t xml:space="preserve"> the nineteenth </w:t>
      </w:r>
      <w:r w:rsidRPr="00B740B4">
        <w:t>century,</w:t>
      </w:r>
      <w:r w:rsidR="00DB10B0" w:rsidRPr="00B740B4">
        <w:t xml:space="preserve"> </w:t>
      </w:r>
      <w:r w:rsidR="0001665E" w:rsidRPr="00B740B4">
        <w:t xml:space="preserve">Cardinal </w:t>
      </w:r>
      <w:r w:rsidR="006504B3" w:rsidRPr="00B740B4">
        <w:t xml:space="preserve">John Henry Newman </w:t>
      </w:r>
      <w:r w:rsidR="00D37874" w:rsidRPr="00B740B4">
        <w:t xml:space="preserve">(1801-90) </w:t>
      </w:r>
      <w:r w:rsidR="00DB10B0" w:rsidRPr="00B740B4">
        <w:t>argued</w:t>
      </w:r>
      <w:r w:rsidR="0001665E" w:rsidRPr="00B740B4">
        <w:t xml:space="preserve"> in the fifth volume of his Tracts for the Times that Rome has not</w:t>
      </w:r>
      <w:r w:rsidR="00F832D2" w:rsidRPr="00B740B4">
        <w:t xml:space="preserve"> yet divided into ten regime</w:t>
      </w:r>
      <w:r w:rsidR="00D37874" w:rsidRPr="00B740B4">
        <w:t xml:space="preserve">s; </w:t>
      </w:r>
      <w:r w:rsidR="0001665E" w:rsidRPr="00B740B4">
        <w:t>Antiochus in Daniel is a foreshadowing of the Antichrist, and the fulfillment of this aspect of Daniel’s prophecy is also still to come.</w:t>
      </w:r>
      <w:r w:rsidR="0001665E" w:rsidRPr="00B740B4">
        <w:rPr>
          <w:rStyle w:val="FootnoteReference"/>
        </w:rPr>
        <w:footnoteReference w:id="181"/>
      </w:r>
      <w:r w:rsidR="00DB10B0" w:rsidRPr="00B740B4">
        <w:t xml:space="preserve"> E. W. Bullinger (1837-1913), </w:t>
      </w:r>
      <w:r w:rsidR="00017B23" w:rsidRPr="00B740B4">
        <w:t xml:space="preserve">who had been </w:t>
      </w:r>
      <w:r w:rsidR="00DB10B0" w:rsidRPr="00B740B4">
        <w:t>made a Doctor of Divinity for his service of the church in the realm of biblical criticism,</w:t>
      </w:r>
      <w:r w:rsidR="00017B23" w:rsidRPr="00B740B4">
        <w:rPr>
          <w:rStyle w:val="FootnoteReference"/>
        </w:rPr>
        <w:footnoteReference w:id="182"/>
      </w:r>
      <w:r w:rsidR="00DB10B0" w:rsidRPr="00B740B4">
        <w:t xml:space="preserve"> edited </w:t>
      </w:r>
      <w:r w:rsidR="00DB10B0" w:rsidRPr="00B740B4">
        <w:rPr>
          <w:i/>
        </w:rPr>
        <w:t>The</w:t>
      </w:r>
      <w:r w:rsidR="00DB10B0" w:rsidRPr="00B740B4">
        <w:t xml:space="preserve"> </w:t>
      </w:r>
      <w:r w:rsidR="00DB10B0" w:rsidRPr="00B740B4">
        <w:rPr>
          <w:i/>
        </w:rPr>
        <w:t>Companion Bible</w:t>
      </w:r>
      <w:r w:rsidR="00DB10B0" w:rsidRPr="00B740B4">
        <w:t>, which ide</w:t>
      </w:r>
      <w:r w:rsidR="00F832D2" w:rsidRPr="00B740B4">
        <w:t xml:space="preserve">ntifies Islam as a fifth </w:t>
      </w:r>
      <w:r w:rsidR="00F832D2" w:rsidRPr="00B740B4">
        <w:lastRenderedPageBreak/>
        <w:t>empire</w:t>
      </w:r>
      <w:r w:rsidR="00DB10B0" w:rsidRPr="00B740B4">
        <w:t xml:space="preserve"> (Dan 2:41-43) to follow Rome befo</w:t>
      </w:r>
      <w:r w:rsidR="00F832D2" w:rsidRPr="00B740B4">
        <w:t>re the coming of God’s final reign</w:t>
      </w:r>
      <w:r w:rsidR="00DB10B0" w:rsidRPr="00B740B4">
        <w:t xml:space="preserve">. </w:t>
      </w:r>
      <w:r w:rsidR="008C06B6" w:rsidRPr="00B740B4">
        <w:t>Other wri</w:t>
      </w:r>
      <w:r w:rsidR="00C04BAC" w:rsidRPr="00B740B4">
        <w:t>ters found</w:t>
      </w:r>
      <w:r w:rsidR="008C06B6" w:rsidRPr="00B740B4">
        <w:t xml:space="preserve"> </w:t>
      </w:r>
      <w:r w:rsidR="00C04BAC" w:rsidRPr="00B740B4">
        <w:t xml:space="preserve">other insights on recent, contemporary, and coming events </w:t>
      </w:r>
      <w:r w:rsidR="008C06B6" w:rsidRPr="00B740B4">
        <w:t>: Dan 4:19 [16] refers to the French Revolution;</w:t>
      </w:r>
      <w:r w:rsidR="008C06B6" w:rsidRPr="00B740B4">
        <w:rPr>
          <w:vertAlign w:val="superscript"/>
        </w:rPr>
        <w:footnoteReference w:id="183"/>
      </w:r>
      <w:r w:rsidR="008C06B6" w:rsidRPr="00B740B4">
        <w:t xml:space="preserve"> so does 11:36–39;</w:t>
      </w:r>
      <w:r w:rsidR="008C06B6" w:rsidRPr="00B740B4">
        <w:rPr>
          <w:vertAlign w:val="superscript"/>
        </w:rPr>
        <w:footnoteReference w:id="184"/>
      </w:r>
      <w:r w:rsidR="008C06B6" w:rsidRPr="00B740B4">
        <w:t xml:space="preserve"> 8:14 refers to the events of 1814</w:t>
      </w:r>
      <w:r w:rsidR="008C06B6" w:rsidRPr="00B740B4">
        <w:rPr>
          <w:vertAlign w:val="superscript"/>
        </w:rPr>
        <w:footnoteReference w:id="185"/>
      </w:r>
      <w:r w:rsidR="008C06B6" w:rsidRPr="00B740B4">
        <w:t xml:space="preserve"> or to the year 1867, when the papacy will fall</w:t>
      </w:r>
      <w:r w:rsidR="008C06B6" w:rsidRPr="00B740B4">
        <w:rPr>
          <w:vertAlign w:val="superscript"/>
        </w:rPr>
        <w:footnoteReference w:id="186"/>
      </w:r>
      <w:r w:rsidR="008C06B6" w:rsidRPr="00B740B4">
        <w:t xml:space="preserve"> (the interpreters are usually Protestant and the interpretations match). </w:t>
      </w:r>
      <w:r w:rsidR="009B4F37" w:rsidRPr="00B740B4">
        <w:t>The renowned Irish preacher and evangelist Henry Grattan Guinness calculated that the end would come in 1919</w:t>
      </w:r>
      <w:r w:rsidR="005969CC" w:rsidRPr="00B740B4">
        <w:t>-23</w:t>
      </w:r>
      <w:r w:rsidR="007063F7">
        <w:t xml:space="preserve">; </w:t>
      </w:r>
      <w:r w:rsidR="005969CC" w:rsidRPr="00B740B4">
        <w:t>E. H. Horne</w:t>
      </w:r>
      <w:r w:rsidR="005A3D66" w:rsidRPr="00B740B4">
        <w:t xml:space="preserve"> </w:t>
      </w:r>
      <w:r w:rsidR="00C04BAC" w:rsidRPr="00B740B4">
        <w:t>(</w:t>
      </w:r>
      <w:r w:rsidR="005A3D66" w:rsidRPr="00B740B4">
        <w:t>who had meanwhile published his</w:t>
      </w:r>
      <w:r w:rsidR="00486A45" w:rsidRPr="00B740B4">
        <w:t xml:space="preserve"> own study of</w:t>
      </w:r>
      <w:r w:rsidR="005969CC" w:rsidRPr="00B740B4">
        <w:t xml:space="preserve"> the interpretation </w:t>
      </w:r>
      <w:r w:rsidR="00C04BAC" w:rsidRPr="00B740B4">
        <w:t>of prophecy)</w:t>
      </w:r>
      <w:r w:rsidR="005969CC" w:rsidRPr="00B740B4">
        <w:t xml:space="preserve"> </w:t>
      </w:r>
      <w:r w:rsidR="00C04BAC" w:rsidRPr="00B740B4">
        <w:t xml:space="preserve">produced a revised edition of his </w:t>
      </w:r>
      <w:r w:rsidR="00486A45" w:rsidRPr="00B740B4">
        <w:t xml:space="preserve">book </w:t>
      </w:r>
      <w:r w:rsidR="008362A7" w:rsidRPr="00B740B4">
        <w:t>in 1918,</w:t>
      </w:r>
      <w:r w:rsidR="00486A45" w:rsidRPr="00B740B4">
        <w:t xml:space="preserve"> by which time some of Guinness’s predictions had been fulfilled</w:t>
      </w:r>
      <w:r w:rsidR="009B4F37" w:rsidRPr="00B740B4">
        <w:t>.</w:t>
      </w:r>
      <w:r w:rsidR="009B4F37" w:rsidRPr="00B740B4">
        <w:rPr>
          <w:rStyle w:val="FootnoteReference"/>
        </w:rPr>
        <w:footnoteReference w:id="187"/>
      </w:r>
      <w:r w:rsidR="00C04BAC" w:rsidRPr="00B740B4">
        <w:t xml:space="preserve"> </w:t>
      </w:r>
      <w:r w:rsidR="00486A45" w:rsidRPr="00B740B4">
        <w:t>At the same time such writers</w:t>
      </w:r>
      <w:r w:rsidR="00C04BAC" w:rsidRPr="00B740B4">
        <w:t xml:space="preserve"> found edification in the stories, and their exposition of the visions was designed not merely to satisfy curiosity but to encourage people to live in faithfulness and hope as they knew the End was coming.</w:t>
      </w:r>
    </w:p>
    <w:p w:rsidR="00680D4F" w:rsidRPr="00B740B4" w:rsidRDefault="002F51D6" w:rsidP="00D33CA4">
      <w:r w:rsidRPr="00B740B4">
        <w:t>In the United States, in the 1820s a Baptist layman in Vermont, William Miller, concluded from his study of Daniel that the Second Coming of Jesus would occur about 1843. The 2,300 days of Dan 8:14 denoted 2,300 years, which had begun in 457 with the decree of Artaxerxes mentioned in Ezra 7.</w:t>
      </w:r>
      <w:r w:rsidRPr="00B740B4">
        <w:rPr>
          <w:vertAlign w:val="superscript"/>
        </w:rPr>
        <w:footnoteReference w:id="188"/>
      </w:r>
      <w:r w:rsidRPr="00B740B4">
        <w:t xml:space="preserve"> A Millerite movement gained strength as the date approached, and even continued after 1843.</w:t>
      </w:r>
      <w:r w:rsidRPr="00B740B4">
        <w:rPr>
          <w:vertAlign w:val="superscript"/>
        </w:rPr>
        <w:footnoteReference w:id="189"/>
      </w:r>
      <w:r w:rsidRPr="00B740B4">
        <w:t xml:space="preserve"> The failure of t</w:t>
      </w:r>
      <w:r w:rsidR="005C0BEF" w:rsidRPr="00B740B4">
        <w:t>he</w:t>
      </w:r>
      <w:r w:rsidRPr="00B740B4">
        <w:t xml:space="preserve"> expectation and the disappointment did not lead to a discrediting of the conviction that </w:t>
      </w:r>
      <w:r w:rsidR="00E45228">
        <w:t>Jesus’</w:t>
      </w:r>
      <w:r w:rsidRPr="00B740B4">
        <w:t xml:space="preserve"> coming was imminent, and </w:t>
      </w:r>
      <w:r w:rsidR="007063F7">
        <w:t xml:space="preserve">in 1897 </w:t>
      </w:r>
      <w:r w:rsidRPr="00B740B4">
        <w:t xml:space="preserve">the prominent Adventist writer Uriah Smith published expositions of Daniel which </w:t>
      </w:r>
      <w:r w:rsidR="00F03B3D" w:rsidRPr="00B740B4">
        <w:t>con</w:t>
      </w:r>
      <w:r w:rsidR="000B0E7D" w:rsidRPr="00B740B4">
        <w:t>sciously follow Hippolytus,</w:t>
      </w:r>
      <w:r w:rsidR="00F03B3D" w:rsidRPr="00B740B4">
        <w:t xml:space="preserve"> see the pope as the small horn</w:t>
      </w:r>
      <w:r w:rsidR="000B0E7D" w:rsidRPr="00B740B4">
        <w:t>,</w:t>
      </w:r>
      <w:r w:rsidR="00F03B3D" w:rsidRPr="00B740B4">
        <w:t xml:space="preserve"> and </w:t>
      </w:r>
      <w:r w:rsidR="000B0E7D" w:rsidRPr="00B740B4">
        <w:t>continue to understand</w:t>
      </w:r>
      <w:r w:rsidRPr="00B740B4">
        <w:t xml:space="preserve"> 1843-1844 as the end of the 2300 days/years and as the beginning of the End</w:t>
      </w:r>
      <w:r w:rsidR="00F03B3D" w:rsidRPr="00B740B4">
        <w:t>.</w:t>
      </w:r>
      <w:r w:rsidR="00F03B3D" w:rsidRPr="00B740B4">
        <w:rPr>
          <w:rStyle w:val="FootnoteReference"/>
        </w:rPr>
        <w:footnoteReference w:id="190"/>
      </w:r>
      <w:r w:rsidR="000B0E7D" w:rsidRPr="00B740B4">
        <w:t xml:space="preserve"> Smith’s</w:t>
      </w:r>
      <w:r w:rsidR="00F03B3D" w:rsidRPr="00B740B4">
        <w:t xml:space="preserve"> works</w:t>
      </w:r>
      <w:r w:rsidR="005C0BEF" w:rsidRPr="00B740B4">
        <w:t xml:space="preserve"> </w:t>
      </w:r>
      <w:r w:rsidR="000B0E7D" w:rsidRPr="00B740B4">
        <w:t>are still</w:t>
      </w:r>
      <w:r w:rsidRPr="00B740B4">
        <w:t xml:space="preserve"> be</w:t>
      </w:r>
      <w:r w:rsidR="00D86724" w:rsidRPr="00B740B4">
        <w:t>ing</w:t>
      </w:r>
      <w:r w:rsidRPr="00B740B4">
        <w:t xml:space="preserve"> reprinted</w:t>
      </w:r>
      <w:r w:rsidR="00065059">
        <w:t xml:space="preserve"> and the same understanding appears in the writings of Adventist academic theologians in the twenty-first century</w:t>
      </w:r>
      <w:r w:rsidRPr="00B740B4">
        <w:t>.</w:t>
      </w:r>
      <w:r w:rsidR="00065059">
        <w:rPr>
          <w:rStyle w:val="FootnoteReference"/>
        </w:rPr>
        <w:footnoteReference w:id="191"/>
      </w:r>
      <w:r w:rsidR="008D7670" w:rsidRPr="00B740B4">
        <w:t xml:space="preserve"> </w:t>
      </w:r>
      <w:r w:rsidR="00D86724" w:rsidRPr="00B740B4">
        <w:t>Conversely, c</w:t>
      </w:r>
      <w:r w:rsidR="008C06B6" w:rsidRPr="00B740B4">
        <w:t>ritical opinions were slower to develop in the United States, but a more subtle, more secular use of the Daniel figure appears in the work of American novelists such as James, Melville, and Hawthorne.</w:t>
      </w:r>
      <w:r w:rsidR="008C06B6" w:rsidRPr="00B740B4">
        <w:rPr>
          <w:vertAlign w:val="superscript"/>
        </w:rPr>
        <w:footnoteReference w:id="192"/>
      </w:r>
      <w:r w:rsidR="008C06B6" w:rsidRPr="00B740B4">
        <w:t xml:space="preserve"> </w:t>
      </w:r>
    </w:p>
    <w:p w:rsidR="000B0E7D" w:rsidRPr="00B740B4" w:rsidRDefault="000B0E7D" w:rsidP="009479B1">
      <w:pPr>
        <w:pStyle w:val="Heading2"/>
      </w:pPr>
      <w:r w:rsidRPr="00B740B4">
        <w:t>Pre-modern and Modern Coexisting</w:t>
      </w:r>
    </w:p>
    <w:p w:rsidR="00D33CA4" w:rsidRPr="00B740B4" w:rsidRDefault="00D33CA4" w:rsidP="00D33CA4">
      <w:r w:rsidRPr="00B740B4">
        <w:t xml:space="preserve">The systematic working out of critical ideas took place in Germany in the nineteenth century, beginning with the work of Leonhard Bertholdt, </w:t>
      </w:r>
      <w:r w:rsidR="008C06B6" w:rsidRPr="00B740B4">
        <w:t>C.</w:t>
      </w:r>
      <w:r w:rsidRPr="00B740B4">
        <w:t xml:space="preserve"> von Lengerke, and Heinrich Ewald. </w:t>
      </w:r>
      <w:r w:rsidR="00680D4F" w:rsidRPr="00B740B4">
        <w:t>Johann Gottfried Eichhorn and Johannes Meinhold advanced t</w:t>
      </w:r>
      <w:r w:rsidRPr="00B740B4">
        <w:t xml:space="preserve">he possibility that the narratives, which make no overt reference to the Antiochene crisis, are older </w:t>
      </w:r>
      <w:r w:rsidR="00680D4F" w:rsidRPr="00B740B4">
        <w:t>than the visions</w:t>
      </w:r>
      <w:r w:rsidRPr="00B740B4">
        <w:t>. The cr</w:t>
      </w:r>
      <w:r w:rsidR="00680D4F" w:rsidRPr="00B740B4">
        <w:t xml:space="preserve">itical view met resistance in </w:t>
      </w:r>
      <w:r w:rsidR="00680D4F" w:rsidRPr="00B740B4">
        <w:lastRenderedPageBreak/>
        <w:t>Germany from</w:t>
      </w:r>
      <w:r w:rsidRPr="00B740B4">
        <w:t xml:space="preserve"> conservative scholars such as </w:t>
      </w:r>
      <w:r w:rsidR="00680D4F" w:rsidRPr="00B740B4">
        <w:t>E. W.</w:t>
      </w:r>
      <w:r w:rsidRPr="00B740B4">
        <w:t xml:space="preserve"> Hengstenberg, </w:t>
      </w:r>
      <w:r w:rsidR="00714C0F" w:rsidRPr="00B740B4">
        <w:t xml:space="preserve">H. A. C. </w:t>
      </w:r>
      <w:r w:rsidRPr="00B740B4">
        <w:t xml:space="preserve">Hävernick, and </w:t>
      </w:r>
      <w:r w:rsidR="00714C0F" w:rsidRPr="00B740B4">
        <w:t xml:space="preserve">C. F. </w:t>
      </w:r>
      <w:r w:rsidR="00680D4F" w:rsidRPr="00B740B4">
        <w:t>Keil, and in Britain from</w:t>
      </w:r>
      <w:r w:rsidRPr="00B740B4">
        <w:t xml:space="preserve"> </w:t>
      </w:r>
      <w:r w:rsidR="00714C0F" w:rsidRPr="00B740B4">
        <w:t xml:space="preserve">E. B. </w:t>
      </w:r>
      <w:r w:rsidRPr="00B740B4">
        <w:t>Pusey</w:t>
      </w:r>
      <w:r w:rsidR="00680D4F" w:rsidRPr="00B740B4">
        <w:t xml:space="preserve">, who saw the debate as the </w:t>
      </w:r>
      <w:r w:rsidRPr="00B740B4">
        <w:t xml:space="preserve">test-case in the conflict between criticism and faith. The commentaries of </w:t>
      </w:r>
      <w:r w:rsidR="00714C0F" w:rsidRPr="00B740B4">
        <w:t xml:space="preserve">F. W. </w:t>
      </w:r>
      <w:r w:rsidRPr="00B740B4">
        <w:t xml:space="preserve">Farrar and </w:t>
      </w:r>
      <w:r w:rsidR="00714C0F" w:rsidRPr="00B740B4">
        <w:t xml:space="preserve">S. R. </w:t>
      </w:r>
      <w:r w:rsidRPr="00B740B4">
        <w:t xml:space="preserve">Driver (following up his </w:t>
      </w:r>
      <w:r w:rsidRPr="00B740B4">
        <w:rPr>
          <w:i/>
        </w:rPr>
        <w:t>Introduction</w:t>
      </w:r>
      <w:r w:rsidR="00714C0F" w:rsidRPr="00B740B4">
        <w:rPr>
          <w:i/>
        </w:rPr>
        <w:t xml:space="preserve"> to the OT</w:t>
      </w:r>
      <w:r w:rsidRPr="00B740B4">
        <w:t>) were important in securing acceptance of the critical view in England.</w:t>
      </w:r>
    </w:p>
    <w:p w:rsidR="008C06B6" w:rsidRPr="00B740B4" w:rsidRDefault="00D33CA4" w:rsidP="00D33CA4">
      <w:r w:rsidRPr="00B740B4">
        <w:t>The approaches that characterize</w:t>
      </w:r>
      <w:r w:rsidR="00680D4F" w:rsidRPr="00B740B4">
        <w:t>d</w:t>
      </w:r>
      <w:r w:rsidRPr="00B740B4">
        <w:t xml:space="preserve"> nineteenth-century study continue</w:t>
      </w:r>
      <w:r w:rsidR="00680D4F" w:rsidRPr="00B740B4">
        <w:t>d</w:t>
      </w:r>
      <w:r w:rsidRPr="00B740B4">
        <w:t xml:space="preserve"> in the twentieth. </w:t>
      </w:r>
      <w:r w:rsidR="00714C0F" w:rsidRPr="00B740B4">
        <w:t xml:space="preserve">Karl </w:t>
      </w:r>
      <w:r w:rsidRPr="00B740B4">
        <w:t xml:space="preserve">Marti, </w:t>
      </w:r>
      <w:r w:rsidR="00714C0F" w:rsidRPr="00B740B4">
        <w:t xml:space="preserve">R. H. </w:t>
      </w:r>
      <w:r w:rsidRPr="00B740B4">
        <w:t xml:space="preserve">Charles, and </w:t>
      </w:r>
      <w:r w:rsidR="00714C0F" w:rsidRPr="00B740B4">
        <w:t xml:space="preserve">H. H. </w:t>
      </w:r>
      <w:r w:rsidRPr="00B740B4">
        <w:t>Rowley argue</w:t>
      </w:r>
      <w:r w:rsidR="00F631DD" w:rsidRPr="00B740B4">
        <w:t>d</w:t>
      </w:r>
      <w:r w:rsidRPr="00B740B4">
        <w:t xml:space="preserve"> for the second-century BC origin of the whole</w:t>
      </w:r>
      <w:r w:rsidR="00714C0F" w:rsidRPr="00B740B4">
        <w:t xml:space="preserve"> book</w:t>
      </w:r>
      <w:r w:rsidRPr="00B740B4">
        <w:t xml:space="preserve">, following </w:t>
      </w:r>
      <w:r w:rsidR="00F631DD" w:rsidRPr="00B740B4">
        <w:t>A. F</w:t>
      </w:r>
      <w:r w:rsidR="00714C0F" w:rsidRPr="00B740B4">
        <w:t>. von Gall</w:t>
      </w:r>
      <w:r w:rsidR="00F631DD" w:rsidRPr="00B740B4">
        <w:t xml:space="preserve">, while </w:t>
      </w:r>
      <w:r w:rsidR="00714C0F" w:rsidRPr="00B740B4">
        <w:t xml:space="preserve">Gustav </w:t>
      </w:r>
      <w:r w:rsidR="00D4551F" w:rsidRPr="00B740B4">
        <w:t>Hölscher, M. Hal</w:t>
      </w:r>
      <w:r w:rsidRPr="00B740B4">
        <w:t xml:space="preserve">ler, </w:t>
      </w:r>
      <w:r w:rsidR="00D4551F" w:rsidRPr="00B740B4">
        <w:t xml:space="preserve">James </w:t>
      </w:r>
      <w:r w:rsidRPr="00B740B4">
        <w:t xml:space="preserve">Montgomery, </w:t>
      </w:r>
      <w:r w:rsidR="00D4551F" w:rsidRPr="00B740B4">
        <w:t xml:space="preserve">Martin </w:t>
      </w:r>
      <w:r w:rsidRPr="00B740B4">
        <w:t xml:space="preserve">Noth, and </w:t>
      </w:r>
      <w:r w:rsidR="00D4551F" w:rsidRPr="00B740B4">
        <w:t xml:space="preserve">H. L. </w:t>
      </w:r>
      <w:r w:rsidRPr="00B740B4">
        <w:t>Ginsberg develop</w:t>
      </w:r>
      <w:r w:rsidR="00F631DD" w:rsidRPr="00B740B4">
        <w:t>ed the view of Eichhorn. They ca</w:t>
      </w:r>
      <w:r w:rsidRPr="00B740B4">
        <w:t>me to varying conclusions regarding the precise da</w:t>
      </w:r>
      <w:r w:rsidR="00F631DD" w:rsidRPr="00B740B4">
        <w:t>te of the pre-second-century material, and beyond</w:t>
      </w:r>
      <w:r w:rsidRPr="00B740B4">
        <w:t xml:space="preserve"> the two main</w:t>
      </w:r>
      <w:r w:rsidR="00F631DD" w:rsidRPr="00B740B4">
        <w:t xml:space="preserve"> stages of composition, </w:t>
      </w:r>
      <w:r w:rsidR="007063F7">
        <w:t xml:space="preserve">they </w:t>
      </w:r>
      <w:r w:rsidRPr="00B740B4">
        <w:t>see stages of development within the visions</w:t>
      </w:r>
      <w:r w:rsidR="00F631DD" w:rsidRPr="00B740B4">
        <w:t>,</w:t>
      </w:r>
      <w:r w:rsidRPr="00B740B4">
        <w:t xml:space="preserve"> as material is edited and updated. </w:t>
      </w:r>
      <w:r w:rsidR="00D4551F" w:rsidRPr="00B740B4">
        <w:t xml:space="preserve">R. Dick </w:t>
      </w:r>
      <w:r w:rsidRPr="00B740B4">
        <w:t xml:space="preserve">Wilson, </w:t>
      </w:r>
      <w:r w:rsidR="00D4551F" w:rsidRPr="00B740B4">
        <w:t xml:space="preserve">Charles </w:t>
      </w:r>
      <w:r w:rsidRPr="00B740B4">
        <w:t xml:space="preserve">Boutflower, </w:t>
      </w:r>
      <w:r w:rsidR="00D4551F" w:rsidRPr="00B740B4">
        <w:t xml:space="preserve">E. J. </w:t>
      </w:r>
      <w:r w:rsidRPr="00B740B4">
        <w:t xml:space="preserve">Young, </w:t>
      </w:r>
      <w:r w:rsidR="00D4551F" w:rsidRPr="00B740B4">
        <w:t xml:space="preserve">Joyce Baldwin, D. J. Wiseman and others, </w:t>
      </w:r>
      <w:r w:rsidRPr="00B740B4">
        <w:t>developed the conservative response. Discoveries regarding Nabonidus and Belshazzar have been taken both to justify a conservative view of the narratives’ hi</w:t>
      </w:r>
      <w:r w:rsidR="008C06B6" w:rsidRPr="00B740B4">
        <w:t xml:space="preserve">storicity and to undermine it. </w:t>
      </w:r>
    </w:p>
    <w:p w:rsidR="003571C4" w:rsidRPr="00B740B4" w:rsidRDefault="008C06B6" w:rsidP="003571C4">
      <w:r w:rsidRPr="00B740B4">
        <w:t>R</w:t>
      </w:r>
      <w:r w:rsidR="00F631DD" w:rsidRPr="00B740B4">
        <w:t xml:space="preserve">esearch into Canaanite myth </w:t>
      </w:r>
      <w:r w:rsidR="00D33CA4" w:rsidRPr="00B740B4">
        <w:t>suggested some of the back</w:t>
      </w:r>
      <w:r w:rsidRPr="00B740B4">
        <w:t>ground to motifs in the visions, and t</w:t>
      </w:r>
      <w:r w:rsidR="00D33CA4" w:rsidRPr="00B740B4">
        <w:t xml:space="preserve">he modern period has also seen an explosive growth in </w:t>
      </w:r>
      <w:r w:rsidR="00F631DD" w:rsidRPr="00B740B4">
        <w:t xml:space="preserve">the </w:t>
      </w:r>
      <w:r w:rsidR="00D33CA4" w:rsidRPr="00B740B4">
        <w:t>study of apocalyptic. After the nineteenth-century discovery of</w:t>
      </w:r>
      <w:r w:rsidR="00F631DD" w:rsidRPr="00B740B4">
        <w:t xml:space="preserve"> texts such as</w:t>
      </w:r>
      <w:r w:rsidR="00D33CA4" w:rsidRPr="00B740B4">
        <w:t xml:space="preserve"> </w:t>
      </w:r>
      <w:r w:rsidR="00D33CA4" w:rsidRPr="00B740B4">
        <w:rPr>
          <w:i/>
        </w:rPr>
        <w:t>1 Enoch</w:t>
      </w:r>
      <w:r w:rsidR="00D33CA4" w:rsidRPr="00B740B4">
        <w:t>, many were edited and pu</w:t>
      </w:r>
      <w:r w:rsidRPr="00B740B4">
        <w:t>blished at the beginning of the twentieth</w:t>
      </w:r>
      <w:r w:rsidR="00D33CA4" w:rsidRPr="00B740B4">
        <w:t xml:space="preserve"> century, especially th</w:t>
      </w:r>
      <w:r w:rsidR="00F631DD" w:rsidRPr="00B740B4">
        <w:t>rough the work of Charles. A</w:t>
      </w:r>
      <w:r w:rsidR="00D33CA4" w:rsidRPr="00B740B4">
        <w:t xml:space="preserve">pocalyptic seemed rather alien, and </w:t>
      </w:r>
      <w:r w:rsidR="00F631DD" w:rsidRPr="00B740B4">
        <w:t xml:space="preserve">it </w:t>
      </w:r>
      <w:r w:rsidR="00D33CA4" w:rsidRPr="00B740B4">
        <w:t>c</w:t>
      </w:r>
      <w:r w:rsidR="00F631DD" w:rsidRPr="00B740B4">
        <w:t>ame to be seen as reflecting</w:t>
      </w:r>
      <w:r w:rsidR="00D33CA4" w:rsidRPr="00B740B4">
        <w:t xml:space="preserve"> Persian influence and thus as alien even to Israelite religion. In theology, the approaches of </w:t>
      </w:r>
      <w:r w:rsidR="00D4551F" w:rsidRPr="00B740B4">
        <w:t xml:space="preserve">Karl </w:t>
      </w:r>
      <w:r w:rsidR="00D33CA4" w:rsidRPr="00B740B4">
        <w:t xml:space="preserve">Barth and </w:t>
      </w:r>
      <w:r w:rsidR="00D4551F" w:rsidRPr="00B740B4">
        <w:t xml:space="preserve">Rudolph </w:t>
      </w:r>
      <w:r w:rsidR="00D33CA4" w:rsidRPr="00B740B4">
        <w:t>Bultmann encouraged the neglect of apocalyptic for some years</w:t>
      </w:r>
      <w:r w:rsidR="003571C4" w:rsidRPr="00B740B4">
        <w:t xml:space="preserve">, through a powerful twentieth-century exposition of Daniel is that of Barth’s associate </w:t>
      </w:r>
      <w:r w:rsidR="00F631DD" w:rsidRPr="00B740B4">
        <w:t>Walter</w:t>
      </w:r>
      <w:r w:rsidR="00CB5A11">
        <w:t xml:space="preserve"> Lüthi in German-speaking Switzerland</w:t>
      </w:r>
      <w:r w:rsidR="003571C4" w:rsidRPr="00B740B4">
        <w:t xml:space="preserve"> in the 1930s. Earlier in that same telling decade there appeared a more artistic utilization of Daniel, like those of the nineteenth century but in musical form. As Handel’s oratorio </w:t>
      </w:r>
      <w:r w:rsidR="003571C4" w:rsidRPr="00B740B4">
        <w:rPr>
          <w:i/>
        </w:rPr>
        <w:t>Belshazzar</w:t>
      </w:r>
      <w:r w:rsidR="003571C4" w:rsidRPr="00B740B4">
        <w:t xml:space="preserve"> used Daniel to issue a warning to Britain in its ascendancy in the eighteenth century, William Walton’s </w:t>
      </w:r>
      <w:r w:rsidR="003571C4" w:rsidRPr="00B740B4">
        <w:rPr>
          <w:i/>
        </w:rPr>
        <w:t>Belshazzar’s</w:t>
      </w:r>
      <w:r w:rsidR="003571C4" w:rsidRPr="00B740B4">
        <w:t xml:space="preserve"> </w:t>
      </w:r>
      <w:r w:rsidR="003571C4" w:rsidRPr="00B740B4">
        <w:rPr>
          <w:i/>
        </w:rPr>
        <w:t>Feast</w:t>
      </w:r>
      <w:r w:rsidR="003571C4" w:rsidRPr="00B740B4">
        <w:t xml:space="preserve"> takes up that theme in the 1930s.</w:t>
      </w:r>
      <w:r w:rsidR="003571C4" w:rsidRPr="00B740B4">
        <w:rPr>
          <w:vertAlign w:val="superscript"/>
        </w:rPr>
        <w:footnoteReference w:id="193"/>
      </w:r>
    </w:p>
    <w:p w:rsidR="00D33CA4" w:rsidRPr="00B740B4" w:rsidRDefault="003571C4" w:rsidP="00D33CA4">
      <w:r w:rsidRPr="00B740B4">
        <w:t xml:space="preserve"> T</w:t>
      </w:r>
      <w:r w:rsidR="00D33CA4" w:rsidRPr="00B740B4">
        <w:t xml:space="preserve">he work of </w:t>
      </w:r>
      <w:r w:rsidR="00D4551F" w:rsidRPr="00B740B4">
        <w:t xml:space="preserve">Ernst </w:t>
      </w:r>
      <w:r w:rsidR="00D33CA4" w:rsidRPr="00B740B4">
        <w:t xml:space="preserve">Käsemann </w:t>
      </w:r>
      <w:r w:rsidRPr="00B740B4">
        <w:t xml:space="preserve">and Wolfhart Pannenberg </w:t>
      </w:r>
      <w:r w:rsidR="00D33CA4" w:rsidRPr="00B740B4">
        <w:t>brought an e</w:t>
      </w:r>
      <w:r w:rsidRPr="00B740B4">
        <w:t>nd to the period during which apocalyptic</w:t>
      </w:r>
      <w:r w:rsidR="00D33CA4" w:rsidRPr="00B740B4">
        <w:t xml:space="preserve"> could be ignored or dismissed in theological discussion. Meanwhile </w:t>
      </w:r>
      <w:r w:rsidR="00D4551F" w:rsidRPr="00B740B4">
        <w:t xml:space="preserve">Otto </w:t>
      </w:r>
      <w:r w:rsidR="00D33CA4" w:rsidRPr="00B740B4">
        <w:t xml:space="preserve">Plöger’s </w:t>
      </w:r>
      <w:r w:rsidR="00D33CA4" w:rsidRPr="00B740B4">
        <w:rPr>
          <w:i/>
        </w:rPr>
        <w:t>Theokratie</w:t>
      </w:r>
      <w:r w:rsidR="00D33CA4" w:rsidRPr="00B740B4">
        <w:t xml:space="preserve"> </w:t>
      </w:r>
      <w:r w:rsidR="00D4551F" w:rsidRPr="00B740B4">
        <w:rPr>
          <w:i/>
        </w:rPr>
        <w:t xml:space="preserve">und Eschatologie </w:t>
      </w:r>
      <w:r w:rsidR="00D33CA4" w:rsidRPr="00B740B4">
        <w:t>began a new phase of critic</w:t>
      </w:r>
      <w:r w:rsidR="00BD5202" w:rsidRPr="00B740B4">
        <w:t xml:space="preserve">al study in which scholars </w:t>
      </w:r>
      <w:r w:rsidR="00D33CA4" w:rsidRPr="00B740B4">
        <w:t>sought to trace the development of different religious groups and th</w:t>
      </w:r>
      <w:r w:rsidR="00D4551F" w:rsidRPr="00B740B4">
        <w:t>eir ideologies in the Second Temple</w:t>
      </w:r>
      <w:r w:rsidR="00D33CA4" w:rsidRPr="00B740B4">
        <w:t xml:space="preserve"> period</w:t>
      </w:r>
      <w:r w:rsidR="007043BA" w:rsidRPr="00B740B4">
        <w:t>,</w:t>
      </w:r>
      <w:r w:rsidR="00D33CA4" w:rsidRPr="00B740B4">
        <w:t xml:space="preserve"> and to identify which of these lay behind Daniel.</w:t>
      </w:r>
      <w:r w:rsidR="00D4551F" w:rsidRPr="00B740B4">
        <w:rPr>
          <w:rStyle w:val="FootnoteReference"/>
        </w:rPr>
        <w:footnoteReference w:id="194"/>
      </w:r>
      <w:r w:rsidR="00D4551F" w:rsidRPr="00B740B4">
        <w:t xml:space="preserve"> S</w:t>
      </w:r>
      <w:r w:rsidR="00D33CA4" w:rsidRPr="00B740B4">
        <w:t xml:space="preserve">cholarship </w:t>
      </w:r>
      <w:r w:rsidR="00D4551F" w:rsidRPr="00B740B4">
        <w:t xml:space="preserve">in the United States </w:t>
      </w:r>
      <w:r w:rsidR="00D33CA4" w:rsidRPr="00B740B4">
        <w:t>attempted a more broadly sociological approach to a</w:t>
      </w:r>
      <w:r w:rsidR="007043BA" w:rsidRPr="00B740B4">
        <w:t>pocalyptic, and sought</w:t>
      </w:r>
      <w:r w:rsidR="00D33CA4" w:rsidRPr="00B740B4">
        <w:t xml:space="preserve"> to clarify what</w:t>
      </w:r>
      <w:r w:rsidR="00CB5A11">
        <w:t xml:space="preserve"> precisely we mean by that</w:t>
      </w:r>
      <w:r w:rsidR="00BD5202" w:rsidRPr="00B740B4">
        <w:t xml:space="preserve"> term.</w:t>
      </w:r>
      <w:r w:rsidR="00BF342A" w:rsidRPr="00B740B4">
        <w:rPr>
          <w:rStyle w:val="FootnoteReference"/>
        </w:rPr>
        <w:footnoteReference w:id="195"/>
      </w:r>
      <w:r w:rsidR="00BD5202" w:rsidRPr="00B740B4">
        <w:t xml:space="preserve"> </w:t>
      </w:r>
    </w:p>
    <w:p w:rsidR="008461D5" w:rsidRPr="00B740B4" w:rsidRDefault="000B0E7D" w:rsidP="001B2642">
      <w:r w:rsidRPr="00B740B4">
        <w:t>At the same time</w:t>
      </w:r>
      <w:r w:rsidR="007043BA" w:rsidRPr="00B740B4">
        <w:t xml:space="preserve">, </w:t>
      </w:r>
      <w:r w:rsidR="00934A11" w:rsidRPr="00B740B4">
        <w:t>“</w:t>
      </w:r>
      <w:r w:rsidR="00D5743B" w:rsidRPr="00B740B4">
        <w:t>Daniel was read for centuries as a guide to political history and messianic chronology,</w:t>
      </w:r>
      <w:r w:rsidR="00934A11" w:rsidRPr="00B740B4">
        <w:t>”</w:t>
      </w:r>
      <w:r w:rsidR="00D5743B" w:rsidRPr="00B740B4">
        <w:rPr>
          <w:vertAlign w:val="superscript"/>
        </w:rPr>
        <w:footnoteReference w:id="196"/>
      </w:r>
      <w:r w:rsidR="00BD5202" w:rsidRPr="00B740B4">
        <w:t xml:space="preserve"> </w:t>
      </w:r>
      <w:r w:rsidR="007043BA" w:rsidRPr="00B740B4">
        <w:t xml:space="preserve">and </w:t>
      </w:r>
      <w:r w:rsidR="006171BF" w:rsidRPr="00B740B4">
        <w:t xml:space="preserve">outside the </w:t>
      </w:r>
      <w:r w:rsidR="00D5743B" w:rsidRPr="00B740B4">
        <w:t xml:space="preserve">world </w:t>
      </w:r>
      <w:r w:rsidR="006171BF" w:rsidRPr="00B740B4">
        <w:t xml:space="preserve">of Western critical scholarship </w:t>
      </w:r>
      <w:r w:rsidR="00D5743B" w:rsidRPr="00B740B4">
        <w:t>this</w:t>
      </w:r>
      <w:r w:rsidR="00BD5202" w:rsidRPr="00B740B4">
        <w:t xml:space="preserve"> approach continued to be dominant</w:t>
      </w:r>
      <w:r w:rsidR="00D5743B" w:rsidRPr="00B740B4">
        <w:t>, along with an interest in the stories’ significance as an encouragement to live</w:t>
      </w:r>
      <w:r w:rsidR="007043BA" w:rsidRPr="00B740B4">
        <w:t xml:space="preserve"> a life of faithfulness to God. </w:t>
      </w:r>
      <w:r w:rsidR="00CB5A11" w:rsidRPr="00CB5A11">
        <w:t>It was in such a connection that the scientist William Whitla took on the editing of Newton’s work on Daniel after the fall of the Turkish empire.</w:t>
      </w:r>
      <w:r w:rsidR="00CB5A11" w:rsidRPr="00CB5A11">
        <w:rPr>
          <w:vertAlign w:val="superscript"/>
        </w:rPr>
        <w:footnoteReference w:id="197"/>
      </w:r>
      <w:r w:rsidR="00CB5A11" w:rsidRPr="00CB5A11">
        <w:t xml:space="preserve">  </w:t>
      </w:r>
      <w:r w:rsidR="007043BA" w:rsidRPr="00B740B4">
        <w:t xml:space="preserve">Professors with earned doctorates </w:t>
      </w:r>
      <w:r w:rsidR="00CB5A11">
        <w:t xml:space="preserve">have </w:t>
      </w:r>
      <w:r w:rsidR="007043BA" w:rsidRPr="00B740B4">
        <w:t xml:space="preserve">continued to </w:t>
      </w:r>
      <w:r w:rsidR="001F4F78" w:rsidRPr="00B740B4">
        <w:t xml:space="preserve">write books on </w:t>
      </w:r>
      <w:r w:rsidR="00934A11" w:rsidRPr="00B740B4">
        <w:t>“</w:t>
      </w:r>
      <w:r w:rsidR="001F4F78" w:rsidRPr="00B740B4">
        <w:t>p</w:t>
      </w:r>
      <w:r w:rsidR="007043BA" w:rsidRPr="00B740B4">
        <w:t>reaching Christ from Daniel</w:t>
      </w:r>
      <w:r w:rsidR="00CB5A11">
        <w:t>,</w:t>
      </w:r>
      <w:r w:rsidR="00934A11" w:rsidRPr="00B740B4">
        <w:t>”</w:t>
      </w:r>
      <w:r w:rsidR="001F4F78" w:rsidRPr="00B740B4">
        <w:rPr>
          <w:vertAlign w:val="superscript"/>
        </w:rPr>
        <w:footnoteReference w:id="198"/>
      </w:r>
      <w:r w:rsidR="001F4F78" w:rsidRPr="00B740B4">
        <w:t xml:space="preserve"> </w:t>
      </w:r>
      <w:r w:rsidR="001B2642" w:rsidRPr="00B740B4">
        <w:t xml:space="preserve">to </w:t>
      </w:r>
      <w:r w:rsidR="007043BA" w:rsidRPr="00B740B4">
        <w:t xml:space="preserve">identify </w:t>
      </w:r>
      <w:r w:rsidR="00F832D2" w:rsidRPr="00B740B4">
        <w:t>the four empires</w:t>
      </w:r>
      <w:r w:rsidR="001B2642" w:rsidRPr="00B740B4">
        <w:t xml:space="preserve"> with Babylon, Me</w:t>
      </w:r>
      <w:r w:rsidR="006261C5" w:rsidRPr="00B740B4">
        <w:t>do-Persia, Greece, and Rome</w:t>
      </w:r>
      <w:r w:rsidR="00CB5A11">
        <w:t>,</w:t>
      </w:r>
      <w:r w:rsidR="007043BA" w:rsidRPr="00B740B4">
        <w:t xml:space="preserve"> to see specific prophecies as relating to event</w:t>
      </w:r>
      <w:r w:rsidR="00CB5A11">
        <w:t>s long after Daniel’s day,</w:t>
      </w:r>
      <w:r w:rsidR="006261C5" w:rsidRPr="00B740B4">
        <w:t xml:space="preserve"> </w:t>
      </w:r>
      <w:r w:rsidR="00CB5A11">
        <w:t>and</w:t>
      </w:r>
      <w:r w:rsidRPr="00B740B4">
        <w:t xml:space="preserve"> to take</w:t>
      </w:r>
      <w:r w:rsidR="006261C5" w:rsidRPr="00B740B4">
        <w:t xml:space="preserve"> the death</w:t>
      </w:r>
      <w:r w:rsidR="001B2642" w:rsidRPr="00B740B4">
        <w:t xml:space="preserve"> of Christ to signify the last of Daniel’s seventy weeks</w:t>
      </w:r>
      <w:r w:rsidR="006C4C7D" w:rsidRPr="00B740B4">
        <w:t>.</w:t>
      </w:r>
      <w:r w:rsidR="006261C5" w:rsidRPr="00B740B4">
        <w:rPr>
          <w:rStyle w:val="FootnoteReference"/>
        </w:rPr>
        <w:footnoteReference w:id="199"/>
      </w:r>
      <w:r w:rsidR="006C4C7D" w:rsidRPr="00B740B4">
        <w:t xml:space="preserve"> </w:t>
      </w:r>
      <w:r w:rsidR="00CB5A11">
        <w:t>I</w:t>
      </w:r>
      <w:r w:rsidRPr="00B740B4">
        <w:t>nterpreter</w:t>
      </w:r>
      <w:r w:rsidR="00BD5202" w:rsidRPr="00B740B4">
        <w:t xml:space="preserve">s </w:t>
      </w:r>
      <w:r w:rsidR="00CB5A11">
        <w:lastRenderedPageBreak/>
        <w:t>have continued to see</w:t>
      </w:r>
      <w:r w:rsidRPr="00B740B4">
        <w:t xml:space="preserve"> prophecies </w:t>
      </w:r>
      <w:r w:rsidR="001B2642" w:rsidRPr="00B740B4">
        <w:t xml:space="preserve">fulfilled in </w:t>
      </w:r>
      <w:r w:rsidR="00BD5202" w:rsidRPr="00B740B4">
        <w:t xml:space="preserve">events in </w:t>
      </w:r>
      <w:r w:rsidR="001B2642" w:rsidRPr="00B740B4">
        <w:t xml:space="preserve">their time: </w:t>
      </w:r>
      <w:r w:rsidR="00CB5A11">
        <w:t xml:space="preserve">for instance, </w:t>
      </w:r>
      <w:r w:rsidR="001B2642" w:rsidRPr="00B740B4">
        <w:t>the 1967 Arab-Isra</w:t>
      </w:r>
      <w:r w:rsidR="00BD5202" w:rsidRPr="00B740B4">
        <w:t>eli war fulfilled</w:t>
      </w:r>
      <w:r w:rsidR="001B2642" w:rsidRPr="00B740B4">
        <w:t xml:space="preserve"> both 8:14, coming 2,300 years after Alexander, and 12:12, coming 1,335 years after the</w:t>
      </w:r>
      <w:r w:rsidR="00AD5CF6" w:rsidRPr="00B740B4">
        <w:t xml:space="preserve"> establishment of the Caliphate.</w:t>
      </w:r>
      <w:r w:rsidR="008461D5" w:rsidRPr="00B740B4">
        <w:rPr>
          <w:rStyle w:val="FootnoteReference"/>
        </w:rPr>
        <w:footnoteReference w:id="200"/>
      </w:r>
      <w:r w:rsidR="00BD5202" w:rsidRPr="00B740B4">
        <w:t xml:space="preserve"> </w:t>
      </w:r>
      <w:r w:rsidR="00AD5CF6" w:rsidRPr="00B740B4">
        <w:t>A</w:t>
      </w:r>
      <w:r w:rsidRPr="00B740B4">
        <w:t>s had happened</w:t>
      </w:r>
      <w:r w:rsidR="007E1115" w:rsidRPr="00B740B4">
        <w:t xml:space="preserve"> in previous centuries, </w:t>
      </w:r>
      <w:r w:rsidR="006261C5" w:rsidRPr="00B740B4">
        <w:t xml:space="preserve">in due course </w:t>
      </w:r>
      <w:r w:rsidR="007E1115" w:rsidRPr="00B740B4">
        <w:t xml:space="preserve">interpretations based on current and </w:t>
      </w:r>
      <w:r w:rsidR="006261C5" w:rsidRPr="00B740B4">
        <w:t>expected events sometimes required</w:t>
      </w:r>
      <w:r w:rsidR="007E1115" w:rsidRPr="00B740B4">
        <w:t xml:space="preserve"> to be reconsidered.</w:t>
      </w:r>
      <w:r w:rsidR="007E1115" w:rsidRPr="00B740B4">
        <w:rPr>
          <w:rStyle w:val="FootnoteReference"/>
        </w:rPr>
        <w:footnoteReference w:id="201"/>
      </w:r>
      <w:r w:rsidR="006261C5" w:rsidRPr="00B740B4">
        <w:t xml:space="preserve"> </w:t>
      </w:r>
      <w:r w:rsidRPr="00B740B4">
        <w:t>Yet o</w:t>
      </w:r>
      <w:r w:rsidR="006C4C7D" w:rsidRPr="00B740B4">
        <w:t xml:space="preserve">ther </w:t>
      </w:r>
      <w:r w:rsidR="00BD5202" w:rsidRPr="00B740B4">
        <w:t xml:space="preserve">interpreters continued to </w:t>
      </w:r>
      <w:r w:rsidR="001B2642" w:rsidRPr="00B740B4">
        <w:t xml:space="preserve">believe that many </w:t>
      </w:r>
      <w:r w:rsidR="00F03B3D" w:rsidRPr="00B740B4">
        <w:t xml:space="preserve">aspects </w:t>
      </w:r>
      <w:r w:rsidR="001B2642" w:rsidRPr="00B740B4">
        <w:t>of Daniel’s vi</w:t>
      </w:r>
      <w:r w:rsidR="00BD5202" w:rsidRPr="00B740B4">
        <w:t>sions are still to be fulfilled</w:t>
      </w:r>
      <w:r w:rsidR="001B2642" w:rsidRPr="00B740B4">
        <w:t>.</w:t>
      </w:r>
      <w:r w:rsidR="008461D5" w:rsidRPr="00B740B4">
        <w:rPr>
          <w:rStyle w:val="FootnoteReference"/>
        </w:rPr>
        <w:footnoteReference w:id="202"/>
      </w:r>
      <w:r w:rsidR="001B2642" w:rsidRPr="00B740B4">
        <w:t xml:space="preserve"> </w:t>
      </w:r>
      <w:r w:rsidR="006171BF" w:rsidRPr="00B740B4">
        <w:t xml:space="preserve">Such approaches to Daniel gained more attention with the approach of the end of the </w:t>
      </w:r>
      <w:r w:rsidR="00CB5A11">
        <w:t xml:space="preserve">second </w:t>
      </w:r>
      <w:r w:rsidR="006171BF" w:rsidRPr="00B740B4">
        <w:t>millennium.</w:t>
      </w:r>
      <w:r w:rsidR="00370040">
        <w:t xml:space="preserve"> On the basis of figures in Daniel and elsewhere, in 1992 Henry Camping declared that Jesus would return in 1994; when he did not do so, Camping inferred that God had changed his mind as he once did about the fall of Nineveh.</w:t>
      </w:r>
      <w:r w:rsidR="00370040">
        <w:rPr>
          <w:rStyle w:val="FootnoteReference"/>
        </w:rPr>
        <w:footnoteReference w:id="203"/>
      </w:r>
      <w:r w:rsidR="00DB53F7">
        <w:t xml:space="preserve"> On the other hand, within Seventh Day Adventism the </w:t>
      </w:r>
      <w:r w:rsidR="00CB5A11">
        <w:t xml:space="preserve">traditional </w:t>
      </w:r>
      <w:r w:rsidR="00DB53F7">
        <w:t>historicist approach is under pressure in some circles.</w:t>
      </w:r>
      <w:r w:rsidR="00DB53F7">
        <w:rPr>
          <w:rStyle w:val="FootnoteReference"/>
        </w:rPr>
        <w:footnoteReference w:id="204"/>
      </w:r>
    </w:p>
    <w:p w:rsidR="008461D5" w:rsidRPr="00B740B4" w:rsidRDefault="0024188E" w:rsidP="009479B1">
      <w:pPr>
        <w:pStyle w:val="Heading2"/>
      </w:pPr>
      <w:r w:rsidRPr="00B740B4">
        <w:t>The Impasse</w:t>
      </w:r>
    </w:p>
    <w:p w:rsidR="004D488E" w:rsidRPr="00B740B4" w:rsidRDefault="00FF617D" w:rsidP="00702386">
      <w:r>
        <w:t>It has been said that “n</w:t>
      </w:r>
      <w:r w:rsidR="000B2991" w:rsidRPr="000B2991">
        <w:rPr>
          <w:rFonts w:eastAsia="Times New Roman" w:cs="Times New Roman"/>
        </w:rPr>
        <w:t>o serious commentator would now question Porphyry's demonstration that the work belongs in the 160s under Antiochus IV Epiphanes, and that up to and including that point the prophecies in it are pseudo prophecies, relating and giving meaning to events which had already occurred.</w:t>
      </w:r>
      <w:r>
        <w:rPr>
          <w:rFonts w:eastAsia="Times New Roman" w:cs="Times New Roman"/>
        </w:rPr>
        <w:t>”</w:t>
      </w:r>
      <w:r w:rsidR="000B2991" w:rsidRPr="000B2991">
        <w:rPr>
          <w:rFonts w:eastAsia="Times New Roman" w:cs="Times New Roman"/>
        </w:rPr>
        <w:t xml:space="preserve"> </w:t>
      </w:r>
      <w:r w:rsidR="000B2991">
        <w:rPr>
          <w:rStyle w:val="FootnoteReference"/>
          <w:rFonts w:eastAsia="Times New Roman" w:cs="Times New Roman"/>
        </w:rPr>
        <w:footnoteReference w:id="205"/>
      </w:r>
      <w:r>
        <w:rPr>
          <w:rFonts w:eastAsia="Times New Roman" w:cs="Times New Roman"/>
        </w:rPr>
        <w:t xml:space="preserve"> The word </w:t>
      </w:r>
      <w:r>
        <w:rPr>
          <w:rFonts w:eastAsia="Times New Roman" w:cs="Times New Roman"/>
          <w:i/>
        </w:rPr>
        <w:t>serious</w:t>
      </w:r>
      <w:r>
        <w:rPr>
          <w:rFonts w:eastAsia="Times New Roman" w:cs="Times New Roman"/>
        </w:rPr>
        <w:t xml:space="preserve"> in this declaration deno</w:t>
      </w:r>
      <w:r w:rsidR="00885294">
        <w:rPr>
          <w:rFonts w:eastAsia="Times New Roman" w:cs="Times New Roman"/>
        </w:rPr>
        <w:t xml:space="preserve">tes someone whose approach the </w:t>
      </w:r>
      <w:r>
        <w:rPr>
          <w:rFonts w:eastAsia="Times New Roman" w:cs="Times New Roman"/>
        </w:rPr>
        <w:t xml:space="preserve">writer agrees with. </w:t>
      </w:r>
      <w:r w:rsidR="00923A4E" w:rsidRPr="00B740B4">
        <w:t>With hindsight, one</w:t>
      </w:r>
      <w:r>
        <w:t xml:space="preserve"> can </w:t>
      </w:r>
      <w:r w:rsidR="004D488E" w:rsidRPr="00B740B4">
        <w:t xml:space="preserve">see that the study of Daniel </w:t>
      </w:r>
      <w:r w:rsidR="009970ED" w:rsidRPr="00B740B4">
        <w:t>reached an impasse</w:t>
      </w:r>
      <w:r w:rsidR="0024188E" w:rsidRPr="00B740B4">
        <w:t xml:space="preserve"> in the twentieth century</w:t>
      </w:r>
      <w:r w:rsidR="004D488E" w:rsidRPr="00B740B4">
        <w:t>.  While c</w:t>
      </w:r>
      <w:r w:rsidR="00B23564" w:rsidRPr="00B740B4">
        <w:t>ritical scholarly study worked with the con</w:t>
      </w:r>
      <w:r w:rsidR="004D488E" w:rsidRPr="00B740B4">
        <w:t xml:space="preserve">viction that the book </w:t>
      </w:r>
      <w:r w:rsidR="00B23564" w:rsidRPr="00B740B4">
        <w:t>came into being in th</w:t>
      </w:r>
      <w:r w:rsidR="004D488E" w:rsidRPr="00B740B4">
        <w:t xml:space="preserve">e second century BC and </w:t>
      </w:r>
      <w:r w:rsidR="00B23564" w:rsidRPr="00B740B4">
        <w:t>spok</w:t>
      </w:r>
      <w:r w:rsidR="004D488E" w:rsidRPr="00B740B4">
        <w:t xml:space="preserve">e directly to that context, </w:t>
      </w:r>
      <w:r w:rsidR="000B0E7D" w:rsidRPr="00B740B4">
        <w:t>and took</w:t>
      </w:r>
      <w:r w:rsidR="00404A6C" w:rsidRPr="00B740B4">
        <w:t xml:space="preserve"> for granted that questi</w:t>
      </w:r>
      <w:r w:rsidR="000C498A">
        <w:t>ons about the book’s histo</w:t>
      </w:r>
      <w:r>
        <w:t>ricity c</w:t>
      </w:r>
      <w:r w:rsidR="0010399F">
        <w:t>ould</w:t>
      </w:r>
      <w:r w:rsidR="00404A6C" w:rsidRPr="00B740B4">
        <w:t xml:space="preserve"> be ignored,</w:t>
      </w:r>
      <w:r w:rsidR="00404A6C" w:rsidRPr="00B740B4">
        <w:rPr>
          <w:rStyle w:val="FootnoteReference"/>
        </w:rPr>
        <w:footnoteReference w:id="206"/>
      </w:r>
      <w:r w:rsidR="00404A6C" w:rsidRPr="00B740B4">
        <w:t xml:space="preserve"> </w:t>
      </w:r>
      <w:r w:rsidR="004D488E" w:rsidRPr="00B740B4">
        <w:t xml:space="preserve">more than </w:t>
      </w:r>
      <w:r w:rsidR="00B23564" w:rsidRPr="00B740B4">
        <w:t xml:space="preserve">99% of </w:t>
      </w:r>
      <w:r w:rsidR="004D488E" w:rsidRPr="00B740B4">
        <w:t xml:space="preserve">the book’s readers </w:t>
      </w:r>
      <w:r>
        <w:t>continue</w:t>
      </w:r>
      <w:r w:rsidR="0010399F">
        <w:t>d</w:t>
      </w:r>
      <w:r>
        <w:t xml:space="preserve"> to work</w:t>
      </w:r>
      <w:r w:rsidR="00B23564" w:rsidRPr="00B740B4">
        <w:t xml:space="preserve"> with the conviction that it came into being in the sixth century and </w:t>
      </w:r>
      <w:r w:rsidR="004D488E" w:rsidRPr="00B740B4">
        <w:t xml:space="preserve">also </w:t>
      </w:r>
      <w:r>
        <w:t>speaks</w:t>
      </w:r>
      <w:r w:rsidR="00B23564" w:rsidRPr="00B740B4">
        <w:t xml:space="preserve"> directly to later contexts, including </w:t>
      </w:r>
      <w:r w:rsidR="005051CC" w:rsidRPr="00B740B4">
        <w:t xml:space="preserve">their own. </w:t>
      </w:r>
      <w:r w:rsidR="0024188E" w:rsidRPr="00B740B4">
        <w:t>The impasse</w:t>
      </w:r>
      <w:r w:rsidR="005F43A9" w:rsidRPr="00B740B4">
        <w:t xml:space="preserve"> applied to Jewish readers as well as to Christian readers.</w:t>
      </w:r>
      <w:r w:rsidR="005F43A9" w:rsidRPr="00B740B4">
        <w:rPr>
          <w:rStyle w:val="FootnoteReference"/>
        </w:rPr>
        <w:footnoteReference w:id="207"/>
      </w:r>
      <w:r w:rsidR="0010399F">
        <w:t xml:space="preserve"> Effectively, nothing changed during the twentieth century.</w:t>
      </w:r>
    </w:p>
    <w:p w:rsidR="009970ED" w:rsidRPr="00B740B4" w:rsidRDefault="009A52D4" w:rsidP="00702386">
      <w:r w:rsidRPr="00B740B4">
        <w:t>One factor cont</w:t>
      </w:r>
      <w:r w:rsidR="0010399F">
        <w:t>ribut</w:t>
      </w:r>
      <w:r w:rsidRPr="00B740B4">
        <w:t>ing to the impasse is the nature of the critical approach a</w:t>
      </w:r>
      <w:r w:rsidR="005051CC" w:rsidRPr="00B740B4">
        <w:t>s etic r</w:t>
      </w:r>
      <w:r w:rsidR="004D488E" w:rsidRPr="00B740B4">
        <w:t>a</w:t>
      </w:r>
      <w:r w:rsidR="005051CC" w:rsidRPr="00B740B4">
        <w:t>ther than emic—that is, it</w:t>
      </w:r>
      <w:r w:rsidR="000B0E7D" w:rsidRPr="00B740B4">
        <w:t xml:space="preserve"> focus</w:t>
      </w:r>
      <w:r w:rsidRPr="00B740B4">
        <w:t>es</w:t>
      </w:r>
      <w:r w:rsidR="005051CC" w:rsidRPr="00B740B4">
        <w:t xml:space="preserve"> on questions about the historical development of the text and </w:t>
      </w:r>
      <w:r w:rsidR="00E501C3" w:rsidRPr="00B740B4">
        <w:t>its place in the development of Jewish thought</w:t>
      </w:r>
      <w:r w:rsidRPr="00B740B4">
        <w:t xml:space="preserve">, </w:t>
      </w:r>
      <w:r w:rsidR="0010399F">
        <w:t xml:space="preserve">out of </w:t>
      </w:r>
      <w:r w:rsidR="005051CC" w:rsidRPr="00B740B4">
        <w:t xml:space="preserve">interests and a </w:t>
      </w:r>
      <w:r w:rsidR="004D488E" w:rsidRPr="00B740B4">
        <w:t>framework of thinking that come</w:t>
      </w:r>
      <w:r w:rsidR="005051CC" w:rsidRPr="00B740B4">
        <w:t xml:space="preserve"> from a different culture than those of the text itself. Further, </w:t>
      </w:r>
      <w:r w:rsidR="00E501C3" w:rsidRPr="00B740B4">
        <w:t xml:space="preserve">during the twentieth century </w:t>
      </w:r>
      <w:r w:rsidR="005051CC" w:rsidRPr="00B740B4">
        <w:t xml:space="preserve">the study of the book largely </w:t>
      </w:r>
      <w:r w:rsidR="00E501C3" w:rsidRPr="00B740B4">
        <w:t>took</w:t>
      </w:r>
      <w:r w:rsidR="004C7E5F" w:rsidRPr="00B740B4">
        <w:t xml:space="preserve"> the form of a</w:t>
      </w:r>
      <w:r w:rsidR="00E501C3" w:rsidRPr="00B740B4">
        <w:t xml:space="preserve"> conversation between </w:t>
      </w:r>
      <w:r w:rsidR="004C7E5F" w:rsidRPr="00B740B4">
        <w:t xml:space="preserve">scholars that reached no </w:t>
      </w:r>
      <w:r w:rsidR="00E501C3" w:rsidRPr="00B740B4">
        <w:t xml:space="preserve">clear results or </w:t>
      </w:r>
      <w:r w:rsidR="004C7E5F" w:rsidRPr="00B740B4">
        <w:t>consensus</w:t>
      </w:r>
      <w:r w:rsidR="00E501C3" w:rsidRPr="00B740B4">
        <w:t xml:space="preserve"> beyond the key convictions that </w:t>
      </w:r>
      <w:r w:rsidR="0010399F">
        <w:t>had emer</w:t>
      </w:r>
      <w:r w:rsidRPr="00B740B4">
        <w:t xml:space="preserve">ged in the nineteenth century, that </w:t>
      </w:r>
      <w:r w:rsidR="00E501C3" w:rsidRPr="00B740B4">
        <w:t xml:space="preserve">the stories are legends and that the </w:t>
      </w:r>
      <w:r w:rsidR="00E501C3" w:rsidRPr="00B740B4">
        <w:lastRenderedPageBreak/>
        <w:t xml:space="preserve">visions come from the second century. </w:t>
      </w:r>
      <w:r w:rsidR="0024188E" w:rsidRPr="00B740B4">
        <w:t>I</w:t>
      </w:r>
      <w:r w:rsidRPr="00B740B4">
        <w:t>n contrast, other kinds of readers identified with the concern of the text to enable readers to see what God was doing and was going to do in their lives, and</w:t>
      </w:r>
      <w:r w:rsidR="0010399F">
        <w:t xml:space="preserve"> on how they were to live. I</w:t>
      </w:r>
      <w:r w:rsidR="0024188E" w:rsidRPr="00B740B4">
        <w:t>ronically</w:t>
      </w:r>
      <w:r w:rsidR="005051CC" w:rsidRPr="00B740B4">
        <w:t>, the appro</w:t>
      </w:r>
      <w:r w:rsidRPr="00B740B4">
        <w:t>ach</w:t>
      </w:r>
      <w:r w:rsidR="005051CC" w:rsidRPr="00B740B4">
        <w:t xml:space="preserve"> </w:t>
      </w:r>
      <w:r w:rsidRPr="00B740B4">
        <w:t xml:space="preserve">of such readers </w:t>
      </w:r>
      <w:r w:rsidR="005051CC" w:rsidRPr="00B740B4">
        <w:t xml:space="preserve">also </w:t>
      </w:r>
      <w:r w:rsidRPr="00B740B4">
        <w:t>had etic as well as</w:t>
      </w:r>
      <w:r w:rsidR="005051CC" w:rsidRPr="00B740B4">
        <w:t xml:space="preserve"> emic</w:t>
      </w:r>
      <w:r w:rsidR="0010399F">
        <w:t xml:space="preserve"> as</w:t>
      </w:r>
      <w:r w:rsidRPr="00B740B4">
        <w:t>p</w:t>
      </w:r>
      <w:r w:rsidR="0010399F">
        <w:t>e</w:t>
      </w:r>
      <w:r w:rsidRPr="00B740B4">
        <w:t>cts, ones that were the converse of the critical approach, in that such readers largely ignore</w:t>
      </w:r>
      <w:r w:rsidR="0010399F">
        <w:t>d</w:t>
      </w:r>
      <w:r w:rsidR="005051CC" w:rsidRPr="00B740B4">
        <w:t xml:space="preserve"> the way God was speaking to his people through the text in its original context. </w:t>
      </w:r>
    </w:p>
    <w:p w:rsidR="00A96E0A" w:rsidRPr="00B740B4" w:rsidRDefault="00923A4E" w:rsidP="00DC0A74">
      <w:r w:rsidRPr="00B740B4">
        <w:t xml:space="preserve"> </w:t>
      </w:r>
      <w:r w:rsidR="008026A9" w:rsidRPr="00B740B4">
        <w:t>O</w:t>
      </w:r>
      <w:r w:rsidR="005051CC" w:rsidRPr="00B740B4">
        <w:t xml:space="preserve">ne </w:t>
      </w:r>
      <w:r w:rsidRPr="00B740B4">
        <w:t xml:space="preserve">can </w:t>
      </w:r>
      <w:r w:rsidR="0010399F">
        <w:t xml:space="preserve">then </w:t>
      </w:r>
      <w:r w:rsidR="008026A9" w:rsidRPr="00B740B4">
        <w:t xml:space="preserve">further </w:t>
      </w:r>
      <w:r w:rsidRPr="00B740B4">
        <w:t>see a twofold significance in the commissioning of the Word Commentar</w:t>
      </w:r>
      <w:r w:rsidR="00E501C3" w:rsidRPr="00B740B4">
        <w:t>y on Daniel and other books</w:t>
      </w:r>
      <w:r w:rsidRPr="00B740B4">
        <w:t xml:space="preserve"> in the 1970s, and an </w:t>
      </w:r>
      <w:r w:rsidR="005051CC" w:rsidRPr="00B740B4">
        <w:t>ironic relationship between the two aspects of its significance</w:t>
      </w:r>
      <w:r w:rsidRPr="00B740B4">
        <w:t>. On one hand it represented a new level of confiden</w:t>
      </w:r>
      <w:r w:rsidR="00E501C3" w:rsidRPr="00B740B4">
        <w:t xml:space="preserve">ce on the part of broadly conservative </w:t>
      </w:r>
      <w:r w:rsidR="005051CC" w:rsidRPr="00B740B4">
        <w:t>or evangelical scholarship; the volumes were commissioned f</w:t>
      </w:r>
      <w:r w:rsidR="00F62CD3" w:rsidRPr="00B740B4">
        <w:t>r</w:t>
      </w:r>
      <w:r w:rsidR="005051CC" w:rsidRPr="00B740B4">
        <w:t>o</w:t>
      </w:r>
      <w:r w:rsidR="00F62CD3" w:rsidRPr="00B740B4">
        <w:t>m scholars who were believed to be broadly orthodox but who broadly accepted cri</w:t>
      </w:r>
      <w:r w:rsidR="004F2AA3">
        <w:t>tical approaches to the s</w:t>
      </w:r>
      <w:r w:rsidR="00F62CD3" w:rsidRPr="00B740B4">
        <w:t xml:space="preserve">criptures, in something like the stance of scholars from a century previous such as </w:t>
      </w:r>
      <w:r w:rsidR="009970ED" w:rsidRPr="00B740B4">
        <w:t xml:space="preserve">the authors of BDB, </w:t>
      </w:r>
      <w:r w:rsidR="00F62CD3" w:rsidRPr="00B740B4">
        <w:t>Francis Brown, S. R. Driver, and Charles Briggs.</w:t>
      </w:r>
      <w:r w:rsidR="008026A9" w:rsidRPr="00B740B4">
        <w:rPr>
          <w:rStyle w:val="FootnoteReference"/>
        </w:rPr>
        <w:footnoteReference w:id="208"/>
      </w:r>
      <w:r w:rsidR="00F62CD3" w:rsidRPr="00B740B4">
        <w:t xml:space="preserve"> </w:t>
      </w:r>
      <w:r w:rsidRPr="00B740B4">
        <w:t>On the other ha</w:t>
      </w:r>
      <w:r w:rsidR="007D4BB1" w:rsidRPr="00B740B4">
        <w:t>nd, coincidentally</w:t>
      </w:r>
      <w:r w:rsidR="00E501C3" w:rsidRPr="00B740B4">
        <w:t xml:space="preserve"> the commissioning of the commentaries</w:t>
      </w:r>
      <w:r w:rsidRPr="00B740B4">
        <w:t xml:space="preserve"> came at the time of the </w:t>
      </w:r>
      <w:r w:rsidR="00934A11" w:rsidRPr="00B740B4">
        <w:t>“</w:t>
      </w:r>
      <w:r w:rsidRPr="00B740B4">
        <w:t>postmodern turn</w:t>
      </w:r>
      <w:r w:rsidR="00A96E0A" w:rsidRPr="00B740B4">
        <w:t>”</w:t>
      </w:r>
      <w:r w:rsidRPr="00B740B4">
        <w:t xml:space="preserve"> in</w:t>
      </w:r>
      <w:r w:rsidR="00A96E0A" w:rsidRPr="00B740B4">
        <w:t xml:space="preserve"> Western thinking, which itself linked with</w:t>
      </w:r>
      <w:r w:rsidR="005051CC" w:rsidRPr="00B740B4">
        <w:t xml:space="preserve"> a broader impasse </w:t>
      </w:r>
      <w:r w:rsidR="004C7E5F" w:rsidRPr="00B740B4">
        <w:t xml:space="preserve">concerning the interpretation of texts, and which also affected biblical studies. </w:t>
      </w:r>
    </w:p>
    <w:p w:rsidR="00E21241" w:rsidRPr="00B740B4" w:rsidRDefault="00A96E0A" w:rsidP="00DC0A74">
      <w:r w:rsidRPr="00B740B4">
        <w:t>Over the past thirty years</w:t>
      </w:r>
      <w:r w:rsidR="0010399F">
        <w:t>,</w:t>
      </w:r>
      <w:r w:rsidR="00E501C3" w:rsidRPr="00B740B4">
        <w:t xml:space="preserve"> b</w:t>
      </w:r>
      <w:r w:rsidR="009275FF" w:rsidRPr="00B740B4">
        <w:t>iblica</w:t>
      </w:r>
      <w:r w:rsidR="00CD5677" w:rsidRPr="00B740B4">
        <w:t xml:space="preserve">l scholars have </w:t>
      </w:r>
      <w:r w:rsidRPr="00B740B4">
        <w:t xml:space="preserve">thus </w:t>
      </w:r>
      <w:r w:rsidR="00CD5677" w:rsidRPr="00B740B4">
        <w:t>applied to Danie</w:t>
      </w:r>
      <w:r w:rsidR="009275FF" w:rsidRPr="00B740B4">
        <w:t>l</w:t>
      </w:r>
      <w:r w:rsidR="00CD5677" w:rsidRPr="00B740B4">
        <w:t xml:space="preserve"> </w:t>
      </w:r>
      <w:r w:rsidR="009275FF" w:rsidRPr="00B740B4">
        <w:t>a number of approaches to interpret</w:t>
      </w:r>
      <w:r w:rsidR="0010399F">
        <w:t>ation from the wider intellectu</w:t>
      </w:r>
      <w:r w:rsidR="009275FF" w:rsidRPr="00B740B4">
        <w:t>al world</w:t>
      </w:r>
      <w:r w:rsidRPr="00B740B4">
        <w:t>—</w:t>
      </w:r>
      <w:r w:rsidR="007D4BB1" w:rsidRPr="00B740B4">
        <w:t>as</w:t>
      </w:r>
      <w:r w:rsidRPr="00B740B4">
        <w:t xml:space="preserve"> indeed had</w:t>
      </w:r>
      <w:r w:rsidR="007D4BB1" w:rsidRPr="00B740B4">
        <w:t xml:space="preserve"> happened with the development</w:t>
      </w:r>
      <w:r w:rsidRPr="00B740B4">
        <w:t xml:space="preserve"> of historical-critical methods themselves.</w:t>
      </w:r>
      <w:r w:rsidR="0035333C" w:rsidRPr="00B740B4">
        <w:rPr>
          <w:rStyle w:val="FootnoteReference"/>
        </w:rPr>
        <w:footnoteReference w:id="209"/>
      </w:r>
      <w:r w:rsidRPr="00B740B4">
        <w:t xml:space="preserve"> It was in half-conscious awareness of the postmodern turn that </w:t>
      </w:r>
      <w:r w:rsidR="00E21241" w:rsidRPr="00B740B4">
        <w:t>t</w:t>
      </w:r>
      <w:r w:rsidR="004C7E5F" w:rsidRPr="00B740B4">
        <w:t xml:space="preserve">he first edition of this commentary included </w:t>
      </w:r>
      <w:r w:rsidR="00E21241" w:rsidRPr="00B740B4">
        <w:t>a study of the interpretation of Daniel over the centuries</w:t>
      </w:r>
      <w:r w:rsidRPr="00B740B4">
        <w:t xml:space="preserve"> In place of the traditional type of “Introduction,” of which this</w:t>
      </w:r>
      <w:r w:rsidR="00E21241" w:rsidRPr="00B740B4">
        <w:t xml:space="preserve"> present introduction is an expansion. </w:t>
      </w:r>
      <w:r w:rsidRPr="00B740B4">
        <w:t>W</w:t>
      </w:r>
      <w:r w:rsidR="004C7E5F" w:rsidRPr="00B740B4">
        <w:t xml:space="preserve">hile historical and critical commentaries </w:t>
      </w:r>
      <w:r w:rsidR="00E21241" w:rsidRPr="00B740B4">
        <w:t xml:space="preserve">have </w:t>
      </w:r>
      <w:r w:rsidR="004C7E5F" w:rsidRPr="00B740B4">
        <w:t>continued to appear</w:t>
      </w:r>
      <w:r w:rsidRPr="00B740B4">
        <w:t xml:space="preserve"> over</w:t>
      </w:r>
      <w:r w:rsidR="0010399F">
        <w:t xml:space="preserve"> these thirty years</w:t>
      </w:r>
      <w:r w:rsidRPr="00B740B4">
        <w:t>,</w:t>
      </w:r>
      <w:r w:rsidR="004C7E5F" w:rsidRPr="00B740B4">
        <w:rPr>
          <w:vertAlign w:val="superscript"/>
        </w:rPr>
        <w:footnoteReference w:id="210"/>
      </w:r>
      <w:r w:rsidRPr="00B740B4">
        <w:t xml:space="preserve"> i</w:t>
      </w:r>
      <w:r w:rsidR="004C7E5F" w:rsidRPr="00B740B4">
        <w:t xml:space="preserve">t </w:t>
      </w:r>
      <w:r w:rsidR="00A74B40" w:rsidRPr="00B740B4">
        <w:t>is significant that a</w:t>
      </w:r>
      <w:r w:rsidR="00E21241" w:rsidRPr="00B740B4">
        <w:t xml:space="preserve"> two-vol</w:t>
      </w:r>
      <w:r w:rsidR="004C7E5F" w:rsidRPr="00B740B4">
        <w:t xml:space="preserve">ume collection of mostly-English essays on Daniel published in 2002 was subtitled </w:t>
      </w:r>
      <w:r w:rsidR="00934A11" w:rsidRPr="00B740B4">
        <w:t>“</w:t>
      </w:r>
      <w:r w:rsidR="004C7E5F" w:rsidRPr="00B740B4">
        <w:t xml:space="preserve">Composition </w:t>
      </w:r>
      <w:r w:rsidR="004C7E5F" w:rsidRPr="00B740B4">
        <w:rPr>
          <w:i/>
        </w:rPr>
        <w:t>and Reception</w:t>
      </w:r>
      <w:r w:rsidR="004C7E5F" w:rsidRPr="00B740B4">
        <w:t>,</w:t>
      </w:r>
      <w:r w:rsidR="00934A11" w:rsidRPr="00B740B4">
        <w:t>”</w:t>
      </w:r>
      <w:r w:rsidR="004C7E5F" w:rsidRPr="00B740B4">
        <w:rPr>
          <w:vertAlign w:val="superscript"/>
        </w:rPr>
        <w:footnoteReference w:id="211"/>
      </w:r>
      <w:r w:rsidR="004C7E5F" w:rsidRPr="00B740B4">
        <w:t xml:space="preserve"> while </w:t>
      </w:r>
      <w:r w:rsidR="00E21241" w:rsidRPr="00B740B4">
        <w:t xml:space="preserve">three mostly-German </w:t>
      </w:r>
      <w:r w:rsidRPr="00B740B4">
        <w:t>volumes on Daniel’</w:t>
      </w:r>
      <w:r w:rsidR="004C7E5F" w:rsidRPr="00B740B4">
        <w:t>s reception-history and influence have appeared.</w:t>
      </w:r>
      <w:r w:rsidR="004C7E5F" w:rsidRPr="00B740B4">
        <w:rPr>
          <w:vertAlign w:val="superscript"/>
        </w:rPr>
        <w:footnoteReference w:id="212"/>
      </w:r>
      <w:r w:rsidR="004C7E5F" w:rsidRPr="00B740B4">
        <w:t xml:space="preserve"> Other commentaries have reflected this broadening of focus.</w:t>
      </w:r>
      <w:r w:rsidR="004C7E5F" w:rsidRPr="00B740B4">
        <w:rPr>
          <w:vertAlign w:val="superscript"/>
        </w:rPr>
        <w:footnoteReference w:id="213"/>
      </w:r>
      <w:r w:rsidR="00E21241" w:rsidRPr="00B740B4">
        <w:rPr>
          <w:rFonts w:ascii="Calibri" w:eastAsia="Times New Roman" w:hAnsi="Calibri" w:cs="Times New Roman"/>
          <w:szCs w:val="20"/>
        </w:rPr>
        <w:t>.</w:t>
      </w:r>
      <w:r w:rsidR="00D843F2" w:rsidRPr="00B740B4">
        <w:rPr>
          <w:rFonts w:ascii="Calibri" w:eastAsia="Times New Roman" w:hAnsi="Calibri" w:cs="Times New Roman"/>
          <w:szCs w:val="20"/>
        </w:rPr>
        <w:t xml:space="preserve"> An interest in reception history is one feature of postmodern interpretation in the Humanities.</w:t>
      </w:r>
      <w:r w:rsidRPr="00B740B4">
        <w:rPr>
          <w:rFonts w:ascii="Calibri" w:eastAsia="Times New Roman" w:hAnsi="Calibri" w:cs="Times New Roman"/>
          <w:szCs w:val="20"/>
        </w:rPr>
        <w:t xml:space="preserve"> </w:t>
      </w:r>
    </w:p>
    <w:p w:rsidR="00DC0A74" w:rsidRPr="00B740B4" w:rsidRDefault="00DC0A74" w:rsidP="009479B1">
      <w:pPr>
        <w:pStyle w:val="Heading2"/>
        <w:rPr>
          <w:rFonts w:eastAsiaTheme="minorEastAsia"/>
        </w:rPr>
      </w:pPr>
      <w:r w:rsidRPr="00B740B4">
        <w:rPr>
          <w:rFonts w:eastAsiaTheme="minorEastAsia"/>
        </w:rPr>
        <w:lastRenderedPageBreak/>
        <w:t>Daniel in the Twenty-first Century</w:t>
      </w:r>
    </w:p>
    <w:p w:rsidR="00DC0A74" w:rsidRPr="00B740B4" w:rsidRDefault="00A74B40" w:rsidP="00DC0A74">
      <w:r w:rsidRPr="00B740B4">
        <w:t>H</w:t>
      </w:r>
      <w:r w:rsidR="0010399F">
        <w:t>ow then is Daniel read in a</w:t>
      </w:r>
      <w:r w:rsidRPr="00B740B4">
        <w:t xml:space="preserve"> twenty-first century context</w:t>
      </w:r>
      <w:r w:rsidR="00DC0A74" w:rsidRPr="00B740B4">
        <w:t>?</w:t>
      </w:r>
      <w:r w:rsidR="004118D4">
        <w:rPr>
          <w:rStyle w:val="FootnoteReference"/>
        </w:rPr>
        <w:footnoteReference w:id="214"/>
      </w:r>
      <w:r w:rsidR="0024188E" w:rsidRPr="00B740B4">
        <w:t xml:space="preserve"> T</w:t>
      </w:r>
      <w:r w:rsidRPr="00B740B4">
        <w:t xml:space="preserve">he approaches </w:t>
      </w:r>
      <w:r w:rsidR="0024188E" w:rsidRPr="00B740B4">
        <w:t xml:space="preserve">that I here summarize that </w:t>
      </w:r>
      <w:r w:rsidRPr="00B740B4">
        <w:t xml:space="preserve">can both open up aspects of the text’s intrinsic meaning (they aid exegesis) and encourage interaction between the text and our context. </w:t>
      </w:r>
    </w:p>
    <w:p w:rsidR="005D4DF8" w:rsidRPr="00B740B4" w:rsidRDefault="005D4DF8" w:rsidP="00DC0A74"/>
    <w:p w:rsidR="00E45310" w:rsidRPr="00B740B4" w:rsidRDefault="00E21241" w:rsidP="00E45310">
      <w:pPr>
        <w:pStyle w:val="ListParagraph"/>
        <w:numPr>
          <w:ilvl w:val="0"/>
          <w:numId w:val="37"/>
        </w:numPr>
        <w:ind w:left="720"/>
      </w:pPr>
      <w:r w:rsidRPr="00B740B4">
        <w:t>The introduction to the first edition of the commentary also made the</w:t>
      </w:r>
      <w:r w:rsidR="00DC0A74" w:rsidRPr="00B740B4">
        <w:t xml:space="preserve"> c</w:t>
      </w:r>
      <w:r w:rsidRPr="00B740B4">
        <w:t xml:space="preserve">omment that </w:t>
      </w:r>
      <w:r w:rsidR="00E45310" w:rsidRPr="00B740B4">
        <w:t>d</w:t>
      </w:r>
      <w:r w:rsidRPr="00B740B4">
        <w:t>eveloping interest in litera</w:t>
      </w:r>
      <w:r w:rsidR="00A74B40" w:rsidRPr="00B740B4">
        <w:t xml:space="preserve">ry approaches to OT narrative </w:t>
      </w:r>
      <w:r w:rsidRPr="00B740B4">
        <w:t>was overdue for application to Daniel, and it included some such interpretation</w:t>
      </w:r>
      <w:r w:rsidR="0081698A" w:rsidRPr="00B740B4">
        <w:t>,</w:t>
      </w:r>
      <w:r w:rsidRPr="00B740B4">
        <w:t xml:space="preserve"> of  </w:t>
      </w:r>
      <w:r w:rsidR="00934A11" w:rsidRPr="00B740B4">
        <w:t>“</w:t>
      </w:r>
      <w:r w:rsidRPr="00B740B4">
        <w:t>new critical</w:t>
      </w:r>
      <w:r w:rsidR="00934A11" w:rsidRPr="00B740B4">
        <w:t>”</w:t>
      </w:r>
      <w:r w:rsidRPr="00B740B4">
        <w:t xml:space="preserve"> kind.</w:t>
      </w:r>
      <w:r w:rsidR="00E45310" w:rsidRPr="00B740B4">
        <w:rPr>
          <w:rStyle w:val="FootnoteReference"/>
        </w:rPr>
        <w:footnoteReference w:id="215"/>
      </w:r>
      <w:r w:rsidRPr="00B740B4">
        <w:t xml:space="preserve"> It was soon followed </w:t>
      </w:r>
      <w:r w:rsidR="00723518" w:rsidRPr="00B740B4">
        <w:t>by study through the lense</w:t>
      </w:r>
      <w:r w:rsidR="0081698A" w:rsidRPr="00B740B4">
        <w:t>s</w:t>
      </w:r>
      <w:r w:rsidR="00723518" w:rsidRPr="00B740B4">
        <w:t xml:space="preserve"> of </w:t>
      </w:r>
      <w:r w:rsidR="0072255F" w:rsidRPr="00B740B4">
        <w:t>structuralism,</w:t>
      </w:r>
      <w:r w:rsidR="0072255F" w:rsidRPr="00B740B4">
        <w:rPr>
          <w:rStyle w:val="FootnoteReference"/>
        </w:rPr>
        <w:footnoteReference w:id="216"/>
      </w:r>
      <w:r w:rsidR="0072255F" w:rsidRPr="00B740B4">
        <w:t xml:space="preserve"> </w:t>
      </w:r>
      <w:r w:rsidR="00723518" w:rsidRPr="00B740B4">
        <w:t>deconstruction</w:t>
      </w:r>
      <w:r w:rsidRPr="00B740B4">
        <w:rPr>
          <w:rStyle w:val="FootnoteReference"/>
        </w:rPr>
        <w:footnoteReference w:id="217"/>
      </w:r>
      <w:r w:rsidR="00A74B40" w:rsidRPr="00B740B4">
        <w:t xml:space="preserve"> </w:t>
      </w:r>
      <w:r w:rsidR="0010399F">
        <w:t xml:space="preserve">and </w:t>
      </w:r>
      <w:r w:rsidR="00F57235" w:rsidRPr="00B740B4">
        <w:t>M</w:t>
      </w:r>
      <w:r w:rsidR="00723518" w:rsidRPr="00B740B4">
        <w:t>enippean satire.</w:t>
      </w:r>
      <w:r w:rsidR="00723518" w:rsidRPr="00B740B4">
        <w:rPr>
          <w:rStyle w:val="FootnoteReference"/>
        </w:rPr>
        <w:footnoteReference w:id="218"/>
      </w:r>
      <w:r w:rsidR="00723518" w:rsidRPr="00B740B4">
        <w:t xml:space="preserve"> </w:t>
      </w:r>
      <w:r w:rsidR="00A74B40" w:rsidRPr="00B740B4">
        <w:t>L</w:t>
      </w:r>
      <w:r w:rsidRPr="00B740B4">
        <w:t xml:space="preserve">iterary approaches provide different ways </w:t>
      </w:r>
      <w:r w:rsidR="00E45310" w:rsidRPr="00B740B4">
        <w:t>into the study of old questions such as the significance of the book’s bilingual nature.</w:t>
      </w:r>
      <w:r w:rsidR="00E45310" w:rsidRPr="00B740B4">
        <w:rPr>
          <w:rStyle w:val="FootnoteReference"/>
        </w:rPr>
        <w:footnoteReference w:id="219"/>
      </w:r>
    </w:p>
    <w:p w:rsidR="00FB6475" w:rsidRPr="00B740B4" w:rsidRDefault="00CD5677" w:rsidP="00FB6475">
      <w:pPr>
        <w:pStyle w:val="ListParagraph"/>
        <w:numPr>
          <w:ilvl w:val="0"/>
          <w:numId w:val="37"/>
        </w:numPr>
        <w:ind w:left="720"/>
      </w:pPr>
      <w:r w:rsidRPr="00B740B4">
        <w:t xml:space="preserve">Intertextuality has </w:t>
      </w:r>
      <w:r w:rsidR="00F57235" w:rsidRPr="00B740B4">
        <w:t>become a major aspect of OT study</w:t>
      </w:r>
      <w:r w:rsidR="00E45310" w:rsidRPr="00B740B4">
        <w:t xml:space="preserve">. Intertextuality has </w:t>
      </w:r>
      <w:r w:rsidRPr="00B740B4">
        <w:t>two main meanings. It can be an approach to discovering the direct interrelationships between texts</w:t>
      </w:r>
      <w:r w:rsidR="00524993" w:rsidRPr="00B740B4">
        <w:t>—in Daniel’s case, its internal relationships and its relationship with (e.g.) the Joseph story and Isa 40—66. Intertex</w:t>
      </w:r>
      <w:r w:rsidR="0010399F">
        <w:t>t</w:t>
      </w:r>
      <w:r w:rsidR="00524993" w:rsidRPr="00B740B4">
        <w:t xml:space="preserve">uality </w:t>
      </w:r>
      <w:r w:rsidRPr="00B740B4">
        <w:t xml:space="preserve">is </w:t>
      </w:r>
      <w:r w:rsidR="00524993" w:rsidRPr="00B740B4">
        <w:t xml:space="preserve">then </w:t>
      </w:r>
      <w:r w:rsidRPr="00B740B4">
        <w:t>another way of conceptualizing a traditional focus of interpretation. Or it can issue from an interpreter’s juxtaposition of texts that (as far as we know) were not directly related.</w:t>
      </w:r>
      <w:r w:rsidR="0051651D" w:rsidRPr="00B740B4">
        <w:t xml:space="preserve"> </w:t>
      </w:r>
      <w:r w:rsidR="0051651D" w:rsidRPr="00B740B4">
        <w:rPr>
          <w:rFonts w:eastAsiaTheme="minorHAnsi"/>
        </w:rPr>
        <w:t xml:space="preserve">In the first sense </w:t>
      </w:r>
      <w:r w:rsidR="00934A11" w:rsidRPr="00B740B4">
        <w:rPr>
          <w:rFonts w:eastAsiaTheme="minorHAnsi"/>
        </w:rPr>
        <w:t>“</w:t>
      </w:r>
      <w:r w:rsidR="0051651D" w:rsidRPr="00B740B4">
        <w:rPr>
          <w:rFonts w:eastAsiaTheme="minorHAnsi"/>
        </w:rPr>
        <w:t>the book of Daniel may well be the most</w:t>
      </w:r>
      <w:r w:rsidR="00E45310" w:rsidRPr="00B740B4">
        <w:rPr>
          <w:rFonts w:eastAsiaTheme="minorHAnsi"/>
        </w:rPr>
        <w:t xml:space="preserve"> </w:t>
      </w:r>
      <w:r w:rsidR="0051651D" w:rsidRPr="00B740B4">
        <w:rPr>
          <w:rFonts w:eastAsiaTheme="minorHAnsi"/>
        </w:rPr>
        <w:t>intertextually determined and complex one among the books of the Hebrew Bible.</w:t>
      </w:r>
      <w:r w:rsidR="00934A11" w:rsidRPr="00B740B4">
        <w:rPr>
          <w:rFonts w:eastAsiaTheme="minorHAnsi"/>
        </w:rPr>
        <w:t>”</w:t>
      </w:r>
      <w:r w:rsidR="0051651D" w:rsidRPr="00B740B4">
        <w:rPr>
          <w:rStyle w:val="FootnoteReference"/>
          <w:rFonts w:eastAsiaTheme="minorHAnsi"/>
        </w:rPr>
        <w:footnoteReference w:id="220"/>
      </w:r>
      <w:r w:rsidR="00524993" w:rsidRPr="00B740B4">
        <w:rPr>
          <w:rFonts w:eastAsiaTheme="minorHAnsi"/>
        </w:rPr>
        <w:t xml:space="preserve"> </w:t>
      </w:r>
    </w:p>
    <w:p w:rsidR="00FB6475" w:rsidRPr="00B740B4" w:rsidRDefault="00A74B40" w:rsidP="00B34F4D">
      <w:pPr>
        <w:pStyle w:val="ListParagraph"/>
        <w:numPr>
          <w:ilvl w:val="0"/>
          <w:numId w:val="37"/>
        </w:numPr>
        <w:ind w:left="720"/>
      </w:pPr>
      <w:r w:rsidRPr="00B740B4">
        <w:t>P</w:t>
      </w:r>
      <w:r w:rsidR="00165C72" w:rsidRPr="00B740B4">
        <w:t>ostcolonial and other political,</w:t>
      </w:r>
      <w:r w:rsidR="00576B07" w:rsidRPr="00B740B4">
        <w:t xml:space="preserve"> soci</w:t>
      </w:r>
      <w:r w:rsidR="00165C72" w:rsidRPr="00B740B4">
        <w:t>ological, and</w:t>
      </w:r>
      <w:r w:rsidR="001F4F78" w:rsidRPr="00B740B4">
        <w:t xml:space="preserve"> cultural </w:t>
      </w:r>
      <w:r w:rsidR="0061098F" w:rsidRPr="00B740B4">
        <w:t xml:space="preserve">readings can be both </w:t>
      </w:r>
      <w:r w:rsidR="00FB6475" w:rsidRPr="00B740B4">
        <w:t>way</w:t>
      </w:r>
      <w:r w:rsidR="0061098F" w:rsidRPr="00B740B4">
        <w:t>s</w:t>
      </w:r>
      <w:r w:rsidR="00FB6475" w:rsidRPr="00B740B4">
        <w:t xml:space="preserve"> of </w:t>
      </w:r>
      <w:r w:rsidR="00576B07" w:rsidRPr="00B740B4">
        <w:t>discerning the text</w:t>
      </w:r>
      <w:r w:rsidR="0061098F" w:rsidRPr="00B740B4">
        <w:t>’s meaning in its context</w:t>
      </w:r>
      <w:r w:rsidR="00672889">
        <w:rPr>
          <w:rStyle w:val="FootnoteReference"/>
        </w:rPr>
        <w:footnoteReference w:id="221"/>
      </w:r>
      <w:r w:rsidR="0061098F" w:rsidRPr="00B740B4">
        <w:t xml:space="preserve"> and </w:t>
      </w:r>
      <w:r w:rsidR="00576B07" w:rsidRPr="00B740B4">
        <w:t>way</w:t>
      </w:r>
      <w:r w:rsidR="0061098F" w:rsidRPr="00B740B4">
        <w:t>s</w:t>
      </w:r>
      <w:r w:rsidR="00576B07" w:rsidRPr="00B740B4">
        <w:t xml:space="preserve"> of generating an interaction between a mod</w:t>
      </w:r>
      <w:r w:rsidR="001F4F78" w:rsidRPr="00B740B4">
        <w:t xml:space="preserve">ern context </w:t>
      </w:r>
      <w:r w:rsidRPr="00B740B4">
        <w:t>and an ancient text; these</w:t>
      </w:r>
      <w:r w:rsidR="001F4F78" w:rsidRPr="00B740B4">
        <w:t xml:space="preserve"> approach</w:t>
      </w:r>
      <w:r w:rsidRPr="00B740B4">
        <w:t>es, too, suggest an</w:t>
      </w:r>
      <w:r w:rsidR="0031543B" w:rsidRPr="00B740B4">
        <w:t>other approach to</w:t>
      </w:r>
      <w:r w:rsidR="001F4F78" w:rsidRPr="00B740B4">
        <w:t xml:space="preserve"> Daniel’s bilingual nature</w:t>
      </w:r>
      <w:r w:rsidR="00672889">
        <w:t>.</w:t>
      </w:r>
      <w:r w:rsidR="00576B07" w:rsidRPr="00B740B4">
        <w:rPr>
          <w:vertAlign w:val="superscript"/>
        </w:rPr>
        <w:footnoteReference w:id="222"/>
      </w:r>
      <w:r w:rsidR="00576B07" w:rsidRPr="00B740B4">
        <w:t xml:space="preserve"> </w:t>
      </w:r>
      <w:r w:rsidR="007D4BB1" w:rsidRPr="00B740B4">
        <w:t xml:space="preserve"> It ha</w:t>
      </w:r>
      <w:r w:rsidR="005A5575" w:rsidRPr="00B740B4">
        <w:t xml:space="preserve">s been argued that </w:t>
      </w:r>
      <w:r w:rsidR="00934A11" w:rsidRPr="00B740B4">
        <w:t>“</w:t>
      </w:r>
      <w:r w:rsidR="00576B07" w:rsidRPr="00B740B4">
        <w:t xml:space="preserve">it’s impossible to understand Daniel unless </w:t>
      </w:r>
      <w:r w:rsidR="00576B07" w:rsidRPr="00B740B4">
        <w:lastRenderedPageBreak/>
        <w:t>one understands the perspective of a colonized person.</w:t>
      </w:r>
      <w:r w:rsidR="00934A11" w:rsidRPr="00B740B4">
        <w:t>”</w:t>
      </w:r>
      <w:r w:rsidR="00576B07" w:rsidRPr="00B740B4">
        <w:rPr>
          <w:rStyle w:val="FootnoteReference"/>
        </w:rPr>
        <w:footnoteReference w:id="223"/>
      </w:r>
      <w:r w:rsidRPr="00B740B4">
        <w:t xml:space="preserve"> </w:t>
      </w:r>
      <w:r w:rsidR="005A5575" w:rsidRPr="00B740B4">
        <w:t xml:space="preserve">And long before the word </w:t>
      </w:r>
      <w:r w:rsidR="005A5575" w:rsidRPr="00B740B4">
        <w:rPr>
          <w:i/>
        </w:rPr>
        <w:t>postcolonial</w:t>
      </w:r>
      <w:r w:rsidR="000D45B6" w:rsidRPr="00B740B4">
        <w:t xml:space="preserve"> existed, people in Korea</w:t>
      </w:r>
      <w:r w:rsidR="005A5575" w:rsidRPr="00B740B4">
        <w:t xml:space="preserve"> during Japanese occupation particul</w:t>
      </w:r>
      <w:r w:rsidR="007D4BB1" w:rsidRPr="00B740B4">
        <w:t>arly valued the book of Daniel</w:t>
      </w:r>
      <w:r w:rsidR="0031543B" w:rsidRPr="00B740B4">
        <w:t>,</w:t>
      </w:r>
      <w:r w:rsidR="007D4BB1" w:rsidRPr="00B740B4">
        <w:t xml:space="preserve"> </w:t>
      </w:r>
      <w:r w:rsidR="005A5575" w:rsidRPr="00B740B4">
        <w:t>and their overlords banned it.</w:t>
      </w:r>
      <w:r w:rsidR="005A5575" w:rsidRPr="00B740B4">
        <w:rPr>
          <w:rStyle w:val="FootnoteReference"/>
        </w:rPr>
        <w:footnoteReference w:id="224"/>
      </w:r>
      <w:r w:rsidR="005A5575" w:rsidRPr="00B740B4">
        <w:t xml:space="preserve"> </w:t>
      </w:r>
      <w:r w:rsidRPr="00B740B4">
        <w:t xml:space="preserve">Daniel </w:t>
      </w:r>
      <w:r w:rsidR="0031543B" w:rsidRPr="00B740B4">
        <w:t xml:space="preserve">has particularly attracted </w:t>
      </w:r>
      <w:r w:rsidRPr="00B740B4">
        <w:t>inter</w:t>
      </w:r>
      <w:r w:rsidR="0031543B" w:rsidRPr="00B740B4">
        <w:t>preters</w:t>
      </w:r>
      <w:r w:rsidR="00320E1C">
        <w:t xml:space="preserve"> </w:t>
      </w:r>
      <w:r w:rsidR="0031543B" w:rsidRPr="00B740B4">
        <w:t>who appreciated</w:t>
      </w:r>
      <w:r w:rsidR="00B34F4D" w:rsidRPr="00B740B4">
        <w:t xml:space="preserve"> it</w:t>
      </w:r>
      <w:r w:rsidR="0031543B" w:rsidRPr="00B740B4">
        <w:t>s implied</w:t>
      </w:r>
      <w:r w:rsidR="00B34F4D" w:rsidRPr="00B740B4">
        <w:t xml:space="preserve"> exhortation to resistance but not </w:t>
      </w:r>
      <w:r w:rsidR="0031543B" w:rsidRPr="00B740B4">
        <w:t xml:space="preserve">to </w:t>
      </w:r>
      <w:r w:rsidR="00FB6475" w:rsidRPr="00B740B4">
        <w:t>violence.</w:t>
      </w:r>
      <w:r w:rsidR="00FB6475" w:rsidRPr="00B740B4">
        <w:rPr>
          <w:rStyle w:val="FootnoteReference"/>
        </w:rPr>
        <w:footnoteReference w:id="225"/>
      </w:r>
    </w:p>
    <w:p w:rsidR="00FB6475" w:rsidRPr="00B740B4" w:rsidRDefault="00FB6475" w:rsidP="00FB6475">
      <w:pPr>
        <w:pStyle w:val="ListParagraph"/>
        <w:numPr>
          <w:ilvl w:val="0"/>
          <w:numId w:val="37"/>
        </w:numPr>
        <w:ind w:left="720"/>
      </w:pPr>
      <w:r w:rsidRPr="00B740B4">
        <w:t>There are many</w:t>
      </w:r>
      <w:r w:rsidR="00F37D14" w:rsidRPr="00B740B4">
        <w:t xml:space="preserve"> children’s versions of the sto</w:t>
      </w:r>
      <w:r w:rsidR="0002124F" w:rsidRPr="00B740B4">
        <w:t>ry of Daniel and the lions’ den, and c</w:t>
      </w:r>
      <w:r w:rsidRPr="00B740B4">
        <w:t xml:space="preserve">hildren are urged to </w:t>
      </w:r>
      <w:r w:rsidR="00934A11" w:rsidRPr="00B740B4">
        <w:t>“</w:t>
      </w:r>
      <w:r w:rsidRPr="00B740B4">
        <w:t>D</w:t>
      </w:r>
      <w:r w:rsidR="00F37D14" w:rsidRPr="00B740B4">
        <w:t>are to be a D</w:t>
      </w:r>
      <w:r w:rsidR="0002124F" w:rsidRPr="00B740B4">
        <w:t>aniel,</w:t>
      </w:r>
      <w:r w:rsidR="00934A11" w:rsidRPr="00B740B4">
        <w:t>”</w:t>
      </w:r>
      <w:r w:rsidR="0002124F" w:rsidRPr="00B740B4">
        <w:t xml:space="preserve"> though arguably</w:t>
      </w:r>
      <w:r w:rsidR="00856D9C" w:rsidRPr="00B740B4">
        <w:t xml:space="preserve"> </w:t>
      </w:r>
      <w:r w:rsidR="00934A11" w:rsidRPr="00B740B4">
        <w:t>“</w:t>
      </w:r>
      <w:r w:rsidR="00856D9C" w:rsidRPr="00B740B4">
        <w:t>what Daniel represents is the possibility of being threatened with being devoured and yet safe.</w:t>
      </w:r>
      <w:r w:rsidR="00934A11" w:rsidRPr="00B740B4">
        <w:t>”</w:t>
      </w:r>
      <w:r w:rsidR="00856D9C" w:rsidRPr="00B740B4">
        <w:rPr>
          <w:rStyle w:val="FootnoteReference"/>
        </w:rPr>
        <w:footnoteReference w:id="226"/>
      </w:r>
      <w:r w:rsidR="00C06BDD" w:rsidRPr="00B740B4">
        <w:t xml:space="preserve"> </w:t>
      </w:r>
    </w:p>
    <w:p w:rsidR="00B34F4D" w:rsidRPr="00B740B4" w:rsidRDefault="00BF70AA" w:rsidP="00B34F4D">
      <w:pPr>
        <w:pStyle w:val="ListParagraph"/>
        <w:numPr>
          <w:ilvl w:val="0"/>
          <w:numId w:val="37"/>
        </w:numPr>
        <w:ind w:left="720"/>
        <w:rPr>
          <w:iCs/>
        </w:rPr>
      </w:pPr>
      <w:r w:rsidRPr="00B740B4">
        <w:t>Gender Studies</w:t>
      </w:r>
      <w:r w:rsidR="00FB6475" w:rsidRPr="00B740B4">
        <w:t xml:space="preserve"> have looked at Daniel from a feminist perspective and then in terms of more recent study of masculinity,</w:t>
      </w:r>
      <w:r w:rsidR="00F25592" w:rsidRPr="00B740B4">
        <w:rPr>
          <w:rStyle w:val="FootnoteReference"/>
        </w:rPr>
        <w:footnoteReference w:id="227"/>
      </w:r>
      <w:r w:rsidR="00FB6475" w:rsidRPr="00B740B4">
        <w:t xml:space="preserve"> while p</w:t>
      </w:r>
      <w:r w:rsidR="00093D34" w:rsidRPr="00B740B4">
        <w:t>sychological interpretation</w:t>
      </w:r>
      <w:r w:rsidR="00FB6475" w:rsidRPr="00B740B4">
        <w:t xml:space="preserve"> looks at Daniel as a person whose em</w:t>
      </w:r>
      <w:r w:rsidR="009D3B28" w:rsidRPr="00B740B4">
        <w:t>o</w:t>
      </w:r>
      <w:r w:rsidR="00FB6475" w:rsidRPr="00B740B4">
        <w:t>tions are prominent in the book.</w:t>
      </w:r>
      <w:r w:rsidR="00FB6475" w:rsidRPr="00B740B4">
        <w:rPr>
          <w:rStyle w:val="FootnoteReference"/>
        </w:rPr>
        <w:footnoteReference w:id="228"/>
      </w:r>
      <w:r w:rsidR="00B34F4D" w:rsidRPr="00B740B4">
        <w:t xml:space="preserve"> </w:t>
      </w:r>
      <w:r w:rsidR="007D4BB1" w:rsidRPr="00B740B4">
        <w:t>Yet further,</w:t>
      </w:r>
      <w:r w:rsidR="00A74B40" w:rsidRPr="00B740B4">
        <w:t xml:space="preserve"> Daniel more than some books encourages readers to think beyond the human</w:t>
      </w:r>
      <w:r w:rsidR="00D4636D" w:rsidRPr="00B740B4">
        <w:t>.</w:t>
      </w:r>
      <w:r w:rsidR="007A5223" w:rsidRPr="00B740B4">
        <w:rPr>
          <w:rStyle w:val="FootnoteReference"/>
        </w:rPr>
        <w:footnoteReference w:id="229"/>
      </w:r>
    </w:p>
    <w:p w:rsidR="002F4621" w:rsidRPr="00B740B4" w:rsidRDefault="006F40EA" w:rsidP="009D3B28">
      <w:pPr>
        <w:pStyle w:val="ListParagraph"/>
        <w:numPr>
          <w:ilvl w:val="0"/>
          <w:numId w:val="37"/>
        </w:numPr>
        <w:ind w:left="720"/>
      </w:pPr>
      <w:r w:rsidRPr="00B740B4">
        <w:t>A m</w:t>
      </w:r>
      <w:r w:rsidR="00320E1C">
        <w:t>a</w:t>
      </w:r>
      <w:r w:rsidRPr="00B740B4">
        <w:t xml:space="preserve">jor significance of </w:t>
      </w:r>
      <w:r w:rsidR="00934A11" w:rsidRPr="00B740B4">
        <w:t>“</w:t>
      </w:r>
      <w:r w:rsidRPr="00B740B4">
        <w:t>t</w:t>
      </w:r>
      <w:r w:rsidR="002F4621" w:rsidRPr="00B740B4">
        <w:t>heological interpretation</w:t>
      </w:r>
      <w:r w:rsidR="00934A11" w:rsidRPr="00B740B4">
        <w:t>”</w:t>
      </w:r>
      <w:r w:rsidR="009D3B28" w:rsidRPr="00B740B4">
        <w:t xml:space="preserve"> </w:t>
      </w:r>
      <w:r w:rsidRPr="00B740B4">
        <w:t>of the OT is that it seeks to respond to the limitations of</w:t>
      </w:r>
      <w:r w:rsidR="0068207E" w:rsidRPr="00B740B4">
        <w:t xml:space="preserve"> </w:t>
      </w:r>
      <w:r w:rsidR="009D3B28" w:rsidRPr="00B740B4">
        <w:t>historical-cri</w:t>
      </w:r>
      <w:r w:rsidRPr="00B740B4">
        <w:t>tical approaches,</w:t>
      </w:r>
      <w:r w:rsidR="009D3B28" w:rsidRPr="00B740B4">
        <w:t xml:space="preserve"> </w:t>
      </w:r>
      <w:r w:rsidR="0068207E" w:rsidRPr="00B740B4">
        <w:t xml:space="preserve">which </w:t>
      </w:r>
      <w:r w:rsidRPr="00B740B4">
        <w:t>see Daniel as</w:t>
      </w:r>
      <w:r w:rsidR="007D4BB1" w:rsidRPr="00B740B4">
        <w:t xml:space="preserve"> </w:t>
      </w:r>
      <w:r w:rsidR="00934A11" w:rsidRPr="00B740B4">
        <w:t>“</w:t>
      </w:r>
      <w:r w:rsidR="009D3B28" w:rsidRPr="00B740B4">
        <w:t>a collection of imaginative tales and visions that reflect the fears and hopes of beleaguered</w:t>
      </w:r>
      <w:r w:rsidR="0068207E" w:rsidRPr="00B740B4">
        <w:t xml:space="preserve"> Jews in the Hellenistic period</w:t>
      </w:r>
      <w:r w:rsidR="00934A11" w:rsidRPr="00B740B4">
        <w:t>”</w:t>
      </w:r>
      <w:r w:rsidR="0068207E" w:rsidRPr="00B740B4">
        <w:t>;</w:t>
      </w:r>
      <w:r w:rsidR="009D3B28" w:rsidRPr="00B740B4">
        <w:rPr>
          <w:vertAlign w:val="superscript"/>
        </w:rPr>
        <w:footnoteReference w:id="230"/>
      </w:r>
      <w:r w:rsidR="0068207E" w:rsidRPr="00B740B4">
        <w:t xml:space="preserve"> </w:t>
      </w:r>
      <w:r w:rsidR="009D3B28" w:rsidRPr="00B740B4">
        <w:t>most readers of Daniel stud</w:t>
      </w:r>
      <w:r w:rsidR="004F2AA3">
        <w:t>y it because it is part of the s</w:t>
      </w:r>
      <w:r w:rsidR="009D3B28" w:rsidRPr="00B740B4">
        <w:t>criptures of Judaism and of the church, and think</w:t>
      </w:r>
      <w:r w:rsidR="0068207E" w:rsidRPr="00B740B4">
        <w:t xml:space="preserve"> that it reflects more than such</w:t>
      </w:r>
      <w:r w:rsidR="007D4BB1" w:rsidRPr="00B740B4">
        <w:t xml:space="preserve"> description</w:t>
      </w:r>
      <w:r w:rsidR="0068207E" w:rsidRPr="00B740B4">
        <w:t>s imply</w:t>
      </w:r>
      <w:r w:rsidR="009D3B28" w:rsidRPr="00B740B4">
        <w:t xml:space="preserve">. </w:t>
      </w:r>
      <w:r w:rsidR="00A323E5" w:rsidRPr="00B740B4">
        <w:t>The increase in our historical insight into Daniel in the modern period has not been accompanied by a proportionate increase in our theological insight into the book.</w:t>
      </w:r>
      <w:r w:rsidR="00A323E5" w:rsidRPr="00B740B4">
        <w:rPr>
          <w:rStyle w:val="FootnoteReference"/>
        </w:rPr>
        <w:footnoteReference w:id="231"/>
      </w:r>
      <w:r w:rsidR="00A323E5" w:rsidRPr="00B740B4">
        <w:t xml:space="preserve"> </w:t>
      </w:r>
      <w:r w:rsidR="00BB6FE8" w:rsidRPr="00B740B4">
        <w:t>Once ag</w:t>
      </w:r>
      <w:r w:rsidR="009D3B28" w:rsidRPr="00B740B4">
        <w:t>a</w:t>
      </w:r>
      <w:r w:rsidR="007D4BB1" w:rsidRPr="00B740B4">
        <w:t xml:space="preserve">in, </w:t>
      </w:r>
      <w:r w:rsidR="00A323E5" w:rsidRPr="00B740B4">
        <w:t xml:space="preserve">then, </w:t>
      </w:r>
      <w:r w:rsidR="007D4BB1" w:rsidRPr="00B740B4">
        <w:t>theological interpretation</w:t>
      </w:r>
      <w:r w:rsidR="009D3B28" w:rsidRPr="00B740B4">
        <w:t xml:space="preserve"> can be </w:t>
      </w:r>
      <w:r w:rsidR="00BB6FE8" w:rsidRPr="00B740B4">
        <w:t>a way into the text’</w:t>
      </w:r>
      <w:r w:rsidR="009D3B28" w:rsidRPr="00B740B4">
        <w:t>s meaning</w:t>
      </w:r>
      <w:r w:rsidR="009D11C6" w:rsidRPr="00B740B4">
        <w:t>.</w:t>
      </w:r>
      <w:r w:rsidR="009D3B28" w:rsidRPr="00B740B4">
        <w:rPr>
          <w:rStyle w:val="FootnoteReference"/>
        </w:rPr>
        <w:footnoteReference w:id="232"/>
      </w:r>
      <w:r w:rsidR="009D11C6" w:rsidRPr="00B740B4">
        <w:t xml:space="preserve"> </w:t>
      </w:r>
      <w:r w:rsidR="00320E1C">
        <w:t>On the other hand,</w:t>
      </w:r>
      <w:r w:rsidR="009D3B28" w:rsidRPr="00B740B4">
        <w:t xml:space="preserve"> </w:t>
      </w:r>
      <w:r w:rsidR="009D11C6" w:rsidRPr="00B740B4">
        <w:t xml:space="preserve">it can be </w:t>
      </w:r>
      <w:r w:rsidR="009D3B28" w:rsidRPr="00B740B4">
        <w:t xml:space="preserve">a way of </w:t>
      </w:r>
      <w:r w:rsidR="009D11C6" w:rsidRPr="00B740B4">
        <w:t>seeing significance in the text that th</w:t>
      </w:r>
      <w:r w:rsidRPr="00B740B4">
        <w:t>e author would not have seen, if</w:t>
      </w:r>
      <w:r w:rsidR="009D11C6" w:rsidRPr="00B740B4">
        <w:t xml:space="preserve"> (for instance) the</w:t>
      </w:r>
      <w:r w:rsidR="00DA1529" w:rsidRPr="00B740B4">
        <w:t xml:space="preserve"> book’s center</w:t>
      </w:r>
      <w:r w:rsidR="009D11C6" w:rsidRPr="00B740B4">
        <w:t xml:space="preserve"> is identified as the ascension of Christ and Daniel is </w:t>
      </w:r>
      <w:r w:rsidR="00934A11" w:rsidRPr="00B740B4">
        <w:t>“</w:t>
      </w:r>
      <w:r w:rsidR="009D11C6" w:rsidRPr="00B740B4">
        <w:rPr>
          <w:rFonts w:asciiTheme="minorHAnsi" w:eastAsiaTheme="minorEastAsia" w:hAnsiTheme="minorHAnsi" w:cstheme="minorBidi"/>
          <w:szCs w:val="22"/>
        </w:rPr>
        <w:t xml:space="preserve">read through this </w:t>
      </w:r>
      <w:r w:rsidR="009D11C6" w:rsidRPr="00B740B4">
        <w:rPr>
          <w:rFonts w:asciiTheme="minorHAnsi" w:eastAsiaTheme="minorEastAsia" w:hAnsiTheme="minorHAnsi" w:cstheme="minorBidi"/>
          <w:iCs/>
          <w:szCs w:val="22"/>
        </w:rPr>
        <w:t>lens</w:t>
      </w:r>
      <w:r w:rsidR="009D11C6" w:rsidRPr="00B740B4">
        <w:rPr>
          <w:rFonts w:asciiTheme="minorHAnsi" w:eastAsiaTheme="minorEastAsia" w:hAnsiTheme="minorHAnsi" w:cstheme="minorBidi"/>
          <w:szCs w:val="22"/>
        </w:rPr>
        <w:t xml:space="preserve"> of</w:t>
      </w:r>
      <w:r w:rsidR="0068207E" w:rsidRPr="00B740B4">
        <w:rPr>
          <w:rFonts w:asciiTheme="minorHAnsi" w:eastAsiaTheme="minorEastAsia" w:hAnsiTheme="minorHAnsi" w:cstheme="minorBidi"/>
          <w:szCs w:val="22"/>
        </w:rPr>
        <w:t xml:space="preserve"> </w:t>
      </w:r>
      <w:r w:rsidR="009D11C6" w:rsidRPr="00B740B4">
        <w:rPr>
          <w:rFonts w:asciiTheme="minorHAnsi" w:eastAsiaTheme="minorEastAsia" w:hAnsiTheme="minorHAnsi" w:cstheme="minorBidi"/>
          <w:szCs w:val="22"/>
        </w:rPr>
        <w:t xml:space="preserve">an </w:t>
      </w:r>
      <w:r w:rsidR="009D11C6" w:rsidRPr="00B740B4">
        <w:rPr>
          <w:rFonts w:asciiTheme="minorHAnsi" w:eastAsiaTheme="minorEastAsia" w:hAnsiTheme="minorHAnsi" w:cstheme="minorBidi"/>
          <w:iCs/>
          <w:szCs w:val="22"/>
        </w:rPr>
        <w:t>ascension Christology.</w:t>
      </w:r>
      <w:r w:rsidR="00934A11" w:rsidRPr="00B740B4">
        <w:rPr>
          <w:rFonts w:asciiTheme="minorHAnsi" w:eastAsiaTheme="minorEastAsia" w:hAnsiTheme="minorHAnsi" w:cstheme="minorBidi"/>
          <w:iCs/>
          <w:szCs w:val="22"/>
        </w:rPr>
        <w:t>”</w:t>
      </w:r>
      <w:r w:rsidR="009D11C6" w:rsidRPr="00B740B4">
        <w:rPr>
          <w:rStyle w:val="FootnoteReference"/>
          <w:rFonts w:asciiTheme="minorHAnsi" w:eastAsiaTheme="minorEastAsia" w:hAnsiTheme="minorHAnsi" w:cstheme="minorBidi"/>
          <w:iCs/>
          <w:szCs w:val="22"/>
        </w:rPr>
        <w:footnoteReference w:id="233"/>
      </w:r>
    </w:p>
    <w:p w:rsidR="002E48EA" w:rsidRPr="00B740B4" w:rsidRDefault="002E48EA" w:rsidP="009479B1">
      <w:pPr>
        <w:pStyle w:val="Heading2"/>
      </w:pPr>
      <w:r w:rsidRPr="00B740B4">
        <w:t>Back to the Future with the Qumran Community</w:t>
      </w:r>
    </w:p>
    <w:p w:rsidR="006F40EA" w:rsidRPr="00B740B4" w:rsidRDefault="006F40EA" w:rsidP="002E48EA">
      <w:r w:rsidRPr="00B740B4">
        <w:t>Alongside t</w:t>
      </w:r>
      <w:r w:rsidR="0066588D" w:rsidRPr="00B740B4">
        <w:t>he burgeoning</w:t>
      </w:r>
      <w:r w:rsidR="00320E1C">
        <w:t xml:space="preserve"> </w:t>
      </w:r>
      <w:r w:rsidR="002E48EA" w:rsidRPr="00B740B4">
        <w:t>of postmodern approaches to interpretation</w:t>
      </w:r>
      <w:r w:rsidRPr="00B740B4">
        <w:t xml:space="preserve">, the other </w:t>
      </w:r>
      <w:r w:rsidR="002E48EA" w:rsidRPr="00B740B4">
        <w:t>major development in the study of Dan</w:t>
      </w:r>
      <w:r w:rsidRPr="00B740B4">
        <w:t>iel over the past thirty years</w:t>
      </w:r>
      <w:r w:rsidR="0066588D" w:rsidRPr="00B740B4">
        <w:t xml:space="preserve"> looks quit</w:t>
      </w:r>
      <w:r w:rsidRPr="00B740B4">
        <w:t>e different but is ideologically</w:t>
      </w:r>
      <w:r w:rsidR="0066588D" w:rsidRPr="00B740B4">
        <w:t xml:space="preserve"> related. It concern</w:t>
      </w:r>
      <w:r w:rsidR="0024188E" w:rsidRPr="00B740B4">
        <w:t xml:space="preserve">s textual criticism. </w:t>
      </w:r>
    </w:p>
    <w:p w:rsidR="0066588D" w:rsidRPr="00B740B4" w:rsidRDefault="0024188E" w:rsidP="002E48EA">
      <w:r w:rsidRPr="00B740B4">
        <w:t>Ironically</w:t>
      </w:r>
      <w:r w:rsidR="0066588D" w:rsidRPr="00B740B4">
        <w:t xml:space="preserve"> </w:t>
      </w:r>
      <w:r w:rsidRPr="00B740B4">
        <w:t>(</w:t>
      </w:r>
      <w:r w:rsidR="0066588D" w:rsidRPr="00B740B4">
        <w:t>given the nature of the book of Daniel</w:t>
      </w:r>
      <w:r w:rsidRPr="00B740B4">
        <w:t>)</w:t>
      </w:r>
      <w:r w:rsidR="0066588D" w:rsidRPr="00B740B4">
        <w:t>, both developments might have been predicted, but only with hindsight.</w:t>
      </w:r>
      <w:r w:rsidR="006F40EA" w:rsidRPr="00B740B4">
        <w:t xml:space="preserve"> </w:t>
      </w:r>
      <w:r w:rsidR="0066588D" w:rsidRPr="00B740B4">
        <w:t>In the modern period, the philosophy of textual criticism seemed self-evident. Its aim was to get back to the original text of t</w:t>
      </w:r>
      <w:r w:rsidR="004F2AA3">
        <w:t>he s</w:t>
      </w:r>
      <w:r w:rsidR="006F40EA" w:rsidRPr="00B740B4">
        <w:t>criptures. But what we mean by the original text i</w:t>
      </w:r>
      <w:r w:rsidR="0066588D" w:rsidRPr="00B740B4">
        <w:t>s less clear. For instance, in 4:3</w:t>
      </w:r>
      <w:r w:rsidR="00667870" w:rsidRPr="00B740B4">
        <w:t xml:space="preserve">5 [32] </w:t>
      </w:r>
      <w:r w:rsidR="0066588D" w:rsidRPr="00B740B4">
        <w:t xml:space="preserve">BHK and BHS declare that the </w:t>
      </w:r>
      <w:r w:rsidR="00667870" w:rsidRPr="00B740B4">
        <w:t xml:space="preserve">second occurrence of </w:t>
      </w:r>
      <w:r w:rsidR="00667870" w:rsidRPr="00B740B4">
        <w:lastRenderedPageBreak/>
        <w:t xml:space="preserve">the </w:t>
      </w:r>
      <w:r w:rsidR="0066588D" w:rsidRPr="00B740B4">
        <w:t xml:space="preserve">phrase </w:t>
      </w:r>
      <w:r w:rsidR="00934A11" w:rsidRPr="00B740B4">
        <w:t>“</w:t>
      </w:r>
      <w:r w:rsidR="0066588D" w:rsidRPr="00B740B4">
        <w:t>and the inhabitants of earth</w:t>
      </w:r>
      <w:r w:rsidR="00934A11" w:rsidRPr="00B740B4">
        <w:t>”</w:t>
      </w:r>
      <w:r w:rsidR="00667870" w:rsidRPr="00B740B4">
        <w:t xml:space="preserve"> is an addition, and the NEB translation omits it</w:t>
      </w:r>
      <w:r w:rsidR="00FA4E68" w:rsidRPr="00B740B4">
        <w:t>.</w:t>
      </w:r>
      <w:r w:rsidRPr="00B740B4">
        <w:t xml:space="preserve"> On what basis can we say that the phrase is an addition to the original text? What is this original text?</w:t>
      </w:r>
    </w:p>
    <w:p w:rsidR="00561FFD" w:rsidRPr="00B740B4" w:rsidRDefault="00561FFD" w:rsidP="00561FFD">
      <w:r w:rsidRPr="00B740B4">
        <w:t>The Hebrew-Aramaic book of Daniel is one of the few books in the Bible of which we can say with some precision and confidence when and where it</w:t>
      </w:r>
      <w:r w:rsidR="00320E1C">
        <w:t xml:space="preserve"> </w:t>
      </w:r>
      <w:r w:rsidRPr="00B740B4">
        <w:t xml:space="preserve">came into being: in Jerusalem in the mid-160s BC in the midst of the persecution of Jewish people there in the time of Antochus IV. One can therefore also attach some meaning to the idea of the original text of Daniel. Someone or a group of people put the book together at that point. It is possible to envisage there being an original copy. And because of the substantial (if partial) vindication of its promises when Antiochus was thrown out, it seems to have speedily gained the community’s recognition as deserving </w:t>
      </w:r>
      <w:r w:rsidR="004F2AA3">
        <w:t>to belong to its collection of s</w:t>
      </w:r>
      <w:r w:rsidRPr="00B740B4">
        <w:t xml:space="preserve">criptures along with the Torah, Isaiah, and so on. Yet this fact makes the variety of Daniel material from Qumran and the existence of its several Greek translations all the more striking. The discovery of the Qumran scrolls in fact played a key role in raising new questions about the aims and principles of textual criticism, questions which have grown in sharpness as the Daniel scrolls in particular have been published. </w:t>
      </w:r>
    </w:p>
    <w:p w:rsidR="00FA4E68" w:rsidRPr="00B740B4" w:rsidRDefault="00FA4E68" w:rsidP="002E48EA">
      <w:r w:rsidRPr="00B740B4">
        <w:rPr>
          <w:i/>
        </w:rPr>
        <w:t>Biblia Hebraica</w:t>
      </w:r>
      <w:r w:rsidR="002F1B38" w:rsidRPr="00B740B4">
        <w:t xml:space="preserve"> is a presentation of the</w:t>
      </w:r>
      <w:r w:rsidR="0024188E" w:rsidRPr="00B740B4">
        <w:t xml:space="preserve"> </w:t>
      </w:r>
      <w:r w:rsidR="006F40EA" w:rsidRPr="00B740B4">
        <w:t xml:space="preserve">text </w:t>
      </w:r>
      <w:r w:rsidR="0024188E" w:rsidRPr="00B740B4">
        <w:t>of MT</w:t>
      </w:r>
      <w:r w:rsidR="002F1B38" w:rsidRPr="00B740B4">
        <w:t xml:space="preserve"> whose</w:t>
      </w:r>
      <w:r w:rsidRPr="00B740B4">
        <w:t xml:space="preserve"> first three editions</w:t>
      </w:r>
      <w:r w:rsidR="002F1B38" w:rsidRPr="00B740B4">
        <w:t>,</w:t>
      </w:r>
      <w:r w:rsidRPr="00B740B4">
        <w:t xml:space="preserve"> </w:t>
      </w:r>
      <w:r w:rsidR="002F1B38" w:rsidRPr="00B740B4">
        <w:t>in the first half of the twentieth century</w:t>
      </w:r>
      <w:r w:rsidR="00320E1C">
        <w:t>,</w:t>
      </w:r>
      <w:r w:rsidR="002F1B38" w:rsidRPr="00B740B4">
        <w:t xml:space="preserve"> </w:t>
      </w:r>
      <w:r w:rsidRPr="00B740B4">
        <w:t>were edit</w:t>
      </w:r>
      <w:r w:rsidR="002F1B38" w:rsidRPr="00B740B4">
        <w:t xml:space="preserve">ed by Rudolf Kittel and others; </w:t>
      </w:r>
      <w:r w:rsidRPr="00B740B4">
        <w:t>he</w:t>
      </w:r>
      <w:r w:rsidR="0093728C" w:rsidRPr="00B740B4">
        <w:t xml:space="preserve">nce the abbreviation </w:t>
      </w:r>
      <w:r w:rsidR="0093728C" w:rsidRPr="000B1452">
        <w:t>BHK</w:t>
      </w:r>
      <w:r w:rsidRPr="00B740B4">
        <w:t xml:space="preserve">. </w:t>
      </w:r>
      <w:r w:rsidR="0093728C" w:rsidRPr="00B740B4">
        <w:t>The fourth edition was developed and published in the se</w:t>
      </w:r>
      <w:r w:rsidR="002F1B38" w:rsidRPr="00B740B4">
        <w:t>c</w:t>
      </w:r>
      <w:r w:rsidR="0093728C" w:rsidRPr="00B740B4">
        <w:t xml:space="preserve">ond half of the twentieth century by the German Bible Society in Stuttgart—hence </w:t>
      </w:r>
      <w:r w:rsidR="0093728C" w:rsidRPr="00B740B4">
        <w:rPr>
          <w:i/>
        </w:rPr>
        <w:t xml:space="preserve">Biblia Hebraica Stuttgartensia </w:t>
      </w:r>
      <w:r w:rsidR="0093728C" w:rsidRPr="00B740B4">
        <w:t>or BHS. In the early twenty-first century</w:t>
      </w:r>
      <w:r w:rsidR="00320E1C">
        <w:t>, volumes in</w:t>
      </w:r>
      <w:r w:rsidR="002F1B38" w:rsidRPr="00B740B4">
        <w:t xml:space="preserve"> a</w:t>
      </w:r>
      <w:r w:rsidR="0093728C" w:rsidRPr="00B740B4">
        <w:t xml:space="preserve"> fifth edition, </w:t>
      </w:r>
      <w:r w:rsidR="0093728C" w:rsidRPr="00B740B4">
        <w:rPr>
          <w:i/>
        </w:rPr>
        <w:t>Biblia Hebraica Quinta</w:t>
      </w:r>
      <w:r w:rsidR="002F1B38" w:rsidRPr="00B740B4">
        <w:rPr>
          <w:i/>
        </w:rPr>
        <w:t xml:space="preserve"> </w:t>
      </w:r>
      <w:r w:rsidR="002F1B38" w:rsidRPr="00B740B4">
        <w:t>or BHQ,</w:t>
      </w:r>
      <w:r w:rsidR="0093728C" w:rsidRPr="00B740B4">
        <w:t xml:space="preserve"> began to appear; there is not yet any date for the Daniel volume.</w:t>
      </w:r>
      <w:r w:rsidR="0024188E" w:rsidRPr="00B740B4">
        <w:t xml:space="preserve"> </w:t>
      </w:r>
      <w:r w:rsidR="002F1B38" w:rsidRPr="00B740B4">
        <w:t xml:space="preserve">The margins of </w:t>
      </w:r>
      <w:r w:rsidR="002F1B38" w:rsidRPr="000B1452">
        <w:t>BHK</w:t>
      </w:r>
      <w:r w:rsidR="002F1B38" w:rsidRPr="00B740B4">
        <w:t xml:space="preserve"> offer very many suggestions for revision of the text to take it back to its hypothetical origin form.  The margins of BHS</w:t>
      </w:r>
      <w:r w:rsidR="002F1B38" w:rsidRPr="00B740B4">
        <w:rPr>
          <w:i/>
        </w:rPr>
        <w:t xml:space="preserve"> </w:t>
      </w:r>
      <w:r w:rsidR="002F1B38" w:rsidRPr="00B740B4">
        <w:t xml:space="preserve">contain </w:t>
      </w:r>
      <w:r w:rsidR="00320E1C">
        <w:t>fewer such suggestions. Volume</w:t>
      </w:r>
      <w:r w:rsidR="002F1B38" w:rsidRPr="00B740B4">
        <w:t xml:space="preserve">s of </w:t>
      </w:r>
      <w:r w:rsidR="002F1B38" w:rsidRPr="00B740B4">
        <w:rPr>
          <w:i/>
        </w:rPr>
        <w:t xml:space="preserve">BHQ </w:t>
      </w:r>
      <w:r w:rsidR="002F1B38" w:rsidRPr="00B740B4">
        <w:t>that have appeared are even more reticent with such suggestions, as are the volumes edited by Barthélemy</w:t>
      </w:r>
      <w:r w:rsidR="002F1B38" w:rsidRPr="00B740B4">
        <w:rPr>
          <w:b/>
        </w:rPr>
        <w:t xml:space="preserve">, </w:t>
      </w:r>
      <w:r w:rsidR="002F1B38" w:rsidRPr="00B740B4">
        <w:rPr>
          <w:i/>
        </w:rPr>
        <w:t>Critique textuelle de l’AT</w:t>
      </w:r>
      <w:r w:rsidR="00C1179B" w:rsidRPr="00B740B4">
        <w:t>,</w:t>
      </w:r>
      <w:r w:rsidR="00EC3A23" w:rsidRPr="00B740B4">
        <w:t xml:space="preserve"> and the volumes of the Hebrew University Bible project</w:t>
      </w:r>
      <w:r w:rsidR="00360BB4" w:rsidRPr="00B740B4">
        <w:t xml:space="preserve"> (</w:t>
      </w:r>
      <w:r w:rsidR="00360BB4" w:rsidRPr="00B740B4">
        <w:rPr>
          <w:i/>
        </w:rPr>
        <w:t>HUB</w:t>
      </w:r>
      <w:r w:rsidR="00360BB4" w:rsidRPr="00B740B4">
        <w:t>)</w:t>
      </w:r>
      <w:r w:rsidR="00EC3A23" w:rsidRPr="00B740B4">
        <w:t>.</w:t>
      </w:r>
      <w:r w:rsidR="002F1B38" w:rsidRPr="00B740B4">
        <w:t xml:space="preserve"> </w:t>
      </w:r>
      <w:r w:rsidR="0024188E" w:rsidRPr="00B740B4">
        <w:t xml:space="preserve">At the same time, the Society of Biblical Literature is </w:t>
      </w:r>
      <w:r w:rsidR="00EC3A23" w:rsidRPr="00B740B4">
        <w:t xml:space="preserve">publishing the volumes in the Oxford Hebrew Bible Project, a series </w:t>
      </w:r>
      <w:r w:rsidR="0024188E" w:rsidRPr="00B740B4">
        <w:t>containing a</w:t>
      </w:r>
      <w:r w:rsidR="00EC3A23" w:rsidRPr="00B740B4">
        <w:t>n eclectic,</w:t>
      </w:r>
      <w:r w:rsidR="0024188E" w:rsidRPr="00B740B4">
        <w:t xml:space="preserve"> critically recons</w:t>
      </w:r>
      <w:r w:rsidR="00EC3A23" w:rsidRPr="00B740B4">
        <w:t>tructed text rather than MT.</w:t>
      </w:r>
      <w:r w:rsidR="00FC42FA" w:rsidRPr="00B740B4">
        <w:rPr>
          <w:rStyle w:val="FootnoteReference"/>
        </w:rPr>
        <w:footnoteReference w:id="234"/>
      </w:r>
      <w:r w:rsidR="00EC3A23" w:rsidRPr="00B740B4">
        <w:t xml:space="preserve"> Further,</w:t>
      </w:r>
      <w:r w:rsidR="0024188E" w:rsidRPr="00B740B4">
        <w:t xml:space="preserve"> </w:t>
      </w:r>
      <w:r w:rsidR="00360BB4" w:rsidRPr="00B740B4">
        <w:t>various scholars are engaged in producing</w:t>
      </w:r>
      <w:r w:rsidR="0024188E" w:rsidRPr="00B740B4">
        <w:t xml:space="preserve"> editions and translations of </w:t>
      </w:r>
      <w:r w:rsidR="0097086C" w:rsidRPr="00B740B4">
        <w:t xml:space="preserve">versions such as G, Vg, and Syr, </w:t>
      </w:r>
      <w:r w:rsidR="0024188E" w:rsidRPr="00B740B4">
        <w:t>and commentaries</w:t>
      </w:r>
      <w:r w:rsidR="00EC3A23" w:rsidRPr="00B740B4">
        <w:t xml:space="preserve"> on these versions, which</w:t>
      </w:r>
      <w:r w:rsidR="0097086C" w:rsidRPr="00B740B4">
        <w:t xml:space="preserve"> treat them as of interest in their own right and not mer</w:t>
      </w:r>
      <w:r w:rsidR="00C1179B" w:rsidRPr="00B740B4">
        <w:t>ely as aids to the reconstruct</w:t>
      </w:r>
      <w:r w:rsidR="0097086C" w:rsidRPr="00B740B4">
        <w:t>ion of “the original Hebrew text.”</w:t>
      </w:r>
      <w:r w:rsidR="00C1179B" w:rsidRPr="00B740B4">
        <w:t xml:space="preserve"> </w:t>
      </w:r>
    </w:p>
    <w:p w:rsidR="00A12626" w:rsidRPr="00B740B4" w:rsidRDefault="0097086C" w:rsidP="00D843F2">
      <w:r w:rsidRPr="00B740B4">
        <w:t>Given that L was copied over a millennium later than the book came into being</w:t>
      </w:r>
      <w:r w:rsidR="00561FFD" w:rsidRPr="00B740B4">
        <w:t>, i</w:t>
      </w:r>
      <w:r w:rsidR="00D843F2" w:rsidRPr="00B740B4">
        <w:t>t can be only a starting point</w:t>
      </w:r>
      <w:r w:rsidR="00561FFD" w:rsidRPr="00B740B4">
        <w:t xml:space="preserve"> for study of the text. Over the centuries the book was likely </w:t>
      </w:r>
      <w:r w:rsidR="00D843F2" w:rsidRPr="00B740B4">
        <w:t>affected by both accidental and intentional changes. We may be able to identify some of these by comparing L with older copies of Daniel such as the Cairo manuscript and the Qumran manuscripts. We can also study copies of translations that are older than L, the most important for this purpos</w:t>
      </w:r>
      <w:r w:rsidR="00561FFD" w:rsidRPr="00B740B4">
        <w:t>e being the Greek, Syriac, and</w:t>
      </w:r>
      <w:r w:rsidR="00D843F2" w:rsidRPr="00B740B4">
        <w:t xml:space="preserve"> Latin, to see if we can infer the Hebrew ver</w:t>
      </w:r>
      <w:r w:rsidR="00561FFD" w:rsidRPr="00B740B4">
        <w:t>sion utilized by them</w:t>
      </w:r>
      <w:r w:rsidR="00D843F2" w:rsidRPr="00B740B4">
        <w:t xml:space="preserve">. </w:t>
      </w:r>
      <w:r w:rsidR="00A12626" w:rsidRPr="00B740B4">
        <w:t xml:space="preserve">Yet </w:t>
      </w:r>
      <w:r w:rsidR="00D843F2" w:rsidRPr="00B740B4">
        <w:t>some differences between these translations and MT, and between variant Hebrew manuscripts and MT</w:t>
      </w:r>
      <w:r w:rsidR="00A12626" w:rsidRPr="00B740B4">
        <w:t>, themselves reflect interpret</w:t>
      </w:r>
      <w:r w:rsidR="00D843F2" w:rsidRPr="00B740B4">
        <w:t xml:space="preserve">ive activity. </w:t>
      </w:r>
      <w:r w:rsidR="00A12626" w:rsidRPr="00B740B4">
        <w:t>They may not indicate that the translations</w:t>
      </w:r>
      <w:r w:rsidR="00320E1C">
        <w:t xml:space="preserve"> </w:t>
      </w:r>
      <w:r w:rsidR="00D843F2" w:rsidRPr="00B740B4">
        <w:t>are mediating t</w:t>
      </w:r>
      <w:r w:rsidR="00A12626" w:rsidRPr="00B740B4">
        <w:t xml:space="preserve">o us an earlier text </w:t>
      </w:r>
      <w:r w:rsidR="00D843F2" w:rsidRPr="00B740B4">
        <w:t>. The trend of contemporary textual criticism is to recognize that biblical books were preserved in a number of textual traditions (e.g., in different geographical areas). A reading suggested by one of the ancient translations that seems to us preferable to the one provided by MT may not actually be nearer to what the author of Daniel wrote. Where MT is mo</w:t>
      </w:r>
      <w:r w:rsidR="003F14FD" w:rsidRPr="00B740B4">
        <w:t>re pleonastic than G (e.g., 6:20 [21</w:t>
      </w:r>
      <w:r w:rsidR="00320E1C">
        <w:t>]; 8:1, 2, 3), or less elegant</w:t>
      </w:r>
      <w:r w:rsidR="00D843F2" w:rsidRPr="00B740B4">
        <w:t xml:space="preserve"> or syntactically uneven (e.g., 1:5, 20), or expansive in a way that could suggest glossing (e.g., 7:1, 11), or </w:t>
      </w:r>
      <w:r w:rsidR="00320E1C">
        <w:t xml:space="preserve">where it </w:t>
      </w:r>
      <w:r w:rsidR="00D843F2" w:rsidRPr="00B740B4">
        <w:t xml:space="preserve">repeats phrases with variation rather than identically </w:t>
      </w:r>
      <w:r w:rsidR="002B6994" w:rsidRPr="00B740B4">
        <w:t>(e.g., 4:12 [9</w:t>
      </w:r>
      <w:r w:rsidR="00A12626" w:rsidRPr="00B740B4">
        <w:t xml:space="preserve">]), </w:t>
      </w:r>
      <w:r w:rsidR="00D843F2" w:rsidRPr="00B740B4">
        <w:t>these featur</w:t>
      </w:r>
      <w:r w:rsidR="00A12626" w:rsidRPr="00B740B4">
        <w:t>es need not imply</w:t>
      </w:r>
      <w:r w:rsidR="00D843F2" w:rsidRPr="00B740B4">
        <w:t xml:space="preserve"> that MT is not original. </w:t>
      </w:r>
    </w:p>
    <w:p w:rsidR="00D843F2" w:rsidRPr="00B740B4" w:rsidRDefault="00A12626" w:rsidP="00D843F2">
      <w:r w:rsidRPr="00B740B4">
        <w:t xml:space="preserve">I am generally more inclined to trust the work of the Jewish community and the rabbis who preserved </w:t>
      </w:r>
      <w:r w:rsidR="004F2AA3">
        <w:t>the text of the s</w:t>
      </w:r>
      <w:r w:rsidRPr="00B740B4">
        <w:t xml:space="preserve">criptures than to trust my own capacity to get back behind their work to a more original text. While my eclectic text might sometimes be closer to the hypothetical original, at </w:t>
      </w:r>
      <w:r w:rsidRPr="00B740B4">
        <w:lastRenderedPageBreak/>
        <w:t>other points it would likely be further away. I have no confidence that on the whole the end result would be an improvement. Only rarely, then, do I assume a Hebrew/Aramaic text different from MT</w:t>
      </w:r>
      <w:r w:rsidR="00D843F2" w:rsidRPr="00B740B4">
        <w:t>.</w:t>
      </w:r>
      <w:r w:rsidR="00D843F2" w:rsidRPr="00B740B4">
        <w:rPr>
          <w:rStyle w:val="FootnoteReference"/>
        </w:rPr>
        <w:footnoteReference w:id="235"/>
      </w:r>
      <w:r w:rsidR="00D843F2" w:rsidRPr="00B740B4">
        <w:t xml:space="preserve"> </w:t>
      </w:r>
    </w:p>
    <w:p w:rsidR="00514A19" w:rsidRPr="00B740B4" w:rsidRDefault="00A323E5" w:rsidP="009479B1">
      <w:pPr>
        <w:pStyle w:val="Heading2"/>
      </w:pPr>
      <w:r w:rsidRPr="00B740B4">
        <w:t>Further</w:t>
      </w:r>
      <w:r w:rsidR="00666D38" w:rsidRPr="00B740B4">
        <w:t xml:space="preserve"> Questions that Emerge</w:t>
      </w:r>
    </w:p>
    <w:p w:rsidR="0097086C" w:rsidRPr="00B740B4" w:rsidRDefault="0097086C" w:rsidP="0097086C">
      <w:r w:rsidRPr="00B740B4">
        <w:t xml:space="preserve">The history of the interpretation of Daniel </w:t>
      </w:r>
      <w:r w:rsidR="007621C0" w:rsidRPr="00B740B4">
        <w:t xml:space="preserve">thus </w:t>
      </w:r>
      <w:r w:rsidRPr="00B740B4">
        <w:t xml:space="preserve">raises issues </w:t>
      </w:r>
      <w:r w:rsidR="00A12626" w:rsidRPr="00B740B4">
        <w:t xml:space="preserve">that </w:t>
      </w:r>
      <w:r w:rsidRPr="00B740B4">
        <w:t xml:space="preserve">we will </w:t>
      </w:r>
      <w:r w:rsidR="00A12626" w:rsidRPr="00B740B4">
        <w:t>underlie our</w:t>
      </w:r>
      <w:r w:rsidR="00BE1FA3">
        <w:t xml:space="preserve"> </w:t>
      </w:r>
      <w:r w:rsidRPr="00B740B4">
        <w:t>chapter by chapter</w:t>
      </w:r>
      <w:r w:rsidR="00BE1FA3">
        <w:t xml:space="preserve"> study</w:t>
      </w:r>
      <w:r w:rsidRPr="00B740B4">
        <w:t xml:space="preserve">; we will return to some of them in the </w:t>
      </w:r>
      <w:r w:rsidRPr="00B740B4">
        <w:rPr>
          <w:i/>
        </w:rPr>
        <w:t>Conclusion</w:t>
      </w:r>
      <w:r w:rsidR="00A323E5" w:rsidRPr="00B740B4">
        <w:t xml:space="preserve">. </w:t>
      </w:r>
    </w:p>
    <w:p w:rsidR="001B2642" w:rsidRPr="00B740B4" w:rsidRDefault="00A323E5" w:rsidP="001B2642">
      <w:r w:rsidRPr="00B740B4">
        <w:t>T</w:t>
      </w:r>
      <w:r w:rsidR="001B2642" w:rsidRPr="00B740B4">
        <w:t>he history of</w:t>
      </w:r>
      <w:r w:rsidRPr="00B740B4">
        <w:t xml:space="preserve"> the interpretation of Daniel suggests</w:t>
      </w:r>
      <w:r w:rsidR="001B2642" w:rsidRPr="00B740B4">
        <w:t xml:space="preserve"> that it is hazardous to claim that the book directly refers to events of one’s own day, or to the key events on which one’s own faith</w:t>
      </w:r>
      <w:r w:rsidRPr="00B740B4">
        <w:t xml:space="preserve"> is based. I</w:t>
      </w:r>
      <w:r w:rsidR="001B2642" w:rsidRPr="00B740B4">
        <w:t>nterpreters who refer</w:t>
      </w:r>
      <w:r w:rsidR="00B77DB1">
        <w:t xml:space="preserve"> Daniel’s visions directly to Jesus</w:t>
      </w:r>
      <w:r w:rsidRPr="00B740B4">
        <w:t xml:space="preserve"> or to twentieth or twenty-first century events may be</w:t>
      </w:r>
      <w:r w:rsidR="001B2642" w:rsidRPr="00B740B4">
        <w:t xml:space="preserve"> right, </w:t>
      </w:r>
      <w:r w:rsidR="00BE1FA3">
        <w:t xml:space="preserve">but </w:t>
      </w:r>
      <w:r w:rsidR="001B2642" w:rsidRPr="00B740B4">
        <w:t>earlier centuries of interpreters of v</w:t>
      </w:r>
      <w:r w:rsidR="00BE1FA3">
        <w:t xml:space="preserve">arious faiths have </w:t>
      </w:r>
      <w:r w:rsidR="001B2642" w:rsidRPr="00B740B4">
        <w:t>relate</w:t>
      </w:r>
      <w:r w:rsidR="00BE1FA3">
        <w:t>d</w:t>
      </w:r>
      <w:r w:rsidR="001B2642" w:rsidRPr="00B740B4">
        <w:t xml:space="preserve"> these visions to events of their </w:t>
      </w:r>
      <w:r w:rsidRPr="00B740B4">
        <w:t>own faith and their own day by the same interpret</w:t>
      </w:r>
      <w:r w:rsidR="001B2642" w:rsidRPr="00B740B4">
        <w:t xml:space="preserve">ive techniques that such </w:t>
      </w:r>
      <w:r w:rsidRPr="00B740B4">
        <w:t xml:space="preserve">twentieth century </w:t>
      </w:r>
      <w:r w:rsidR="00BE1FA3">
        <w:t xml:space="preserve">or </w:t>
      </w:r>
      <w:r w:rsidR="00BE1FA3" w:rsidRPr="00BE1FA3">
        <w:t xml:space="preserve">twenty-first century </w:t>
      </w:r>
      <w:r w:rsidR="001B2642" w:rsidRPr="00B740B4">
        <w:t xml:space="preserve">Christian interpreters use, and it seems wise to allow for the possibility that the interpretations of the latter will also be falsified in due course. My presupposition </w:t>
      </w:r>
      <w:r w:rsidRPr="00B740B4">
        <w:t xml:space="preserve">for the commentary is </w:t>
      </w:r>
      <w:r w:rsidR="001B2642" w:rsidRPr="00B740B4">
        <w:t xml:space="preserve">that the </w:t>
      </w:r>
      <w:r w:rsidR="00BE1FA3">
        <w:t>divi</w:t>
      </w:r>
      <w:r w:rsidRPr="00B740B4">
        <w:t xml:space="preserve">nely-inspired </w:t>
      </w:r>
      <w:r w:rsidR="001B2642" w:rsidRPr="00B740B4">
        <w:t>forward projections in Daniel were designed to bring a message that was meanin</w:t>
      </w:r>
      <w:r w:rsidRPr="00B740B4">
        <w:t>gful to people in the Second Temple</w:t>
      </w:r>
      <w:r w:rsidR="001B2642" w:rsidRPr="00B740B4">
        <w:t xml:space="preserve"> period, and I shall seek to interpret the seer’s visions </w:t>
      </w:r>
      <w:r w:rsidR="00330C0F">
        <w:t>in light</w:t>
      </w:r>
      <w:r w:rsidR="001B2642" w:rsidRPr="00B740B4">
        <w:t xml:space="preserve"> of material in the book itself and </w:t>
      </w:r>
      <w:r w:rsidR="00330C0F">
        <w:t>in light</w:t>
      </w:r>
      <w:r w:rsidR="001B2642" w:rsidRPr="00B740B4">
        <w:t xml:space="preserve"> of the history of the period as we know it.</w:t>
      </w:r>
    </w:p>
    <w:p w:rsidR="001B2642" w:rsidRPr="00B740B4" w:rsidRDefault="00BE1FA3" w:rsidP="001B2642">
      <w:r>
        <w:t>The implication is not</w:t>
      </w:r>
      <w:r w:rsidR="001B2642" w:rsidRPr="00B740B4">
        <w:t xml:space="preserve"> that interpreters who have related these visions to their own day were simply wrong</w:t>
      </w:r>
      <w:r w:rsidR="007E7C76" w:rsidRPr="00B740B4">
        <w:t>.</w:t>
      </w:r>
      <w:r w:rsidR="007E7C76" w:rsidRPr="00B740B4">
        <w:rPr>
          <w:rStyle w:val="FootnoteReference"/>
        </w:rPr>
        <w:footnoteReference w:id="236"/>
      </w:r>
      <w:r w:rsidR="001B2642" w:rsidRPr="00B740B4">
        <w:t xml:space="preserve"> Their sense that the</w:t>
      </w:r>
      <w:r w:rsidR="00A323E5" w:rsidRPr="00B740B4">
        <w:t>se visions were significant for a time</w:t>
      </w:r>
      <w:r w:rsidR="001B2642" w:rsidRPr="00B740B4">
        <w:t xml:space="preserve"> long after Daniel’s was quite valid. How they speak to days long after their own, and what theological insight they offer, I shall seek to consider in the </w:t>
      </w:r>
      <w:r w:rsidR="001B2642" w:rsidRPr="00B740B4">
        <w:rPr>
          <w:i/>
        </w:rPr>
        <w:t>Explanation</w:t>
      </w:r>
      <w:r w:rsidR="001B2642" w:rsidRPr="00B740B4">
        <w:t xml:space="preserve"> sections of the commentary.</w:t>
      </w:r>
    </w:p>
    <w:p w:rsidR="001B2642" w:rsidRPr="00B740B4" w:rsidRDefault="007621C0" w:rsidP="001B2642">
      <w:r w:rsidRPr="00B740B4">
        <w:t>Further, w</w:t>
      </w:r>
      <w:r w:rsidR="001B2642" w:rsidRPr="00B740B4">
        <w:t>hat a</w:t>
      </w:r>
      <w:r w:rsidRPr="00B740B4">
        <w:t>ssumptions should we bring to our study</w:t>
      </w:r>
      <w:r w:rsidR="001B2642" w:rsidRPr="00B740B4">
        <w:t xml:space="preserve"> regarding the nature of the stories and the origin of the visions? Critical scholarship has sometimes overtly, sometimes covertly approached the visions with the </w:t>
      </w:r>
      <w:r w:rsidR="001B2642" w:rsidRPr="00B740B4">
        <w:rPr>
          <w:i/>
        </w:rPr>
        <w:t>a priori</w:t>
      </w:r>
      <w:r w:rsidR="001B2642" w:rsidRPr="00B740B4">
        <w:t xml:space="preserve"> conviction that they cannot be actual prophecies of events to take place long after the seer’s day, because prophecy of that kind is impossible.</w:t>
      </w:r>
      <w:r w:rsidR="00E23C57">
        <w:rPr>
          <w:rStyle w:val="FootnoteReference"/>
        </w:rPr>
        <w:footnoteReference w:id="237"/>
      </w:r>
      <w:r w:rsidR="001B2642" w:rsidRPr="00B740B4">
        <w:t xml:space="preserve"> Conversely, conservative scholarship has sometimes overtly, sometimes covertly approached these visions with the </w:t>
      </w:r>
      <w:r w:rsidR="001B2642" w:rsidRPr="00B740B4">
        <w:rPr>
          <w:i/>
        </w:rPr>
        <w:t>a priori</w:t>
      </w:r>
      <w:r w:rsidR="001B2642" w:rsidRPr="00B740B4">
        <w:t xml:space="preserve"> conviction that they must be actual pr</w:t>
      </w:r>
      <w:r w:rsidR="00CD7A25">
        <w:t>ophecies because quasi-prediction</w:t>
      </w:r>
      <w:r w:rsidR="001B2642" w:rsidRPr="00B740B4">
        <w:t>s issued pseudonymously coul</w:t>
      </w:r>
      <w:r w:rsidRPr="00B740B4">
        <w:t>d not have been inspired by God. Both</w:t>
      </w:r>
      <w:r w:rsidR="001B2642" w:rsidRPr="00B740B4">
        <w:t xml:space="preserve"> these </w:t>
      </w:r>
      <w:r w:rsidRPr="00B740B4">
        <w:t xml:space="preserve">sets of </w:t>
      </w:r>
      <w:r w:rsidR="001B2642" w:rsidRPr="00B740B4">
        <w:t>convictio</w:t>
      </w:r>
      <w:r w:rsidRPr="00B740B4">
        <w:t>ns seem to me mistaken. I assum</w:t>
      </w:r>
      <w:r w:rsidR="001B2642" w:rsidRPr="00B740B4">
        <w:t>e that the God of</w:t>
      </w:r>
      <w:r w:rsidR="00BE1FA3">
        <w:t xml:space="preserve"> Israel </w:t>
      </w:r>
      <w:r w:rsidR="001B2642" w:rsidRPr="00B740B4">
        <w:t xml:space="preserve">is capable of knowing future events and thus of revealing them, </w:t>
      </w:r>
      <w:r w:rsidR="00722F02" w:rsidRPr="00B740B4">
        <w:t xml:space="preserve">capable of inspiring both </w:t>
      </w:r>
      <w:r w:rsidR="001B2642" w:rsidRPr="00B740B4">
        <w:t>ac</w:t>
      </w:r>
      <w:r w:rsidR="00CD7A25">
        <w:t>tual prophecy and quasi-prediction</w:t>
      </w:r>
      <w:r w:rsidR="001B2642" w:rsidRPr="00B740B4">
        <w:t xml:space="preserve">, </w:t>
      </w:r>
      <w:r w:rsidR="00722F02" w:rsidRPr="00B740B4">
        <w:t xml:space="preserve">and capable of inspiring his servants to speak in their own name, or </w:t>
      </w:r>
      <w:r w:rsidR="001B2642" w:rsidRPr="00B740B4">
        <w:t xml:space="preserve">anonymously, or—in certain circumstances—pseudonymously. </w:t>
      </w:r>
      <w:r w:rsidR="007E7C76" w:rsidRPr="00B740B4">
        <w:t>It was excusable for Pusey</w:t>
      </w:r>
      <w:r w:rsidR="007E7C76" w:rsidRPr="00B740B4">
        <w:rPr>
          <w:rStyle w:val="FootnoteReference"/>
        </w:rPr>
        <w:footnoteReference w:id="238"/>
      </w:r>
      <w:r w:rsidR="001B2642" w:rsidRPr="00B740B4">
        <w:t xml:space="preserve"> to think that pseudonymity makes the author a liar and must be incompatible with being divinely inspired. It is less excusable now we know that in the ancient world, and in the Hellenistic age in particular, pseudonymity was a common practice used for a variety of reasons—some unethical, some unobjectionable—for poetry, letters, te</w:t>
      </w:r>
      <w:r w:rsidR="00753C08">
        <w:t>staments, philosophy, and prophecie</w:t>
      </w:r>
      <w:r w:rsidR="00BE1FA3">
        <w:t>s, so that it was</w:t>
      </w:r>
      <w:r w:rsidR="001B2642" w:rsidRPr="00B740B4">
        <w:t xml:space="preserve"> by no means confined to apocalypses</w:t>
      </w:r>
      <w:r w:rsidR="007E7C76" w:rsidRPr="00B740B4">
        <w:t>.</w:t>
      </w:r>
      <w:r w:rsidR="007E7C76" w:rsidRPr="00B740B4">
        <w:rPr>
          <w:rStyle w:val="FootnoteReference"/>
        </w:rPr>
        <w:footnoteReference w:id="239"/>
      </w:r>
      <w:r w:rsidR="001B2642" w:rsidRPr="00B740B4">
        <w:t xml:space="preserve"> That pseudonymity is a rarer literary device in our culture, especially in religious contexts, should not allow us to infer that God could not use it in</w:t>
      </w:r>
      <w:r w:rsidR="00BE1FA3">
        <w:t xml:space="preserve"> another culture. Whether he actually chose</w:t>
      </w:r>
      <w:r w:rsidR="001B2642" w:rsidRPr="00B740B4">
        <w:t xml:space="preserve"> to do so is to be determined not </w:t>
      </w:r>
      <w:r w:rsidR="001B2642" w:rsidRPr="00B740B4">
        <w:rPr>
          <w:i/>
        </w:rPr>
        <w:t>a priori</w:t>
      </w:r>
      <w:r w:rsidR="00722F02" w:rsidRPr="00B740B4">
        <w:t xml:space="preserve"> but from study of the text</w:t>
      </w:r>
      <w:r w:rsidR="001B2642" w:rsidRPr="00B740B4">
        <w:t xml:space="preserve">. I shall consider these questions in the </w:t>
      </w:r>
      <w:r w:rsidR="001B2642" w:rsidRPr="00B740B4">
        <w:rPr>
          <w:i/>
        </w:rPr>
        <w:t>Form</w:t>
      </w:r>
      <w:r w:rsidR="001B2642" w:rsidRPr="00B740B4">
        <w:t xml:space="preserve"> sections of the commentary.</w:t>
      </w:r>
    </w:p>
    <w:p w:rsidR="00722F02" w:rsidRPr="00B740B4" w:rsidRDefault="007621C0" w:rsidP="007E7C76">
      <w:r w:rsidRPr="00B740B4">
        <w:lastRenderedPageBreak/>
        <w:t>Critical scholarship has also been inclined to presuppose that rescuing people from lions and fiery furnaces doesn’t happen</w:t>
      </w:r>
      <w:r w:rsidR="00722F02" w:rsidRPr="00B740B4">
        <w:t>, while c</w:t>
      </w:r>
      <w:r w:rsidRPr="00B740B4">
        <w:t>o</w:t>
      </w:r>
      <w:r w:rsidR="00722F02" w:rsidRPr="00B740B4">
        <w:t xml:space="preserve">nservative scholarship has </w:t>
      </w:r>
      <w:r w:rsidRPr="00B740B4">
        <w:t xml:space="preserve">approached the stories with the </w:t>
      </w:r>
      <w:r w:rsidRPr="00B740B4">
        <w:rPr>
          <w:i/>
        </w:rPr>
        <w:t>a priori</w:t>
      </w:r>
      <w:r w:rsidRPr="00B740B4">
        <w:t xml:space="preserve"> conviction that they must be pure history, because fiction or a mixture of fact and fiction could not have been inspired by God.</w:t>
      </w:r>
      <w:r w:rsidR="00722F02" w:rsidRPr="00B740B4">
        <w:t xml:space="preserve"> Again, both types of conviction seem to me to be mistaken. God has the capacity to engage in such acts of rescue, and God is capable of inspiring people to write both history and fiction. </w:t>
      </w:r>
    </w:p>
    <w:p w:rsidR="007E7C76" w:rsidRPr="00B740B4" w:rsidRDefault="00722F02" w:rsidP="007E7C76">
      <w:r w:rsidRPr="00B740B4">
        <w:t>Actually, w</w:t>
      </w:r>
      <w:r w:rsidR="001B2642" w:rsidRPr="00B740B4">
        <w:t xml:space="preserve">hether the stories are history or fiction, </w:t>
      </w:r>
      <w:r w:rsidR="00DC0A74" w:rsidRPr="00B740B4">
        <w:t xml:space="preserve">whether </w:t>
      </w:r>
      <w:r w:rsidR="001B2642" w:rsidRPr="00B740B4">
        <w:t xml:space="preserve">the visions </w:t>
      </w:r>
      <w:r w:rsidR="00DC0A74" w:rsidRPr="00B740B4">
        <w:t xml:space="preserve">are </w:t>
      </w:r>
      <w:r w:rsidR="001B2642" w:rsidRPr="00B740B4">
        <w:t>a</w:t>
      </w:r>
      <w:r w:rsidR="00CD7A25">
        <w:t>ctual prophecy or quasi-prediction</w:t>
      </w:r>
      <w:r w:rsidR="001B2642" w:rsidRPr="00B740B4">
        <w:t xml:space="preserve">, </w:t>
      </w:r>
      <w:r w:rsidR="00DC0A74" w:rsidRPr="00B740B4">
        <w:t xml:space="preserve">whether they were </w:t>
      </w:r>
      <w:r w:rsidR="001B2642" w:rsidRPr="00B740B4">
        <w:t xml:space="preserve">written by Daniel or by someone else, </w:t>
      </w:r>
      <w:r w:rsidR="00DC0A74" w:rsidRPr="00B740B4">
        <w:t>and whether in the sixth century BC</w:t>
      </w:r>
      <w:r w:rsidR="001B2642" w:rsidRPr="00B740B4">
        <w:t>, the second, or somewhere in between, makes surprisingly little difference to the book’s exegesis. One understands the book on the basis of what it says; there are points where its meaning is unclear, but not because of uncertainty over the alternatives just listed. Whether or not we can divide the actual seer and h</w:t>
      </w:r>
      <w:r w:rsidR="00BE1FA3">
        <w:t xml:space="preserve">is visionary namesake, I assume that the wise </w:t>
      </w:r>
      <w:r w:rsidR="001B2642" w:rsidRPr="00B740B4">
        <w:t>approach is to take him on his own terms and immerse ourselves in the visionary experience as he describes it.</w:t>
      </w:r>
      <w:r w:rsidR="00DA1529" w:rsidRPr="00B740B4">
        <w:rPr>
          <w:rStyle w:val="FootnoteReference"/>
        </w:rPr>
        <w:footnoteReference w:id="240"/>
      </w:r>
      <w:r w:rsidR="007E7C76" w:rsidRPr="00B740B4">
        <w:br w:type="page"/>
      </w:r>
    </w:p>
    <w:p w:rsidR="00B27480" w:rsidRPr="00B740B4" w:rsidRDefault="00B27480" w:rsidP="00096F8C">
      <w:pPr>
        <w:pStyle w:val="Heading1"/>
      </w:pPr>
      <w:r w:rsidRPr="00B740B4">
        <w:lastRenderedPageBreak/>
        <w:t xml:space="preserve">Four Young Exiles Gain </w:t>
      </w:r>
      <w:r w:rsidR="00E91B69">
        <w:t>Insight</w:t>
      </w:r>
      <w:r w:rsidRPr="00B740B4">
        <w:t xml:space="preserve"> and Prestige without Losing Holiness (1:1–21)</w:t>
      </w:r>
    </w:p>
    <w:p w:rsidR="00B27480" w:rsidRPr="00B740B4" w:rsidRDefault="00B27480" w:rsidP="009479B1">
      <w:pPr>
        <w:pStyle w:val="Heading2"/>
      </w:pPr>
      <w:r w:rsidRPr="00B740B4">
        <w:t>Pericope Bibliography</w:t>
      </w:r>
    </w:p>
    <w:p w:rsidR="0073023F" w:rsidRPr="00B740B4" w:rsidRDefault="00B27480" w:rsidP="0073023F">
      <w:pPr>
        <w:ind w:firstLine="0"/>
      </w:pPr>
      <w:r w:rsidRPr="00B740B4">
        <w:rPr>
          <w:b/>
        </w:rPr>
        <w:t>Ackroyd, P. R.</w:t>
      </w:r>
      <w:r w:rsidRPr="00B740B4">
        <w:t xml:space="preserve"> </w:t>
      </w:r>
      <w:r w:rsidR="00934A11" w:rsidRPr="00B740B4">
        <w:t>“</w:t>
      </w:r>
      <w:r w:rsidRPr="00B740B4">
        <w:t>The Temple Ves</w:t>
      </w:r>
      <w:r w:rsidR="004017B2" w:rsidRPr="00B740B4">
        <w:t>sels—a Continuity Theme.</w:t>
      </w:r>
      <w:r w:rsidR="00934A11" w:rsidRPr="00B740B4">
        <w:t>”</w:t>
      </w:r>
      <w:r w:rsidR="004017B2" w:rsidRPr="00B740B4">
        <w:t xml:space="preserve"> </w:t>
      </w:r>
      <w:r w:rsidRPr="00B740B4">
        <w:rPr>
          <w:b/>
        </w:rPr>
        <w:t>Alfrink, B.</w:t>
      </w:r>
      <w:r w:rsidRPr="00B740B4">
        <w:t xml:space="preserve"> </w:t>
      </w:r>
      <w:r w:rsidR="00934A11" w:rsidRPr="00B740B4">
        <w:t>“</w:t>
      </w:r>
      <w:r w:rsidRPr="00B740B4">
        <w:t>Die Gaddsche Ch</w:t>
      </w:r>
      <w:r w:rsidR="004017B2" w:rsidRPr="00B740B4">
        <w:t>ronik und die Heilige Schrift.</w:t>
      </w:r>
      <w:r w:rsidR="00934A11" w:rsidRPr="00B740B4">
        <w:t>”</w:t>
      </w:r>
      <w:r w:rsidR="004017B2" w:rsidRPr="00B740B4">
        <w:t xml:space="preserve"> </w:t>
      </w:r>
      <w:r w:rsidR="001D7800" w:rsidRPr="00B740B4">
        <w:rPr>
          <w:b/>
        </w:rPr>
        <w:t>Arnold, B. T.</w:t>
      </w:r>
      <w:r w:rsidR="001D7800" w:rsidRPr="00B740B4">
        <w:t xml:space="preserve"> </w:t>
      </w:r>
      <w:r w:rsidR="00934A11" w:rsidRPr="00B740B4">
        <w:t>“</w:t>
      </w:r>
      <w:r w:rsidR="001D7800" w:rsidRPr="00B740B4">
        <w:t>Word Play and Characterization in Daniel 1.</w:t>
      </w:r>
      <w:r w:rsidR="00934A11" w:rsidRPr="00B740B4">
        <w:t>”</w:t>
      </w:r>
      <w:r w:rsidR="001D7800" w:rsidRPr="00B740B4">
        <w:t xml:space="preserve"> </w:t>
      </w:r>
      <w:r w:rsidRPr="00B740B4">
        <w:rPr>
          <w:b/>
        </w:rPr>
        <w:t>Berger, P.-R.</w:t>
      </w:r>
      <w:r w:rsidRPr="00B740B4">
        <w:t xml:space="preserve"> </w:t>
      </w:r>
      <w:r w:rsidR="00934A11" w:rsidRPr="00B740B4">
        <w:t>“</w:t>
      </w:r>
      <w:r w:rsidRPr="00B740B4">
        <w:t>Der Kyros-Zylinder mit dem Zusatzfragment BIN II Nr. 32 und die akkadischen Personennamen im Danielbuch.</w:t>
      </w:r>
      <w:r w:rsidR="00934A11" w:rsidRPr="00B740B4">
        <w:t>”</w:t>
      </w:r>
      <w:r w:rsidRPr="00B740B4">
        <w:t xml:space="preserve">  </w:t>
      </w:r>
    </w:p>
    <w:p w:rsidR="00B27480" w:rsidRPr="00B740B4" w:rsidRDefault="0073023F" w:rsidP="0044596B">
      <w:pPr>
        <w:ind w:firstLine="0"/>
      </w:pPr>
      <w:r w:rsidRPr="00B740B4">
        <w:rPr>
          <w:rFonts w:eastAsiaTheme="minorHAnsi"/>
          <w:b/>
          <w:bCs/>
        </w:rPr>
        <w:t xml:space="preserve">Berquist, J. </w:t>
      </w:r>
      <w:r w:rsidR="00934A11" w:rsidRPr="00B740B4">
        <w:rPr>
          <w:rFonts w:eastAsiaTheme="minorHAnsi"/>
          <w:bCs/>
        </w:rPr>
        <w:t>“</w:t>
      </w:r>
      <w:r w:rsidRPr="00B740B4">
        <w:rPr>
          <w:rFonts w:eastAsiaTheme="minorHAnsi"/>
          <w:bCs/>
        </w:rPr>
        <w:t>Resistance and Accommodatio</w:t>
      </w:r>
      <w:r w:rsidR="0070123B">
        <w:rPr>
          <w:rFonts w:eastAsiaTheme="minorHAnsi"/>
          <w:bCs/>
        </w:rPr>
        <w:t>n in the Persian Empire,</w:t>
      </w:r>
      <w:r w:rsidR="00934A11" w:rsidRPr="00B740B4">
        <w:rPr>
          <w:rFonts w:eastAsiaTheme="minorHAnsi"/>
          <w:bCs/>
        </w:rPr>
        <w:t>”</w:t>
      </w:r>
      <w:r w:rsidR="0070123B">
        <w:rPr>
          <w:rFonts w:eastAsiaTheme="minorHAnsi"/>
          <w:bCs/>
        </w:rPr>
        <w:t xml:space="preserve"> i</w:t>
      </w:r>
      <w:r w:rsidRPr="00B740B4">
        <w:rPr>
          <w:rFonts w:eastAsiaTheme="minorHAnsi"/>
          <w:bCs/>
        </w:rPr>
        <w:t xml:space="preserve">n Horsley (ed.), </w:t>
      </w:r>
      <w:r w:rsidR="005F0878" w:rsidRPr="00B740B4">
        <w:rPr>
          <w:rFonts w:eastAsiaTheme="minorHAnsi"/>
          <w:bCs/>
          <w:i/>
        </w:rPr>
        <w:t>In the Shadow</w:t>
      </w:r>
      <w:r w:rsidRPr="00B740B4">
        <w:rPr>
          <w:rFonts w:eastAsiaTheme="minorHAnsi"/>
          <w:bCs/>
          <w:i/>
        </w:rPr>
        <w:t xml:space="preserve"> of Empire</w:t>
      </w:r>
      <w:r w:rsidRPr="00B740B4">
        <w:rPr>
          <w:rFonts w:eastAsiaTheme="minorHAnsi"/>
          <w:bCs/>
        </w:rPr>
        <w:t>,</w:t>
      </w:r>
      <w:r w:rsidR="00934A11" w:rsidRPr="00B740B4">
        <w:rPr>
          <w:rFonts w:eastAsiaTheme="minorHAnsi"/>
          <w:bCs/>
        </w:rPr>
        <w:t>”</w:t>
      </w:r>
      <w:r w:rsidRPr="00B740B4">
        <w:rPr>
          <w:rFonts w:eastAsiaTheme="minorHAnsi"/>
          <w:bCs/>
        </w:rPr>
        <w:t xml:space="preserve"> 41-58</w:t>
      </w:r>
      <w:r w:rsidRPr="00B740B4">
        <w:t xml:space="preserve">. </w:t>
      </w:r>
      <w:r w:rsidR="00B27480" w:rsidRPr="00B740B4">
        <w:rPr>
          <w:b/>
        </w:rPr>
        <w:t>Bruce, F. F.</w:t>
      </w:r>
      <w:r w:rsidR="00B27480" w:rsidRPr="00B740B4">
        <w:t xml:space="preserve"> </w:t>
      </w:r>
      <w:r w:rsidR="00934A11" w:rsidRPr="00B740B4">
        <w:t>“</w:t>
      </w:r>
      <w:r w:rsidR="00B27480" w:rsidRPr="00B740B4">
        <w:t>The Chronol</w:t>
      </w:r>
      <w:r w:rsidR="004017B2" w:rsidRPr="00B740B4">
        <w:t>ogy of Daniel 1:1.</w:t>
      </w:r>
      <w:r w:rsidR="00934A11" w:rsidRPr="00B740B4">
        <w:t>”</w:t>
      </w:r>
      <w:r w:rsidR="00B27480" w:rsidRPr="00B740B4">
        <w:t xml:space="preserve"> </w:t>
      </w:r>
      <w:r w:rsidR="00C837C5" w:rsidRPr="00B740B4">
        <w:rPr>
          <w:b/>
        </w:rPr>
        <w:t>De Bruyn, J. “</w:t>
      </w:r>
      <w:r w:rsidR="0070123B">
        <w:rPr>
          <w:rFonts w:eastAsiaTheme="minorHAnsi" w:cs="Calibri-Bold"/>
          <w:bCs/>
        </w:rPr>
        <w:t>A Clash of Gods</w:t>
      </w:r>
      <w:r w:rsidR="00C837C5" w:rsidRPr="00B740B4">
        <w:rPr>
          <w:rFonts w:eastAsiaTheme="minorHAnsi" w:cs="Calibri-Bold"/>
          <w:bCs/>
        </w:rPr>
        <w:t>.</w:t>
      </w:r>
      <w:r w:rsidR="0070123B">
        <w:rPr>
          <w:rFonts w:eastAsiaTheme="minorHAnsi" w:cs="Calibri-Bold"/>
          <w:bCs/>
        </w:rPr>
        <w:t xml:space="preserve"> </w:t>
      </w:r>
      <w:r w:rsidR="00C837C5" w:rsidRPr="00B740B4">
        <w:rPr>
          <w:rFonts w:eastAsiaTheme="minorHAnsi" w:cs="Calibri-Bold"/>
          <w:bCs/>
        </w:rPr>
        <w:t xml:space="preserve">” </w:t>
      </w:r>
      <w:r w:rsidR="00A468C0" w:rsidRPr="00B740B4">
        <w:rPr>
          <w:b/>
        </w:rPr>
        <w:t>Chia, P. P.</w:t>
      </w:r>
      <w:r w:rsidR="00A468C0" w:rsidRPr="00B740B4">
        <w:t xml:space="preserve"> </w:t>
      </w:r>
      <w:r w:rsidR="00934A11" w:rsidRPr="00B740B4">
        <w:t>“</w:t>
      </w:r>
      <w:r w:rsidR="00A468C0" w:rsidRPr="00B740B4">
        <w:t>On Naming the Subject.</w:t>
      </w:r>
      <w:r w:rsidR="00934A11" w:rsidRPr="00B740B4">
        <w:t>”</w:t>
      </w:r>
      <w:r w:rsidR="00A468C0" w:rsidRPr="00B740B4">
        <w:rPr>
          <w:b/>
        </w:rPr>
        <w:t xml:space="preserve"> </w:t>
      </w:r>
      <w:r w:rsidR="00B27480" w:rsidRPr="00B740B4">
        <w:rPr>
          <w:b/>
        </w:rPr>
        <w:t>Day, J.</w:t>
      </w:r>
      <w:r w:rsidR="00B27480" w:rsidRPr="00B740B4">
        <w:t xml:space="preserve"> </w:t>
      </w:r>
      <w:r w:rsidR="00934A11" w:rsidRPr="00B740B4">
        <w:t>“</w:t>
      </w:r>
      <w:r w:rsidR="00B27480" w:rsidRPr="00B740B4">
        <w:t>The Daniel of Ugarit and Ezekiel and t</w:t>
      </w:r>
      <w:r w:rsidR="004017B2" w:rsidRPr="00B740B4">
        <w:t>he Hero of the Book of Daniel.</w:t>
      </w:r>
      <w:r w:rsidR="00934A11" w:rsidRPr="00B740B4">
        <w:t>”</w:t>
      </w:r>
      <w:r w:rsidR="00B27480" w:rsidRPr="00B740B4">
        <w:t xml:space="preserve"> </w:t>
      </w:r>
      <w:r w:rsidR="00B27480" w:rsidRPr="00B740B4">
        <w:rPr>
          <w:b/>
        </w:rPr>
        <w:t>Dressier, H. H. P.</w:t>
      </w:r>
      <w:r w:rsidR="00B27480" w:rsidRPr="00B740B4">
        <w:t xml:space="preserve"> </w:t>
      </w:r>
      <w:r w:rsidR="00934A11" w:rsidRPr="00B740B4">
        <w:t>“</w:t>
      </w:r>
      <w:r w:rsidR="00B27480" w:rsidRPr="00B740B4">
        <w:t>The Identification of the Ugaritic Dnil with the Daniel of Ezekiel.</w:t>
      </w:r>
      <w:r w:rsidR="00934A11" w:rsidRPr="00B740B4">
        <w:t>”</w:t>
      </w:r>
      <w:r w:rsidR="00B27480" w:rsidRPr="00B740B4">
        <w:t xml:space="preserve"> </w:t>
      </w:r>
      <w:r w:rsidR="00B27480" w:rsidRPr="00B740B4">
        <w:rPr>
          <w:b/>
        </w:rPr>
        <w:t>Goldingay, J.</w:t>
      </w:r>
      <w:r w:rsidR="00B27480" w:rsidRPr="00B740B4">
        <w:t xml:space="preserve"> </w:t>
      </w:r>
      <w:r w:rsidR="00934A11" w:rsidRPr="00B740B4">
        <w:t>“</w:t>
      </w:r>
      <w:r w:rsidR="00B27480" w:rsidRPr="00B740B4">
        <w:t>Nebuchadnezzar = Antiochus Epiphanes?</w:t>
      </w:r>
      <w:r w:rsidR="00934A11" w:rsidRPr="00B740B4">
        <w:t>”</w:t>
      </w:r>
      <w:r w:rsidR="00B27480" w:rsidRPr="00B740B4">
        <w:t xml:space="preserve"> </w:t>
      </w:r>
      <w:r w:rsidR="000D45B6" w:rsidRPr="00B740B4">
        <w:rPr>
          <w:b/>
        </w:rPr>
        <w:t>Haag, E.</w:t>
      </w:r>
      <w:r w:rsidR="000D45B6" w:rsidRPr="00B740B4">
        <w:t xml:space="preserve"> </w:t>
      </w:r>
      <w:r w:rsidR="0072115E" w:rsidRPr="00B740B4">
        <w:t>“</w:t>
      </w:r>
      <w:r w:rsidR="000D45B6" w:rsidRPr="00B740B4">
        <w:t xml:space="preserve">Israels Exil im Lande Schinar.” </w:t>
      </w:r>
      <w:r w:rsidR="00B27480" w:rsidRPr="00B740B4">
        <w:rPr>
          <w:b/>
        </w:rPr>
        <w:t>Kohler, K.</w:t>
      </w:r>
      <w:r w:rsidR="00B27480" w:rsidRPr="00B740B4">
        <w:t xml:space="preserve"> </w:t>
      </w:r>
      <w:r w:rsidR="00934A11" w:rsidRPr="00B740B4">
        <w:t>“</w:t>
      </w:r>
      <w:r w:rsidR="00B27480" w:rsidRPr="00B740B4">
        <w:t>Die chaldäischen Namen Daniel’s und seiner drei Freunde.</w:t>
      </w:r>
      <w:r w:rsidR="00934A11" w:rsidRPr="00B740B4">
        <w:t>”</w:t>
      </w:r>
      <w:r w:rsidR="00B27480" w:rsidRPr="00B740B4">
        <w:t xml:space="preserve"> </w:t>
      </w:r>
      <w:r w:rsidR="00B27480" w:rsidRPr="00B740B4">
        <w:rPr>
          <w:b/>
        </w:rPr>
        <w:t>La</w:t>
      </w:r>
      <w:r w:rsidR="002361CD" w:rsidRPr="00B740B4">
        <w:rPr>
          <w:b/>
        </w:rPr>
        <w:t>r</w:t>
      </w:r>
      <w:r w:rsidR="00B27480" w:rsidRPr="00B740B4">
        <w:rPr>
          <w:b/>
        </w:rPr>
        <w:t>ssen, G.</w:t>
      </w:r>
      <w:r w:rsidR="00B27480" w:rsidRPr="00B740B4">
        <w:t xml:space="preserve"> </w:t>
      </w:r>
      <w:r w:rsidR="00934A11" w:rsidRPr="00B740B4">
        <w:t>“</w:t>
      </w:r>
      <w:r w:rsidR="00B27480" w:rsidRPr="00B740B4">
        <w:t>When Did the Babylonian Captivity Begin?</w:t>
      </w:r>
      <w:r w:rsidR="00934A11" w:rsidRPr="00B740B4">
        <w:t>”</w:t>
      </w:r>
      <w:r w:rsidR="00B27480" w:rsidRPr="00B740B4">
        <w:t xml:space="preserve"> </w:t>
      </w:r>
      <w:r w:rsidR="0044596B" w:rsidRPr="00B740B4">
        <w:rPr>
          <w:b/>
        </w:rPr>
        <w:t>Mercer, M. K.</w:t>
      </w:r>
      <w:r w:rsidR="0044596B" w:rsidRPr="00B740B4">
        <w:t xml:space="preserve"> </w:t>
      </w:r>
      <w:r w:rsidR="00934A11" w:rsidRPr="00B740B4">
        <w:t>“</w:t>
      </w:r>
      <w:r w:rsidR="0044596B" w:rsidRPr="00B740B4">
        <w:t>Daniel 1:1 and Jehoiakim's Three Years of Servitude.</w:t>
      </w:r>
      <w:r w:rsidR="00934A11" w:rsidRPr="00B740B4">
        <w:t>”</w:t>
      </w:r>
      <w:r w:rsidR="0044596B" w:rsidRPr="00B740B4">
        <w:t xml:space="preserve"> </w:t>
      </w:r>
      <w:r w:rsidR="00B27480" w:rsidRPr="00B740B4">
        <w:rPr>
          <w:b/>
        </w:rPr>
        <w:t>Mitchell, G. C.</w:t>
      </w:r>
      <w:r w:rsidR="00B27480" w:rsidRPr="00B740B4">
        <w:t xml:space="preserve"> </w:t>
      </w:r>
      <w:r w:rsidR="00934A11" w:rsidRPr="00B740B4">
        <w:t>“</w:t>
      </w:r>
      <w:r w:rsidR="00B27480" w:rsidRPr="00B740B4">
        <w:t>The Chaldaeans.</w:t>
      </w:r>
      <w:r w:rsidR="00934A11" w:rsidRPr="00B740B4">
        <w:t>”</w:t>
      </w:r>
      <w:r w:rsidR="00B27480" w:rsidRPr="00B740B4">
        <w:t xml:space="preserve"> </w:t>
      </w:r>
      <w:r w:rsidR="00FD065D" w:rsidRPr="00B740B4">
        <w:rPr>
          <w:b/>
          <w:bCs/>
        </w:rPr>
        <w:t xml:space="preserve">Nel, M. </w:t>
      </w:r>
      <w:r w:rsidR="00934A11" w:rsidRPr="00B740B4">
        <w:rPr>
          <w:bCs/>
        </w:rPr>
        <w:t>“</w:t>
      </w:r>
      <w:r w:rsidR="00FD065D" w:rsidRPr="00B740B4">
        <w:rPr>
          <w:bCs/>
        </w:rPr>
        <w:t>Function of Space in Daniel 1.</w:t>
      </w:r>
      <w:r w:rsidR="00934A11" w:rsidRPr="00B740B4">
        <w:rPr>
          <w:bCs/>
        </w:rPr>
        <w:t>”</w:t>
      </w:r>
      <w:r w:rsidR="00FD065D" w:rsidRPr="00B740B4">
        <w:rPr>
          <w:bCs/>
        </w:rPr>
        <w:t xml:space="preserve"> </w:t>
      </w:r>
      <w:r w:rsidR="0001418B" w:rsidRPr="00B740B4">
        <w:rPr>
          <w:b/>
          <w:bCs/>
        </w:rPr>
        <w:t xml:space="preserve">Nolan Fewell, D. </w:t>
      </w:r>
      <w:r w:rsidR="0001418B" w:rsidRPr="00B740B4">
        <w:rPr>
          <w:bCs/>
          <w:i/>
        </w:rPr>
        <w:t>The Children of Israel</w:t>
      </w:r>
      <w:r w:rsidR="0001418B" w:rsidRPr="00B740B4">
        <w:rPr>
          <w:bCs/>
        </w:rPr>
        <w:t xml:space="preserve">, 117-30. </w:t>
      </w:r>
      <w:r w:rsidR="00B27480" w:rsidRPr="00B740B4">
        <w:rPr>
          <w:b/>
        </w:rPr>
        <w:t>Noth, M.</w:t>
      </w:r>
      <w:r w:rsidR="00B27480" w:rsidRPr="00B740B4">
        <w:t xml:space="preserve"> </w:t>
      </w:r>
      <w:r w:rsidR="00934A11" w:rsidRPr="00B740B4">
        <w:t>“</w:t>
      </w:r>
      <w:r w:rsidR="00B27480" w:rsidRPr="00B740B4">
        <w:t>Noah, Daniel, und Hiob in Ezechiel xiv.</w:t>
      </w:r>
      <w:r w:rsidR="00934A11" w:rsidRPr="00B740B4">
        <w:t>”</w:t>
      </w:r>
      <w:r w:rsidR="00B27480" w:rsidRPr="00B740B4">
        <w:t xml:space="preserve"> </w:t>
      </w:r>
      <w:r w:rsidR="00B27480" w:rsidRPr="00B740B4">
        <w:rPr>
          <w:b/>
        </w:rPr>
        <w:t>Rowley, H. H.</w:t>
      </w:r>
      <w:r w:rsidR="00B27480" w:rsidRPr="00B740B4">
        <w:t xml:space="preserve"> </w:t>
      </w:r>
      <w:r w:rsidR="00934A11" w:rsidRPr="00B740B4">
        <w:t>“</w:t>
      </w:r>
      <w:r w:rsidR="00B27480" w:rsidRPr="00B740B4">
        <w:t>The Cha</w:t>
      </w:r>
      <w:r w:rsidR="00B24262" w:rsidRPr="00B740B4">
        <w:t>ldaeans in the Book of Daniel.</w:t>
      </w:r>
      <w:r w:rsidR="00934A11" w:rsidRPr="00B740B4">
        <w:t>”</w:t>
      </w:r>
      <w:r w:rsidR="00B27480" w:rsidRPr="00B740B4">
        <w:t xml:space="preserve"> ———. </w:t>
      </w:r>
      <w:r w:rsidR="00934A11" w:rsidRPr="00B740B4">
        <w:t>“</w:t>
      </w:r>
      <w:r w:rsidR="00B27480" w:rsidRPr="00B740B4">
        <w:t>The Chaldaeans.</w:t>
      </w:r>
      <w:r w:rsidR="00934A11" w:rsidRPr="00B740B4">
        <w:t>”</w:t>
      </w:r>
      <w:r w:rsidR="00B27480" w:rsidRPr="00B740B4">
        <w:t xml:space="preserve"> </w:t>
      </w:r>
      <w:r w:rsidR="00A25FA8" w:rsidRPr="00B740B4">
        <w:rPr>
          <w:b/>
          <w:bCs/>
        </w:rPr>
        <w:t xml:space="preserve">Sang Tin Uk. </w:t>
      </w:r>
      <w:r w:rsidR="00934A11" w:rsidRPr="00B740B4">
        <w:rPr>
          <w:bCs/>
        </w:rPr>
        <w:t>“</w:t>
      </w:r>
      <w:r w:rsidR="00A25FA8" w:rsidRPr="00B740B4">
        <w:rPr>
          <w:bCs/>
        </w:rPr>
        <w:t>Daniel: A Counter Paradigm.</w:t>
      </w:r>
      <w:r w:rsidR="00934A11" w:rsidRPr="00B740B4">
        <w:rPr>
          <w:bCs/>
        </w:rPr>
        <w:t>”</w:t>
      </w:r>
      <w:r w:rsidR="00A25FA8" w:rsidRPr="00B740B4">
        <w:rPr>
          <w:bCs/>
        </w:rPr>
        <w:t xml:space="preserve"> </w:t>
      </w:r>
      <w:r w:rsidR="00B27480" w:rsidRPr="00B740B4">
        <w:rPr>
          <w:b/>
        </w:rPr>
        <w:t>Selms, A. van.</w:t>
      </w:r>
      <w:r w:rsidR="00B24262" w:rsidRPr="00B740B4">
        <w:t xml:space="preserve"> </w:t>
      </w:r>
      <w:r w:rsidR="00934A11" w:rsidRPr="00B740B4">
        <w:t>“</w:t>
      </w:r>
      <w:r w:rsidR="00B24262" w:rsidRPr="00B740B4">
        <w:t>The Name Nebuchadnezzar.</w:t>
      </w:r>
      <w:r w:rsidR="00934A11" w:rsidRPr="00B740B4">
        <w:t>”</w:t>
      </w:r>
      <w:r w:rsidR="00B24262" w:rsidRPr="00B740B4">
        <w:t xml:space="preserve"> </w:t>
      </w:r>
      <w:r w:rsidR="00044045" w:rsidRPr="00B740B4">
        <w:rPr>
          <w:b/>
          <w:bCs/>
        </w:rPr>
        <w:t>Soesilo, D. H</w:t>
      </w:r>
      <w:r w:rsidR="00044045" w:rsidRPr="00B740B4">
        <w:rPr>
          <w:bCs/>
        </w:rPr>
        <w:t xml:space="preserve">. </w:t>
      </w:r>
      <w:r w:rsidR="00934A11" w:rsidRPr="00B740B4">
        <w:rPr>
          <w:bCs/>
        </w:rPr>
        <w:t>“</w:t>
      </w:r>
      <w:r w:rsidR="00044045" w:rsidRPr="00B740B4">
        <w:rPr>
          <w:bCs/>
        </w:rPr>
        <w:t>Why Did Daniel Reject the King’s Delicacies?</w:t>
      </w:r>
      <w:r w:rsidR="00934A11" w:rsidRPr="00B740B4">
        <w:rPr>
          <w:bCs/>
        </w:rPr>
        <w:t>”</w:t>
      </w:r>
      <w:r w:rsidR="00044045" w:rsidRPr="00B740B4">
        <w:rPr>
          <w:bCs/>
        </w:rPr>
        <w:t xml:space="preserve"> </w:t>
      </w:r>
      <w:r w:rsidR="00B27480" w:rsidRPr="00B740B4">
        <w:rPr>
          <w:b/>
        </w:rPr>
        <w:t>Stone, M.</w:t>
      </w:r>
      <w:r w:rsidR="00B27480" w:rsidRPr="00B740B4">
        <w:t xml:space="preserve"> </w:t>
      </w:r>
      <w:r w:rsidR="00934A11" w:rsidRPr="00B740B4">
        <w:t>“</w:t>
      </w:r>
      <w:r w:rsidR="00B27480" w:rsidRPr="00B740B4">
        <w:t>A Note on Daniel i. 3.</w:t>
      </w:r>
      <w:r w:rsidR="00934A11" w:rsidRPr="00B740B4">
        <w:t>”</w:t>
      </w:r>
      <w:r w:rsidR="00B27480" w:rsidRPr="00B740B4">
        <w:t xml:space="preserve"> </w:t>
      </w:r>
      <w:r w:rsidR="004279FA" w:rsidRPr="00B740B4">
        <w:rPr>
          <w:b/>
        </w:rPr>
        <w:t xml:space="preserve">Towner, W. S. </w:t>
      </w:r>
      <w:r w:rsidR="00934A11" w:rsidRPr="00B740B4">
        <w:t>“</w:t>
      </w:r>
      <w:r w:rsidR="004279FA" w:rsidRPr="00B740B4">
        <w:t>Daniel 1 in the Context of the Canon.</w:t>
      </w:r>
      <w:r w:rsidR="00934A11" w:rsidRPr="00B740B4">
        <w:t>”</w:t>
      </w:r>
      <w:r w:rsidR="004279FA" w:rsidRPr="00B740B4">
        <w:t xml:space="preserve"> </w:t>
      </w:r>
      <w:r w:rsidR="000B0A36" w:rsidRPr="00B740B4">
        <w:rPr>
          <w:b/>
          <w:iCs/>
        </w:rPr>
        <w:t>Van Deventer</w:t>
      </w:r>
      <w:r w:rsidR="000B0A36" w:rsidRPr="00B740B4">
        <w:rPr>
          <w:b/>
        </w:rPr>
        <w:t>, H. J. M</w:t>
      </w:r>
      <w:r w:rsidR="000B0A36" w:rsidRPr="00B740B4">
        <w:t xml:space="preserve">. </w:t>
      </w:r>
      <w:r w:rsidR="00934A11" w:rsidRPr="00B740B4">
        <w:t>“</w:t>
      </w:r>
      <w:r w:rsidR="000B0A36" w:rsidRPr="00B740B4">
        <w:t>Testing-Testing, Do We Have a Translated Text in Daniel 1 and Daniel 7?</w:t>
      </w:r>
      <w:r w:rsidR="00934A11" w:rsidRPr="00B740B4">
        <w:t>”</w:t>
      </w:r>
      <w:r w:rsidR="000B0A36" w:rsidRPr="00B740B4">
        <w:t xml:space="preserve"> </w:t>
      </w:r>
      <w:r w:rsidR="00DB24F3" w:rsidRPr="00B740B4">
        <w:rPr>
          <w:b/>
        </w:rPr>
        <w:t xml:space="preserve">Venter, P. M. </w:t>
      </w:r>
      <w:r w:rsidR="00DB24F3" w:rsidRPr="00B740B4">
        <w:t xml:space="preserve">“A Study of Space in Daniel 1.” </w:t>
      </w:r>
      <w:r w:rsidR="00B27480" w:rsidRPr="00B740B4">
        <w:rPr>
          <w:b/>
        </w:rPr>
        <w:t>Wilson, R. D.</w:t>
      </w:r>
      <w:r w:rsidR="00B27480" w:rsidRPr="00B740B4">
        <w:t xml:space="preserve"> </w:t>
      </w:r>
      <w:r w:rsidR="00611A83" w:rsidRPr="00B740B4">
        <w:rPr>
          <w:i/>
        </w:rPr>
        <w:t>Studies in the Book of Daniel</w:t>
      </w:r>
      <w:r w:rsidR="00B27480" w:rsidRPr="00B740B4">
        <w:t xml:space="preserve"> 1:43–95, 319–89. </w:t>
      </w:r>
      <w:r w:rsidR="00B27480" w:rsidRPr="00B740B4">
        <w:rPr>
          <w:b/>
        </w:rPr>
        <w:t>Winckler, H.</w:t>
      </w:r>
      <w:r w:rsidR="006F51F2" w:rsidRPr="00B740B4">
        <w:t xml:space="preserve"> </w:t>
      </w:r>
      <w:r w:rsidR="00934A11" w:rsidRPr="00B740B4">
        <w:t>“</w:t>
      </w:r>
      <w:r w:rsidR="006F51F2" w:rsidRPr="00B740B4">
        <w:t>Daniel und seine Freunde</w:t>
      </w:r>
      <w:r w:rsidR="008C0493" w:rsidRPr="00B740B4">
        <w:t>,</w:t>
      </w:r>
      <w:r w:rsidR="00934A11" w:rsidRPr="00B740B4">
        <w:t>”</w:t>
      </w:r>
      <w:r w:rsidR="008C0493" w:rsidRPr="00B740B4">
        <w:t xml:space="preserve"> in</w:t>
      </w:r>
      <w:r w:rsidR="00450475" w:rsidRPr="00B740B4">
        <w:t xml:space="preserve"> </w:t>
      </w:r>
      <w:r w:rsidR="00B27480" w:rsidRPr="00B740B4">
        <w:t xml:space="preserve">Winckler, </w:t>
      </w:r>
      <w:r w:rsidR="00B27480" w:rsidRPr="00B740B4">
        <w:rPr>
          <w:i/>
        </w:rPr>
        <w:t>Altorientalische Forschungen</w:t>
      </w:r>
      <w:r w:rsidR="0070123B">
        <w:t xml:space="preserve"> II, </w:t>
      </w:r>
      <w:r w:rsidR="00B27480" w:rsidRPr="00B740B4">
        <w:t xml:space="preserve">1:237–38. </w:t>
      </w:r>
      <w:r w:rsidR="00B27480" w:rsidRPr="00B740B4">
        <w:rPr>
          <w:b/>
        </w:rPr>
        <w:t>Wiseman, D. J.,</w:t>
      </w:r>
      <w:r w:rsidR="00B27480" w:rsidRPr="00B740B4">
        <w:t xml:space="preserve"> et al. </w:t>
      </w:r>
      <w:r w:rsidR="00450475" w:rsidRPr="00B740B4">
        <w:rPr>
          <w:i/>
        </w:rPr>
        <w:t>Notes on Some Problems in the Book of Daniel</w:t>
      </w:r>
      <w:r w:rsidR="00A02B32" w:rsidRPr="00B740B4">
        <w:t>,</w:t>
      </w:r>
      <w:r w:rsidR="00B27480" w:rsidRPr="00B740B4">
        <w:t xml:space="preserve"> 16–18. </w:t>
      </w:r>
      <w:r w:rsidR="00B27480" w:rsidRPr="00B740B4">
        <w:rPr>
          <w:b/>
        </w:rPr>
        <w:t>Zadok, R.</w:t>
      </w:r>
      <w:r w:rsidR="00B27480" w:rsidRPr="00B740B4">
        <w:t xml:space="preserve"> </w:t>
      </w:r>
      <w:r w:rsidR="00934A11" w:rsidRPr="00B740B4">
        <w:t>“</w:t>
      </w:r>
      <w:r w:rsidR="00450475" w:rsidRPr="00B740B4">
        <w:t>The Origin of the Name Shinar.</w:t>
      </w:r>
      <w:r w:rsidR="00934A11" w:rsidRPr="00B740B4">
        <w:t>”</w:t>
      </w:r>
    </w:p>
    <w:p w:rsidR="00B27480" w:rsidRPr="00B740B4" w:rsidRDefault="00B27480" w:rsidP="009479B1">
      <w:pPr>
        <w:pStyle w:val="Heading2"/>
      </w:pPr>
      <w:r w:rsidRPr="00B740B4">
        <w:t>Translation</w:t>
      </w:r>
    </w:p>
    <w:p w:rsidR="00B27480" w:rsidRPr="00B740B4" w:rsidRDefault="00B27480" w:rsidP="00B27480">
      <w:r w:rsidRPr="00B740B4">
        <w:rPr>
          <w:vertAlign w:val="superscript"/>
        </w:rPr>
        <w:t>1</w:t>
      </w:r>
      <w:r w:rsidRPr="00B740B4">
        <w:rPr>
          <w:i/>
        </w:rPr>
        <w:t>In the thir</w:t>
      </w:r>
      <w:r w:rsidR="009A70E5" w:rsidRPr="00B740B4">
        <w:rPr>
          <w:i/>
        </w:rPr>
        <w:t xml:space="preserve">d year of the reign of </w:t>
      </w:r>
      <w:r w:rsidR="009A70E5" w:rsidRPr="00B740B4">
        <w:rPr>
          <w:i/>
          <w:lang w:val="en-GB"/>
        </w:rPr>
        <w:t>Yehoyaqim</w:t>
      </w:r>
      <w:r w:rsidR="009A70E5" w:rsidRPr="00B740B4">
        <w:rPr>
          <w:i/>
        </w:rPr>
        <w:t xml:space="preserve"> king of Yehudah, </w:t>
      </w:r>
      <w:r w:rsidR="009A70E5" w:rsidRPr="00B740B4">
        <w:rPr>
          <w:i/>
          <w:lang w:val="en-GB"/>
        </w:rPr>
        <w:t>Nebuk</w:t>
      </w:r>
      <w:r w:rsidR="0007010C" w:rsidRPr="00B740B4">
        <w:rPr>
          <w:i/>
          <w:lang w:val="en-GB"/>
        </w:rPr>
        <w:t>adne’</w:t>
      </w:r>
      <w:r w:rsidR="0007010C" w:rsidRPr="00B740B4">
        <w:rPr>
          <w:i/>
        </w:rPr>
        <w:t>ṣṣ</w:t>
      </w:r>
      <w:r w:rsidR="009A70E5" w:rsidRPr="00B740B4">
        <w:rPr>
          <w:i/>
          <w:lang w:val="en-GB"/>
        </w:rPr>
        <w:t>ar</w:t>
      </w:r>
      <w:r w:rsidR="009A70E5" w:rsidRPr="00B740B4">
        <w:rPr>
          <w:i/>
          <w:vertAlign w:val="superscript"/>
        </w:rPr>
        <w:t xml:space="preserve"> </w:t>
      </w:r>
      <w:r w:rsidRPr="00B740B4">
        <w:rPr>
          <w:vertAlign w:val="superscript"/>
        </w:rPr>
        <w:t>a</w:t>
      </w:r>
      <w:r w:rsidRPr="00B740B4">
        <w:t xml:space="preserve"> </w:t>
      </w:r>
      <w:r w:rsidR="009A70E5" w:rsidRPr="00B740B4">
        <w:rPr>
          <w:i/>
        </w:rPr>
        <w:t>king of Babel</w:t>
      </w:r>
      <w:r w:rsidRPr="00B740B4">
        <w:rPr>
          <w:i/>
        </w:rPr>
        <w:t xml:space="preserve"> came</w:t>
      </w:r>
      <w:r w:rsidRPr="00B740B4">
        <w:rPr>
          <w:vertAlign w:val="superscript"/>
        </w:rPr>
        <w:t>b</w:t>
      </w:r>
      <w:r w:rsidRPr="00B740B4">
        <w:t xml:space="preserve"> </w:t>
      </w:r>
      <w:r w:rsidR="009A70E5" w:rsidRPr="00B740B4">
        <w:rPr>
          <w:i/>
        </w:rPr>
        <w:t>to Yeru</w:t>
      </w:r>
      <w:r w:rsidR="005F68BF">
        <w:rPr>
          <w:i/>
        </w:rPr>
        <w:t>š</w:t>
      </w:r>
      <w:r w:rsidR="009A70E5" w:rsidRPr="00B740B4">
        <w:rPr>
          <w:i/>
        </w:rPr>
        <w:t>alaim</w:t>
      </w:r>
      <w:r w:rsidRPr="00B740B4">
        <w:rPr>
          <w:i/>
        </w:rPr>
        <w:t xml:space="preserve"> and blockaded it</w:t>
      </w:r>
      <w:r w:rsidR="0044608E" w:rsidRPr="00B740B4">
        <w:rPr>
          <w:i/>
        </w:rPr>
        <w:t>,</w:t>
      </w:r>
      <w:r w:rsidRPr="00B740B4">
        <w:t xml:space="preserve"> </w:t>
      </w:r>
      <w:r w:rsidRPr="00B740B4">
        <w:rPr>
          <w:vertAlign w:val="superscript"/>
        </w:rPr>
        <w:t>2</w:t>
      </w:r>
      <w:r w:rsidR="0044608E" w:rsidRPr="00B740B4">
        <w:rPr>
          <w:i/>
        </w:rPr>
        <w:t>and t</w:t>
      </w:r>
      <w:r w:rsidRPr="00B740B4">
        <w:rPr>
          <w:i/>
        </w:rPr>
        <w:t>he Lord</w:t>
      </w:r>
      <w:r w:rsidRPr="00B740B4">
        <w:rPr>
          <w:vertAlign w:val="superscript"/>
        </w:rPr>
        <w:t>a</w:t>
      </w:r>
      <w:r w:rsidRPr="00B740B4">
        <w:t xml:space="preserve"> </w:t>
      </w:r>
      <w:r w:rsidR="009A70E5" w:rsidRPr="00B740B4">
        <w:rPr>
          <w:i/>
        </w:rPr>
        <w:t xml:space="preserve">gave </w:t>
      </w:r>
      <w:r w:rsidR="009A70E5" w:rsidRPr="00B740B4">
        <w:rPr>
          <w:i/>
          <w:lang w:val="en-GB"/>
        </w:rPr>
        <w:t>Yehoyaqim</w:t>
      </w:r>
      <w:r w:rsidR="009A70E5" w:rsidRPr="00B740B4">
        <w:rPr>
          <w:i/>
        </w:rPr>
        <w:t xml:space="preserve"> king of Yehudah </w:t>
      </w:r>
      <w:r w:rsidR="0056120D" w:rsidRPr="00B740B4">
        <w:rPr>
          <w:i/>
        </w:rPr>
        <w:t>into his hand</w:t>
      </w:r>
      <w:r w:rsidR="0044608E" w:rsidRPr="00B740B4">
        <w:rPr>
          <w:i/>
        </w:rPr>
        <w:t>.</w:t>
      </w:r>
      <w:r w:rsidRPr="00B740B4">
        <w:rPr>
          <w:vertAlign w:val="superscript"/>
        </w:rPr>
        <w:t>b</w:t>
      </w:r>
      <w:r w:rsidRPr="00B740B4">
        <w:t xml:space="preserve"> </w:t>
      </w:r>
      <w:r w:rsidR="0044608E" w:rsidRPr="00B740B4">
        <w:rPr>
          <w:i/>
        </w:rPr>
        <w:t>S</w:t>
      </w:r>
      <w:r w:rsidRPr="00B740B4">
        <w:rPr>
          <w:i/>
        </w:rPr>
        <w:t>ome of</w:t>
      </w:r>
      <w:r w:rsidR="0044608E" w:rsidRPr="00B740B4">
        <w:rPr>
          <w:vertAlign w:val="superscript"/>
        </w:rPr>
        <w:t>c</w:t>
      </w:r>
      <w:r w:rsidRPr="00B740B4">
        <w:t xml:space="preserve"> </w:t>
      </w:r>
      <w:r w:rsidRPr="00B740B4">
        <w:rPr>
          <w:i/>
        </w:rPr>
        <w:t>the articles</w:t>
      </w:r>
      <w:r w:rsidR="0044608E" w:rsidRPr="00B740B4">
        <w:rPr>
          <w:vertAlign w:val="superscript"/>
        </w:rPr>
        <w:t>d</w:t>
      </w:r>
      <w:r w:rsidRPr="00B740B4">
        <w:t xml:space="preserve"> </w:t>
      </w:r>
      <w:r w:rsidRPr="00B740B4">
        <w:rPr>
          <w:i/>
        </w:rPr>
        <w:t xml:space="preserve">from the house of God </w:t>
      </w:r>
      <w:r w:rsidR="0044608E" w:rsidRPr="00B740B4">
        <w:rPr>
          <w:i/>
        </w:rPr>
        <w:t>he brought</w:t>
      </w:r>
      <w:r w:rsidR="0044608E" w:rsidRPr="00B740B4">
        <w:rPr>
          <w:i/>
          <w:vertAlign w:val="superscript"/>
        </w:rPr>
        <w:t>e</w:t>
      </w:r>
      <w:r w:rsidR="0044608E" w:rsidRPr="00B740B4">
        <w:rPr>
          <w:i/>
        </w:rPr>
        <w:t xml:space="preserve"> </w:t>
      </w:r>
      <w:r w:rsidRPr="00B740B4">
        <w:rPr>
          <w:i/>
        </w:rPr>
        <w:t xml:space="preserve">to the land of </w:t>
      </w:r>
      <w:r w:rsidR="005F68BF">
        <w:rPr>
          <w:i/>
        </w:rPr>
        <w:t>Š</w:t>
      </w:r>
      <w:r w:rsidRPr="00B740B4">
        <w:rPr>
          <w:i/>
        </w:rPr>
        <w:t>in</w:t>
      </w:r>
      <w:r w:rsidR="009A70E5" w:rsidRPr="00B740B4">
        <w:rPr>
          <w:i/>
        </w:rPr>
        <w:t>’</w:t>
      </w:r>
      <w:r w:rsidRPr="00B740B4">
        <w:rPr>
          <w:i/>
        </w:rPr>
        <w:t>ar to the house of his god</w:t>
      </w:r>
      <w:r w:rsidR="00991393" w:rsidRPr="00B740B4">
        <w:rPr>
          <w:i/>
        </w:rPr>
        <w:t>;</w:t>
      </w:r>
      <w:r w:rsidRPr="00B740B4">
        <w:rPr>
          <w:vertAlign w:val="superscript"/>
        </w:rPr>
        <w:t>f</w:t>
      </w:r>
      <w:r w:rsidR="00600A6E" w:rsidRPr="00B740B4">
        <w:rPr>
          <w:i/>
        </w:rPr>
        <w:t xml:space="preserve"> </w:t>
      </w:r>
      <w:r w:rsidRPr="00B740B4">
        <w:rPr>
          <w:i/>
        </w:rPr>
        <w:t>the articles</w:t>
      </w:r>
      <w:r w:rsidRPr="00B740B4">
        <w:rPr>
          <w:vertAlign w:val="superscript"/>
        </w:rPr>
        <w:t>g</w:t>
      </w:r>
      <w:r w:rsidRPr="00B740B4">
        <w:t xml:space="preserve"> </w:t>
      </w:r>
      <w:r w:rsidR="00991393" w:rsidRPr="00B740B4">
        <w:rPr>
          <w:i/>
        </w:rPr>
        <w:t xml:space="preserve">he brought </w:t>
      </w:r>
      <w:r w:rsidRPr="00B740B4">
        <w:rPr>
          <w:i/>
        </w:rPr>
        <w:t>to his god’s treasury.</w:t>
      </w:r>
    </w:p>
    <w:p w:rsidR="00B27480" w:rsidRPr="00B740B4" w:rsidRDefault="00B27480" w:rsidP="00B27480">
      <w:r w:rsidRPr="00B740B4">
        <w:rPr>
          <w:vertAlign w:val="superscript"/>
        </w:rPr>
        <w:t>3</w:t>
      </w:r>
      <w:r w:rsidR="00416728" w:rsidRPr="00B740B4">
        <w:rPr>
          <w:i/>
        </w:rPr>
        <w:t>The king said to</w:t>
      </w:r>
      <w:r w:rsidRPr="00B740B4">
        <w:rPr>
          <w:i/>
        </w:rPr>
        <w:t xml:space="preserve"> A</w:t>
      </w:r>
      <w:r w:rsidR="005F68BF">
        <w:rPr>
          <w:i/>
        </w:rPr>
        <w:t>š</w:t>
      </w:r>
      <w:r w:rsidRPr="00B740B4">
        <w:rPr>
          <w:i/>
        </w:rPr>
        <w:t>penaz,</w:t>
      </w:r>
      <w:r w:rsidRPr="00B740B4">
        <w:rPr>
          <w:vertAlign w:val="superscript"/>
        </w:rPr>
        <w:t>a</w:t>
      </w:r>
      <w:r w:rsidRPr="00B740B4">
        <w:t xml:space="preserve"> </w:t>
      </w:r>
      <w:r w:rsidRPr="00B740B4">
        <w:rPr>
          <w:i/>
        </w:rPr>
        <w:t>his chief of staff,</w:t>
      </w:r>
      <w:r w:rsidRPr="00B740B4">
        <w:rPr>
          <w:vertAlign w:val="superscript"/>
        </w:rPr>
        <w:t>b</w:t>
      </w:r>
      <w:r w:rsidRPr="00B740B4">
        <w:t xml:space="preserve"> </w:t>
      </w:r>
      <w:r w:rsidR="00416728" w:rsidRPr="00B740B4">
        <w:rPr>
          <w:i/>
        </w:rPr>
        <w:t>to bring</w:t>
      </w:r>
      <w:r w:rsidRPr="00B740B4">
        <w:rPr>
          <w:vertAlign w:val="superscript"/>
        </w:rPr>
        <w:t>c</w:t>
      </w:r>
      <w:r w:rsidRPr="00B740B4">
        <w:t xml:space="preserve"> </w:t>
      </w:r>
      <w:r w:rsidR="009A70E5" w:rsidRPr="00B740B4">
        <w:rPr>
          <w:i/>
        </w:rPr>
        <w:t>some of the Yi</w:t>
      </w:r>
      <w:r w:rsidRPr="00B740B4">
        <w:rPr>
          <w:i/>
        </w:rPr>
        <w:t>sra</w:t>
      </w:r>
      <w:r w:rsidR="009A70E5" w:rsidRPr="00B740B4">
        <w:rPr>
          <w:i/>
        </w:rPr>
        <w:t>’</w:t>
      </w:r>
      <w:r w:rsidRPr="00B740B4">
        <w:rPr>
          <w:i/>
        </w:rPr>
        <w:t>elites,</w:t>
      </w:r>
      <w:r w:rsidRPr="00B740B4">
        <w:rPr>
          <w:vertAlign w:val="superscript"/>
        </w:rPr>
        <w:t>d</w:t>
      </w:r>
      <w:r w:rsidRPr="00B740B4">
        <w:t xml:space="preserve"> </w:t>
      </w:r>
      <w:r w:rsidRPr="00B740B4">
        <w:rPr>
          <w:vertAlign w:val="superscript"/>
        </w:rPr>
        <w:t>e</w:t>
      </w:r>
      <w:r w:rsidRPr="00B740B4">
        <w:rPr>
          <w:i/>
        </w:rPr>
        <w:t>some of the royal</w:t>
      </w:r>
      <w:r w:rsidR="00416728" w:rsidRPr="00B740B4">
        <w:rPr>
          <w:i/>
        </w:rPr>
        <w:t xml:space="preserve"> family </w:t>
      </w:r>
      <w:r w:rsidR="0007243F" w:rsidRPr="00B740B4">
        <w:rPr>
          <w:i/>
        </w:rPr>
        <w:t xml:space="preserve">and some of the </w:t>
      </w:r>
      <w:r w:rsidR="008874DF" w:rsidRPr="00B740B4">
        <w:rPr>
          <w:i/>
        </w:rPr>
        <w:t>people of rank</w:t>
      </w:r>
      <w:r w:rsidRPr="00B740B4">
        <w:rPr>
          <w:i/>
        </w:rPr>
        <w:t>,</w:t>
      </w:r>
      <w:r w:rsidRPr="00B740B4">
        <w:rPr>
          <w:vertAlign w:val="superscript"/>
        </w:rPr>
        <w:t>e</w:t>
      </w:r>
      <w:r w:rsidRPr="00B740B4">
        <w:t xml:space="preserve"> </w:t>
      </w:r>
      <w:r w:rsidRPr="00B740B4">
        <w:rPr>
          <w:vertAlign w:val="superscript"/>
        </w:rPr>
        <w:t>4</w:t>
      </w:r>
      <w:r w:rsidRPr="00B740B4">
        <w:rPr>
          <w:i/>
        </w:rPr>
        <w:t>young men</w:t>
      </w:r>
      <w:r w:rsidRPr="00B740B4">
        <w:rPr>
          <w:vertAlign w:val="superscript"/>
        </w:rPr>
        <w:t>a</w:t>
      </w:r>
      <w:r w:rsidRPr="00B740B4">
        <w:t xml:space="preserve"> </w:t>
      </w:r>
      <w:r w:rsidRPr="00B740B4">
        <w:rPr>
          <w:i/>
        </w:rPr>
        <w:t>without any shortcoming,</w:t>
      </w:r>
      <w:r w:rsidRPr="00B740B4">
        <w:rPr>
          <w:vertAlign w:val="superscript"/>
        </w:rPr>
        <w:t>b</w:t>
      </w:r>
      <w:r w:rsidRPr="00B740B4">
        <w:t xml:space="preserve"> </w:t>
      </w:r>
      <w:r w:rsidRPr="00B740B4">
        <w:rPr>
          <w:i/>
        </w:rPr>
        <w:t xml:space="preserve">good </w:t>
      </w:r>
      <w:r w:rsidR="00416728" w:rsidRPr="00B740B4">
        <w:rPr>
          <w:i/>
        </w:rPr>
        <w:t xml:space="preserve">in </w:t>
      </w:r>
      <w:r w:rsidRPr="00B740B4">
        <w:rPr>
          <w:i/>
        </w:rPr>
        <w:t>appearance, disce</w:t>
      </w:r>
      <w:r w:rsidR="00962BBD" w:rsidRPr="00B740B4">
        <w:rPr>
          <w:i/>
        </w:rPr>
        <w:t>rning in all aspects of expertise</w:t>
      </w:r>
      <w:r w:rsidRPr="00B740B4">
        <w:rPr>
          <w:i/>
        </w:rPr>
        <w:t>, knowledge, and insight, and capable of taking</w:t>
      </w:r>
      <w:r w:rsidR="00EE17F3" w:rsidRPr="00B740B4">
        <w:rPr>
          <w:i/>
        </w:rPr>
        <w:t xml:space="preserve"> a place</w:t>
      </w:r>
      <w:r w:rsidR="00384C47" w:rsidRPr="00B740B4">
        <w:rPr>
          <w:i/>
          <w:vertAlign w:val="superscript"/>
        </w:rPr>
        <w:t>c</w:t>
      </w:r>
      <w:r w:rsidR="00EE17F3" w:rsidRPr="00B740B4">
        <w:rPr>
          <w:i/>
        </w:rPr>
        <w:t xml:space="preserve"> in the king’s palace</w:t>
      </w:r>
      <w:r w:rsidR="002465A9" w:rsidRPr="00B740B4">
        <w:rPr>
          <w:i/>
        </w:rPr>
        <w:t>, and to teach them</w:t>
      </w:r>
      <w:r w:rsidR="00384C47" w:rsidRPr="00B740B4">
        <w:rPr>
          <w:vertAlign w:val="superscript"/>
        </w:rPr>
        <w:t>d</w:t>
      </w:r>
      <w:r w:rsidRPr="00B740B4">
        <w:t xml:space="preserve"> </w:t>
      </w:r>
      <w:r w:rsidR="00384C47" w:rsidRPr="00B740B4">
        <w:rPr>
          <w:vertAlign w:val="superscript"/>
        </w:rPr>
        <w:t>e</w:t>
      </w:r>
      <w:r w:rsidRPr="00B740B4">
        <w:rPr>
          <w:i/>
        </w:rPr>
        <w:t>the languag</w:t>
      </w:r>
      <w:r w:rsidR="009A70E5" w:rsidRPr="00B740B4">
        <w:rPr>
          <w:i/>
        </w:rPr>
        <w:t>e and literature of the Kasdite</w:t>
      </w:r>
      <w:r w:rsidRPr="00B740B4">
        <w:rPr>
          <w:i/>
        </w:rPr>
        <w:t>s.</w:t>
      </w:r>
      <w:r w:rsidR="00384C47" w:rsidRPr="00B740B4">
        <w:rPr>
          <w:vertAlign w:val="superscript"/>
        </w:rPr>
        <w:t>e</w:t>
      </w:r>
      <w:r w:rsidRPr="00B740B4">
        <w:t xml:space="preserve"> </w:t>
      </w:r>
      <w:r w:rsidRPr="00B740B4">
        <w:rPr>
          <w:vertAlign w:val="superscript"/>
        </w:rPr>
        <w:t>5</w:t>
      </w:r>
      <w:r w:rsidRPr="00B740B4">
        <w:rPr>
          <w:i/>
        </w:rPr>
        <w:t>The king assigned them a daily allowance</w:t>
      </w:r>
      <w:r w:rsidRPr="00B740B4">
        <w:rPr>
          <w:vertAlign w:val="superscript"/>
        </w:rPr>
        <w:t>a</w:t>
      </w:r>
      <w:r w:rsidRPr="00B740B4">
        <w:t xml:space="preserve"> </w:t>
      </w:r>
      <w:r w:rsidRPr="00B740B4">
        <w:rPr>
          <w:i/>
        </w:rPr>
        <w:t>from the king’s supplies</w:t>
      </w:r>
      <w:r w:rsidRPr="00B740B4">
        <w:rPr>
          <w:vertAlign w:val="superscript"/>
        </w:rPr>
        <w:t>b</w:t>
      </w:r>
      <w:r w:rsidRPr="00B740B4">
        <w:t xml:space="preserve"> </w:t>
      </w:r>
      <w:r w:rsidRPr="00B740B4">
        <w:rPr>
          <w:i/>
        </w:rPr>
        <w:t>and from the wine which he drank. They were to be trained</w:t>
      </w:r>
      <w:r w:rsidRPr="00B740B4">
        <w:rPr>
          <w:vertAlign w:val="superscript"/>
        </w:rPr>
        <w:t>c</w:t>
      </w:r>
      <w:r w:rsidRPr="00B740B4">
        <w:t xml:space="preserve"> </w:t>
      </w:r>
      <w:r w:rsidRPr="00B740B4">
        <w:rPr>
          <w:i/>
        </w:rPr>
        <w:t>for three years, and some of them</w:t>
      </w:r>
      <w:r w:rsidRPr="00B740B4">
        <w:rPr>
          <w:vertAlign w:val="superscript"/>
        </w:rPr>
        <w:t>d</w:t>
      </w:r>
      <w:r w:rsidRPr="00B740B4">
        <w:t xml:space="preserve"> </w:t>
      </w:r>
      <w:r w:rsidRPr="00B740B4">
        <w:rPr>
          <w:i/>
        </w:rPr>
        <w:t>would take th</w:t>
      </w:r>
      <w:r w:rsidR="00E02FCD" w:rsidRPr="00B740B4">
        <w:rPr>
          <w:i/>
        </w:rPr>
        <w:t>eir place before the king</w:t>
      </w:r>
      <w:r w:rsidRPr="00B740B4">
        <w:rPr>
          <w:i/>
        </w:rPr>
        <w:t>.</w:t>
      </w:r>
      <w:r w:rsidRPr="00B740B4">
        <w:t xml:space="preserve"> </w:t>
      </w:r>
      <w:r w:rsidRPr="00B740B4">
        <w:rPr>
          <w:vertAlign w:val="superscript"/>
        </w:rPr>
        <w:t>6</w:t>
      </w:r>
      <w:r w:rsidRPr="00B740B4">
        <w:rPr>
          <w:i/>
        </w:rPr>
        <w:t>Among them were</w:t>
      </w:r>
      <w:r w:rsidRPr="00B740B4">
        <w:rPr>
          <w:vertAlign w:val="superscript"/>
        </w:rPr>
        <w:t>a</w:t>
      </w:r>
      <w:r w:rsidRPr="00B740B4">
        <w:t xml:space="preserve"> </w:t>
      </w:r>
      <w:r w:rsidR="009A70E5" w:rsidRPr="00B740B4">
        <w:rPr>
          <w:i/>
        </w:rPr>
        <w:t>some Yehudites</w:t>
      </w:r>
      <w:r w:rsidRPr="00B740B4">
        <w:rPr>
          <w:i/>
        </w:rPr>
        <w:t>, Dani</w:t>
      </w:r>
      <w:r w:rsidR="009A70E5" w:rsidRPr="00B740B4">
        <w:rPr>
          <w:i/>
        </w:rPr>
        <w:t>yy</w:t>
      </w:r>
      <w:r w:rsidRPr="00B740B4">
        <w:rPr>
          <w:i/>
        </w:rPr>
        <w:t>e</w:t>
      </w:r>
      <w:r w:rsidR="009A70E5" w:rsidRPr="00B740B4">
        <w:rPr>
          <w:i/>
        </w:rPr>
        <w:t xml:space="preserve">’l, </w:t>
      </w:r>
      <w:r w:rsidR="005F68BF">
        <w:rPr>
          <w:i/>
        </w:rPr>
        <w:t>Ḥananyah</w:t>
      </w:r>
      <w:r w:rsidRPr="00B740B4">
        <w:rPr>
          <w:i/>
        </w:rPr>
        <w:t>, Mi</w:t>
      </w:r>
      <w:r w:rsidR="005F68BF">
        <w:rPr>
          <w:i/>
        </w:rPr>
        <w:t>š</w:t>
      </w:r>
      <w:r w:rsidRPr="00B740B4">
        <w:rPr>
          <w:i/>
        </w:rPr>
        <w:t>a</w:t>
      </w:r>
      <w:r w:rsidR="009A70E5" w:rsidRPr="00B740B4">
        <w:rPr>
          <w:i/>
        </w:rPr>
        <w:t xml:space="preserve">’el and </w:t>
      </w:r>
      <w:r w:rsidR="00B20356">
        <w:rPr>
          <w:i/>
        </w:rPr>
        <w:t>‘</w:t>
      </w:r>
      <w:r w:rsidR="009A70E5" w:rsidRPr="00B740B4">
        <w:rPr>
          <w:i/>
        </w:rPr>
        <w:t>Azary</w:t>
      </w:r>
      <w:r w:rsidR="00EE17F3" w:rsidRPr="00B740B4">
        <w:rPr>
          <w:i/>
        </w:rPr>
        <w:t xml:space="preserve">ah. </w:t>
      </w:r>
      <w:r w:rsidRPr="00B740B4">
        <w:rPr>
          <w:i/>
          <w:vertAlign w:val="superscript"/>
        </w:rPr>
        <w:t>7</w:t>
      </w:r>
      <w:r w:rsidR="00EE17F3" w:rsidRPr="00B740B4">
        <w:rPr>
          <w:i/>
        </w:rPr>
        <w:t>But t</w:t>
      </w:r>
      <w:r w:rsidRPr="00B740B4">
        <w:rPr>
          <w:i/>
        </w:rPr>
        <w:t>he head of staff</w:t>
      </w:r>
      <w:r w:rsidR="00E02FCD" w:rsidRPr="00B740B4">
        <w:rPr>
          <w:i/>
        </w:rPr>
        <w:t xml:space="preserve"> determined on names for them. H</w:t>
      </w:r>
      <w:r w:rsidRPr="00B740B4">
        <w:rPr>
          <w:i/>
        </w:rPr>
        <w:t>e determined</w:t>
      </w:r>
      <w:r w:rsidRPr="00B740B4">
        <w:rPr>
          <w:vertAlign w:val="superscript"/>
        </w:rPr>
        <w:t>a</w:t>
      </w:r>
      <w:r w:rsidRPr="00B740B4">
        <w:t xml:space="preserve"> </w:t>
      </w:r>
      <w:r w:rsidRPr="00B740B4">
        <w:rPr>
          <w:i/>
        </w:rPr>
        <w:t>on</w:t>
      </w:r>
      <w:r w:rsidRPr="00B740B4">
        <w:t xml:space="preserve"> </w:t>
      </w:r>
      <w:r w:rsidRPr="00B740B4">
        <w:rPr>
          <w:vertAlign w:val="superscript"/>
        </w:rPr>
        <w:t>b</w:t>
      </w:r>
      <w:r w:rsidR="00865D82">
        <w:rPr>
          <w:i/>
        </w:rPr>
        <w:t>Belṭ</w:t>
      </w:r>
      <w:r w:rsidR="00E02FCD" w:rsidRPr="00B740B4">
        <w:rPr>
          <w:i/>
        </w:rPr>
        <w:t>e</w:t>
      </w:r>
      <w:r w:rsidR="005F68BF">
        <w:rPr>
          <w:i/>
        </w:rPr>
        <w:t>š</w:t>
      </w:r>
      <w:r w:rsidR="00E02FCD" w:rsidRPr="00B740B4">
        <w:rPr>
          <w:i/>
        </w:rPr>
        <w:t>a</w:t>
      </w:r>
      <w:r w:rsidR="00A15C99" w:rsidRPr="00B740B4">
        <w:rPr>
          <w:i/>
        </w:rPr>
        <w:t>’</w:t>
      </w:r>
      <w:r w:rsidR="00E02FCD" w:rsidRPr="00B740B4">
        <w:rPr>
          <w:i/>
        </w:rPr>
        <w:t>ṣṣ</w:t>
      </w:r>
      <w:r w:rsidRPr="00B740B4">
        <w:rPr>
          <w:i/>
        </w:rPr>
        <w:t>ar</w:t>
      </w:r>
      <w:r w:rsidR="005F68BF">
        <w:rPr>
          <w:i/>
        </w:rPr>
        <w:t xml:space="preserve"> for Daniyye’l, Šadrak for Ḥ</w:t>
      </w:r>
      <w:r w:rsidR="009A70E5" w:rsidRPr="00B740B4">
        <w:rPr>
          <w:i/>
        </w:rPr>
        <w:t>ananyah, Me</w:t>
      </w:r>
      <w:r w:rsidR="005F68BF">
        <w:rPr>
          <w:i/>
        </w:rPr>
        <w:t>š</w:t>
      </w:r>
      <w:r w:rsidR="009A70E5" w:rsidRPr="00B740B4">
        <w:rPr>
          <w:i/>
        </w:rPr>
        <w:t>ak</w:t>
      </w:r>
      <w:r w:rsidRPr="00B740B4">
        <w:rPr>
          <w:i/>
        </w:rPr>
        <w:t xml:space="preserve"> for Mi</w:t>
      </w:r>
      <w:r w:rsidR="005F68BF">
        <w:rPr>
          <w:i/>
        </w:rPr>
        <w:t>š</w:t>
      </w:r>
      <w:r w:rsidRPr="00B740B4">
        <w:rPr>
          <w:i/>
        </w:rPr>
        <w:t>a</w:t>
      </w:r>
      <w:r w:rsidR="00AC177F" w:rsidRPr="00B740B4">
        <w:rPr>
          <w:i/>
        </w:rPr>
        <w:t>’el, and ‘Abe</w:t>
      </w:r>
      <w:r w:rsidR="009A70E5" w:rsidRPr="00B740B4">
        <w:rPr>
          <w:i/>
        </w:rPr>
        <w:t>d Nego for ‘Azary</w:t>
      </w:r>
      <w:r w:rsidRPr="00B740B4">
        <w:rPr>
          <w:i/>
        </w:rPr>
        <w:t>ah.</w:t>
      </w:r>
      <w:r w:rsidRPr="00B740B4">
        <w:rPr>
          <w:vertAlign w:val="superscript"/>
        </w:rPr>
        <w:t>b</w:t>
      </w:r>
    </w:p>
    <w:p w:rsidR="0040621D" w:rsidRPr="00B740B4" w:rsidRDefault="00B27480" w:rsidP="00B27480">
      <w:r w:rsidRPr="00B740B4">
        <w:rPr>
          <w:vertAlign w:val="superscript"/>
        </w:rPr>
        <w:t>8</w:t>
      </w:r>
      <w:r w:rsidRPr="00B740B4">
        <w:rPr>
          <w:i/>
        </w:rPr>
        <w:t>But Dani</w:t>
      </w:r>
      <w:r w:rsidR="009A70E5" w:rsidRPr="00B740B4">
        <w:rPr>
          <w:i/>
        </w:rPr>
        <w:t>yy</w:t>
      </w:r>
      <w:r w:rsidRPr="00B740B4">
        <w:rPr>
          <w:i/>
        </w:rPr>
        <w:t>e</w:t>
      </w:r>
      <w:r w:rsidR="009A70E5" w:rsidRPr="00B740B4">
        <w:rPr>
          <w:i/>
        </w:rPr>
        <w:t>’</w:t>
      </w:r>
      <w:r w:rsidRPr="00B740B4">
        <w:rPr>
          <w:i/>
        </w:rPr>
        <w:t>l determined</w:t>
      </w:r>
      <w:r w:rsidR="00114037" w:rsidRPr="00B740B4">
        <w:rPr>
          <w:i/>
        </w:rPr>
        <w:t xml:space="preserve"> in his mind</w:t>
      </w:r>
      <w:r w:rsidRPr="00B740B4">
        <w:rPr>
          <w:vertAlign w:val="superscript"/>
        </w:rPr>
        <w:t>a</w:t>
      </w:r>
      <w:r w:rsidRPr="00B740B4">
        <w:t xml:space="preserve"> </w:t>
      </w:r>
      <w:r w:rsidRPr="00B740B4">
        <w:rPr>
          <w:i/>
        </w:rPr>
        <w:t xml:space="preserve">that he would not contaminate himself with the king’s supplies or </w:t>
      </w:r>
      <w:r w:rsidR="002465A9" w:rsidRPr="00B740B4">
        <w:rPr>
          <w:i/>
        </w:rPr>
        <w:t xml:space="preserve">with </w:t>
      </w:r>
      <w:r w:rsidR="00600A6E" w:rsidRPr="00B740B4">
        <w:rPr>
          <w:i/>
        </w:rPr>
        <w:t>the wine which he drank. H</w:t>
      </w:r>
      <w:r w:rsidRPr="00B740B4">
        <w:rPr>
          <w:i/>
        </w:rPr>
        <w:t xml:space="preserve">e asked the head of staff that he might </w:t>
      </w:r>
      <w:r w:rsidR="00600A6E" w:rsidRPr="00B740B4">
        <w:rPr>
          <w:i/>
        </w:rPr>
        <w:t>not have to contaminate himself,</w:t>
      </w:r>
      <w:r w:rsidRPr="00B740B4">
        <w:t xml:space="preserve"> </w:t>
      </w:r>
      <w:r w:rsidRPr="00B740B4">
        <w:rPr>
          <w:vertAlign w:val="superscript"/>
        </w:rPr>
        <w:t>9</w:t>
      </w:r>
      <w:r w:rsidR="00600A6E" w:rsidRPr="00B740B4">
        <w:rPr>
          <w:i/>
        </w:rPr>
        <w:t>and G</w:t>
      </w:r>
      <w:r w:rsidRPr="00B740B4">
        <w:rPr>
          <w:i/>
        </w:rPr>
        <w:t>od gave</w:t>
      </w:r>
      <w:r w:rsidRPr="00B740B4">
        <w:rPr>
          <w:vertAlign w:val="superscript"/>
        </w:rPr>
        <w:t>a</w:t>
      </w:r>
      <w:r w:rsidRPr="00B740B4">
        <w:t xml:space="preserve"> </w:t>
      </w:r>
      <w:r w:rsidRPr="00B740B4">
        <w:rPr>
          <w:i/>
        </w:rPr>
        <w:t>the head of staff</w:t>
      </w:r>
      <w:r w:rsidRPr="00B740B4">
        <w:rPr>
          <w:vertAlign w:val="superscript"/>
        </w:rPr>
        <w:t>b</w:t>
      </w:r>
      <w:r w:rsidRPr="00B740B4">
        <w:t xml:space="preserve"> </w:t>
      </w:r>
      <w:r w:rsidR="002465A9" w:rsidRPr="00B740B4">
        <w:rPr>
          <w:i/>
        </w:rPr>
        <w:t>commitment and compassion</w:t>
      </w:r>
      <w:r w:rsidRPr="00B740B4">
        <w:rPr>
          <w:vertAlign w:val="superscript"/>
        </w:rPr>
        <w:t>b</w:t>
      </w:r>
      <w:r w:rsidRPr="00B740B4">
        <w:t xml:space="preserve"> </w:t>
      </w:r>
      <w:r w:rsidR="002D4FFF" w:rsidRPr="00B740B4">
        <w:rPr>
          <w:i/>
        </w:rPr>
        <w:t xml:space="preserve">towards </w:t>
      </w:r>
      <w:r w:rsidRPr="00B740B4">
        <w:rPr>
          <w:i/>
        </w:rPr>
        <w:t>Dani</w:t>
      </w:r>
      <w:r w:rsidR="009A70E5" w:rsidRPr="00B740B4">
        <w:rPr>
          <w:i/>
        </w:rPr>
        <w:t>yy</w:t>
      </w:r>
      <w:r w:rsidRPr="00B740B4">
        <w:rPr>
          <w:i/>
        </w:rPr>
        <w:t>e</w:t>
      </w:r>
      <w:r w:rsidR="009A70E5" w:rsidRPr="00B740B4">
        <w:rPr>
          <w:i/>
        </w:rPr>
        <w:t>’</w:t>
      </w:r>
      <w:r w:rsidR="00600A6E" w:rsidRPr="00B740B4">
        <w:rPr>
          <w:i/>
        </w:rPr>
        <w:t>l.</w:t>
      </w:r>
      <w:r w:rsidRPr="00B740B4">
        <w:t xml:space="preserve"> </w:t>
      </w:r>
      <w:r w:rsidRPr="00B740B4">
        <w:rPr>
          <w:vertAlign w:val="superscript"/>
        </w:rPr>
        <w:t>10</w:t>
      </w:r>
      <w:r w:rsidR="00600A6E" w:rsidRPr="00B740B4">
        <w:rPr>
          <w:i/>
        </w:rPr>
        <w:t>B</w:t>
      </w:r>
      <w:r w:rsidR="002465A9" w:rsidRPr="00B740B4">
        <w:rPr>
          <w:i/>
        </w:rPr>
        <w:t>ut the head of staff said to</w:t>
      </w:r>
      <w:r w:rsidRPr="00B740B4">
        <w:rPr>
          <w:i/>
        </w:rPr>
        <w:t xml:space="preserve"> Dani</w:t>
      </w:r>
      <w:r w:rsidR="009A70E5" w:rsidRPr="00B740B4">
        <w:rPr>
          <w:i/>
        </w:rPr>
        <w:t>yy</w:t>
      </w:r>
      <w:r w:rsidRPr="00B740B4">
        <w:rPr>
          <w:i/>
        </w:rPr>
        <w:t>e</w:t>
      </w:r>
      <w:r w:rsidR="009A70E5" w:rsidRPr="00B740B4">
        <w:rPr>
          <w:i/>
        </w:rPr>
        <w:t>’</w:t>
      </w:r>
      <w:r w:rsidR="00EE17F3" w:rsidRPr="00B740B4">
        <w:rPr>
          <w:i/>
        </w:rPr>
        <w:t xml:space="preserve">l, </w:t>
      </w:r>
      <w:r w:rsidR="00934A11" w:rsidRPr="00B740B4">
        <w:rPr>
          <w:i/>
        </w:rPr>
        <w:t>“</w:t>
      </w:r>
      <w:r w:rsidR="00EE17F3" w:rsidRPr="00B740B4">
        <w:rPr>
          <w:i/>
        </w:rPr>
        <w:t>I’</w:t>
      </w:r>
      <w:r w:rsidRPr="00B740B4">
        <w:rPr>
          <w:i/>
        </w:rPr>
        <w:t xml:space="preserve">m afraid of my lord the king, who assigned your food and </w:t>
      </w:r>
      <w:r w:rsidR="002465A9" w:rsidRPr="00B740B4">
        <w:rPr>
          <w:i/>
        </w:rPr>
        <w:t xml:space="preserve">your </w:t>
      </w:r>
      <w:r w:rsidRPr="00B740B4">
        <w:rPr>
          <w:i/>
        </w:rPr>
        <w:t>drink, in case</w:t>
      </w:r>
      <w:r w:rsidRPr="00B740B4">
        <w:rPr>
          <w:vertAlign w:val="superscript"/>
        </w:rPr>
        <w:t>a</w:t>
      </w:r>
      <w:r w:rsidRPr="00B740B4">
        <w:t xml:space="preserve"> </w:t>
      </w:r>
      <w:r w:rsidRPr="00B740B4">
        <w:rPr>
          <w:i/>
        </w:rPr>
        <w:t>he sees your faces looking grim</w:t>
      </w:r>
      <w:r w:rsidRPr="00B740B4">
        <w:rPr>
          <w:vertAlign w:val="superscript"/>
        </w:rPr>
        <w:t>b</w:t>
      </w:r>
      <w:r w:rsidRPr="00B740B4">
        <w:t xml:space="preserve"> </w:t>
      </w:r>
      <w:r w:rsidRPr="00B740B4">
        <w:rPr>
          <w:i/>
        </w:rPr>
        <w:t>compared with the other young men of your group,</w:t>
      </w:r>
      <w:r w:rsidRPr="00B740B4">
        <w:rPr>
          <w:vertAlign w:val="superscript"/>
        </w:rPr>
        <w:t>c</w:t>
      </w:r>
      <w:r w:rsidRPr="00B740B4">
        <w:t xml:space="preserve"> </w:t>
      </w:r>
      <w:r w:rsidRPr="00B740B4">
        <w:rPr>
          <w:i/>
        </w:rPr>
        <w:t>and you forfeit</w:t>
      </w:r>
      <w:r w:rsidRPr="00B740B4">
        <w:rPr>
          <w:vertAlign w:val="superscript"/>
        </w:rPr>
        <w:t>d</w:t>
      </w:r>
      <w:r w:rsidRPr="00B740B4">
        <w:t xml:space="preserve"> </w:t>
      </w:r>
      <w:r w:rsidRPr="00B740B4">
        <w:rPr>
          <w:i/>
        </w:rPr>
        <w:t>my head to the king.</w:t>
      </w:r>
      <w:r w:rsidR="00934A11" w:rsidRPr="00B740B4">
        <w:rPr>
          <w:i/>
        </w:rPr>
        <w:t>”</w:t>
      </w:r>
      <w:r w:rsidRPr="00B740B4">
        <w:t xml:space="preserve"> </w:t>
      </w:r>
    </w:p>
    <w:p w:rsidR="00B27480" w:rsidRPr="00B740B4" w:rsidRDefault="00B27480" w:rsidP="00B27480">
      <w:r w:rsidRPr="00B740B4">
        <w:rPr>
          <w:vertAlign w:val="superscript"/>
        </w:rPr>
        <w:t>11</w:t>
      </w:r>
      <w:r w:rsidRPr="00B740B4">
        <w:rPr>
          <w:i/>
        </w:rPr>
        <w:t>So Dani</w:t>
      </w:r>
      <w:r w:rsidR="009A70E5" w:rsidRPr="00B740B4">
        <w:rPr>
          <w:i/>
        </w:rPr>
        <w:t>yy</w:t>
      </w:r>
      <w:r w:rsidRPr="00B740B4">
        <w:rPr>
          <w:i/>
        </w:rPr>
        <w:t>e</w:t>
      </w:r>
      <w:r w:rsidR="009A70E5" w:rsidRPr="00B740B4">
        <w:rPr>
          <w:i/>
        </w:rPr>
        <w:t>’</w:t>
      </w:r>
      <w:r w:rsidRPr="00B740B4">
        <w:rPr>
          <w:i/>
        </w:rPr>
        <w:t>l said to the guardian</w:t>
      </w:r>
      <w:r w:rsidRPr="00B740B4">
        <w:rPr>
          <w:vertAlign w:val="superscript"/>
        </w:rPr>
        <w:t>a</w:t>
      </w:r>
      <w:r w:rsidRPr="00B740B4">
        <w:t xml:space="preserve"> </w:t>
      </w:r>
      <w:r w:rsidRPr="00B740B4">
        <w:rPr>
          <w:i/>
        </w:rPr>
        <w:t>whom the head of the palace staff had assigned to Dani</w:t>
      </w:r>
      <w:r w:rsidR="009A70E5" w:rsidRPr="00B740B4">
        <w:rPr>
          <w:i/>
        </w:rPr>
        <w:t>yy</w:t>
      </w:r>
      <w:r w:rsidRPr="00B740B4">
        <w:rPr>
          <w:i/>
        </w:rPr>
        <w:t>e</w:t>
      </w:r>
      <w:r w:rsidR="009A70E5" w:rsidRPr="00B740B4">
        <w:rPr>
          <w:i/>
        </w:rPr>
        <w:t xml:space="preserve">’l, </w:t>
      </w:r>
      <w:r w:rsidR="005F68BF">
        <w:rPr>
          <w:i/>
        </w:rPr>
        <w:t>Ḥananyah</w:t>
      </w:r>
      <w:r w:rsidRPr="00B740B4">
        <w:rPr>
          <w:i/>
        </w:rPr>
        <w:t>, Mi</w:t>
      </w:r>
      <w:r w:rsidR="005F68BF">
        <w:rPr>
          <w:i/>
        </w:rPr>
        <w:t>š</w:t>
      </w:r>
      <w:r w:rsidRPr="00B740B4">
        <w:rPr>
          <w:i/>
        </w:rPr>
        <w:t>a</w:t>
      </w:r>
      <w:r w:rsidR="009A70E5" w:rsidRPr="00B740B4">
        <w:rPr>
          <w:i/>
        </w:rPr>
        <w:t xml:space="preserve">’el, and </w:t>
      </w:r>
      <w:r w:rsidR="00B20356">
        <w:rPr>
          <w:i/>
        </w:rPr>
        <w:t>‘Azaryah</w:t>
      </w:r>
      <w:r w:rsidRPr="00B740B4">
        <w:rPr>
          <w:i/>
        </w:rPr>
        <w:t>,</w:t>
      </w:r>
      <w:r w:rsidRPr="00B740B4">
        <w:t xml:space="preserve"> </w:t>
      </w:r>
      <w:r w:rsidRPr="00B740B4">
        <w:rPr>
          <w:vertAlign w:val="superscript"/>
        </w:rPr>
        <w:t>12</w:t>
      </w:r>
      <w:r w:rsidR="00934A11" w:rsidRPr="00B740B4">
        <w:rPr>
          <w:i/>
        </w:rPr>
        <w:t>”</w:t>
      </w:r>
      <w:r w:rsidR="002465A9" w:rsidRPr="00B740B4">
        <w:rPr>
          <w:i/>
        </w:rPr>
        <w:t>Please</w:t>
      </w:r>
      <w:r w:rsidRPr="00B740B4">
        <w:t xml:space="preserve"> </w:t>
      </w:r>
      <w:r w:rsidRPr="00B740B4">
        <w:rPr>
          <w:i/>
        </w:rPr>
        <w:t>test your servants over ten day</w:t>
      </w:r>
      <w:r w:rsidR="002465A9" w:rsidRPr="00B740B4">
        <w:rPr>
          <w:i/>
        </w:rPr>
        <w:t>s.</w:t>
      </w:r>
      <w:r w:rsidR="00EE17F3" w:rsidRPr="00B740B4">
        <w:rPr>
          <w:i/>
        </w:rPr>
        <w:t xml:space="preserve"> They should give us</w:t>
      </w:r>
      <w:r w:rsidRPr="00B740B4">
        <w:rPr>
          <w:i/>
        </w:rPr>
        <w:t xml:space="preserve"> vegetarian food</w:t>
      </w:r>
      <w:r w:rsidR="00AF1370" w:rsidRPr="00B740B4">
        <w:rPr>
          <w:vertAlign w:val="superscript"/>
        </w:rPr>
        <w:t>a</w:t>
      </w:r>
      <w:r w:rsidRPr="00B740B4">
        <w:t xml:space="preserve"> </w:t>
      </w:r>
      <w:r w:rsidRPr="00B740B4">
        <w:rPr>
          <w:i/>
        </w:rPr>
        <w:t>to eat and water to drink,</w:t>
      </w:r>
      <w:r w:rsidRPr="00B740B4">
        <w:t xml:space="preserve"> </w:t>
      </w:r>
      <w:r w:rsidRPr="00B740B4">
        <w:rPr>
          <w:vertAlign w:val="superscript"/>
        </w:rPr>
        <w:t>13</w:t>
      </w:r>
      <w:r w:rsidR="00416728" w:rsidRPr="00B740B4">
        <w:rPr>
          <w:i/>
        </w:rPr>
        <w:t>and o</w:t>
      </w:r>
      <w:r w:rsidRPr="00B740B4">
        <w:rPr>
          <w:i/>
        </w:rPr>
        <w:t>ur appearance and that of the young men who eat the king’s supplies will be visible to you: deal with your servants in accordance with what you see.</w:t>
      </w:r>
      <w:r w:rsidR="00934A11" w:rsidRPr="00B740B4">
        <w:rPr>
          <w:i/>
        </w:rPr>
        <w:t>”</w:t>
      </w:r>
      <w:r w:rsidRPr="00B740B4">
        <w:rPr>
          <w:vertAlign w:val="superscript"/>
        </w:rPr>
        <w:t>a</w:t>
      </w:r>
      <w:r w:rsidRPr="00B740B4">
        <w:t xml:space="preserve"> </w:t>
      </w:r>
      <w:r w:rsidRPr="00B740B4">
        <w:rPr>
          <w:vertAlign w:val="superscript"/>
        </w:rPr>
        <w:t>I4</w:t>
      </w:r>
      <w:r w:rsidRPr="00B740B4">
        <w:rPr>
          <w:i/>
        </w:rPr>
        <w:t xml:space="preserve">He </w:t>
      </w:r>
      <w:r w:rsidRPr="00B740B4">
        <w:rPr>
          <w:i/>
        </w:rPr>
        <w:lastRenderedPageBreak/>
        <w:t>heard them on this point and tested them over ten days.</w:t>
      </w:r>
      <w:r w:rsidRPr="00B740B4">
        <w:t xml:space="preserve"> </w:t>
      </w:r>
      <w:r w:rsidRPr="00B740B4">
        <w:rPr>
          <w:vertAlign w:val="superscript"/>
        </w:rPr>
        <w:t>15</w:t>
      </w:r>
      <w:r w:rsidRPr="00B740B4">
        <w:rPr>
          <w:i/>
        </w:rPr>
        <w:t>At the end of ten days their appearance looked bett</w:t>
      </w:r>
      <w:r w:rsidR="00416728" w:rsidRPr="00B740B4">
        <w:rPr>
          <w:i/>
        </w:rPr>
        <w:t>er and their bodies better-built</w:t>
      </w:r>
      <w:r w:rsidRPr="00B740B4">
        <w:rPr>
          <w:i/>
        </w:rPr>
        <w:t xml:space="preserve"> than all</w:t>
      </w:r>
      <w:r w:rsidRPr="00B740B4">
        <w:rPr>
          <w:vertAlign w:val="superscript"/>
        </w:rPr>
        <w:t>a</w:t>
      </w:r>
      <w:r w:rsidRPr="00B740B4">
        <w:t xml:space="preserve"> </w:t>
      </w:r>
      <w:r w:rsidRPr="00B740B4">
        <w:rPr>
          <w:i/>
        </w:rPr>
        <w:t>the young men who had been eating the king’s supplies.</w:t>
      </w:r>
      <w:r w:rsidRPr="00B740B4">
        <w:t xml:space="preserve"> </w:t>
      </w:r>
      <w:r w:rsidRPr="00B740B4">
        <w:rPr>
          <w:vertAlign w:val="superscript"/>
        </w:rPr>
        <w:t>16</w:t>
      </w:r>
      <w:r w:rsidRPr="00B740B4">
        <w:rPr>
          <w:i/>
        </w:rPr>
        <w:t>So the guardian continued to ta</w:t>
      </w:r>
      <w:r w:rsidR="002E3F9B" w:rsidRPr="00B740B4">
        <w:rPr>
          <w:i/>
        </w:rPr>
        <w:t>ke off</w:t>
      </w:r>
      <w:r w:rsidRPr="00B740B4">
        <w:rPr>
          <w:vertAlign w:val="superscript"/>
        </w:rPr>
        <w:t>a</w:t>
      </w:r>
      <w:r w:rsidRPr="00B740B4">
        <w:t xml:space="preserve"> </w:t>
      </w:r>
      <w:r w:rsidRPr="00B740B4">
        <w:rPr>
          <w:i/>
        </w:rPr>
        <w:t>their supplies and the wine they were to drink and to give</w:t>
      </w:r>
      <w:r w:rsidRPr="00B740B4">
        <w:rPr>
          <w:vertAlign w:val="superscript"/>
        </w:rPr>
        <w:t>a</w:t>
      </w:r>
      <w:r w:rsidRPr="00B740B4">
        <w:t xml:space="preserve"> </w:t>
      </w:r>
      <w:r w:rsidRPr="00B740B4">
        <w:rPr>
          <w:i/>
        </w:rPr>
        <w:t>them vegetarian food.</w:t>
      </w:r>
    </w:p>
    <w:p w:rsidR="0007010C" w:rsidRPr="00B740B4" w:rsidRDefault="00B27480" w:rsidP="00B27480">
      <w:r w:rsidRPr="00B740B4">
        <w:rPr>
          <w:vertAlign w:val="superscript"/>
        </w:rPr>
        <w:t>17</w:t>
      </w:r>
      <w:r w:rsidRPr="00B740B4">
        <w:rPr>
          <w:i/>
        </w:rPr>
        <w:t>To these same four young men God gave knowledge and discernment</w:t>
      </w:r>
      <w:r w:rsidRPr="00B740B4">
        <w:rPr>
          <w:vertAlign w:val="superscript"/>
        </w:rPr>
        <w:t>a</w:t>
      </w:r>
      <w:r w:rsidRPr="00B740B4">
        <w:t xml:space="preserve"> </w:t>
      </w:r>
      <w:r w:rsidRPr="00B740B4">
        <w:rPr>
          <w:i/>
        </w:rPr>
        <w:t xml:space="preserve">in all </w:t>
      </w:r>
      <w:r w:rsidR="002465A9" w:rsidRPr="00B740B4">
        <w:rPr>
          <w:i/>
        </w:rPr>
        <w:t>k</w:t>
      </w:r>
      <w:r w:rsidR="00962BBD" w:rsidRPr="00B740B4">
        <w:rPr>
          <w:i/>
        </w:rPr>
        <w:t>inds of literature and expertise</w:t>
      </w:r>
      <w:r w:rsidRPr="00B740B4">
        <w:rPr>
          <w:i/>
        </w:rPr>
        <w:t>, while Dani</w:t>
      </w:r>
      <w:r w:rsidR="009A70E5" w:rsidRPr="00B740B4">
        <w:rPr>
          <w:i/>
        </w:rPr>
        <w:t>yy</w:t>
      </w:r>
      <w:r w:rsidRPr="00B740B4">
        <w:rPr>
          <w:i/>
        </w:rPr>
        <w:t>el in particular gained insight into all kinds of visions and dreams.</w:t>
      </w:r>
      <w:r w:rsidRPr="00B740B4">
        <w:t xml:space="preserve"> </w:t>
      </w:r>
      <w:r w:rsidRPr="00B740B4">
        <w:rPr>
          <w:vertAlign w:val="superscript"/>
        </w:rPr>
        <w:t>18</w:t>
      </w:r>
      <w:r w:rsidRPr="00B740B4">
        <w:rPr>
          <w:i/>
        </w:rPr>
        <w:t xml:space="preserve">At the end of the period </w:t>
      </w:r>
      <w:r w:rsidR="002465A9" w:rsidRPr="00B740B4">
        <w:rPr>
          <w:i/>
        </w:rPr>
        <w:t>which the king had said to bring them</w:t>
      </w:r>
      <w:r w:rsidRPr="00B740B4">
        <w:rPr>
          <w:i/>
        </w:rPr>
        <w:t xml:space="preserve"> in, the head of staff </w:t>
      </w:r>
      <w:r w:rsidR="00E02FCD" w:rsidRPr="00B740B4">
        <w:rPr>
          <w:i/>
        </w:rPr>
        <w:t xml:space="preserve">brought them before </w:t>
      </w:r>
      <w:r w:rsidR="0007010C" w:rsidRPr="00B740B4">
        <w:rPr>
          <w:i/>
          <w:lang w:val="en-GB"/>
        </w:rPr>
        <w:t>Nebukadne’</w:t>
      </w:r>
      <w:r w:rsidR="0007010C" w:rsidRPr="00B740B4">
        <w:rPr>
          <w:i/>
        </w:rPr>
        <w:t>ṣṣ</w:t>
      </w:r>
      <w:r w:rsidR="0007010C" w:rsidRPr="00B740B4">
        <w:rPr>
          <w:i/>
          <w:lang w:val="en-GB"/>
        </w:rPr>
        <w:t>ar</w:t>
      </w:r>
      <w:r w:rsidR="00E02FCD" w:rsidRPr="00B740B4">
        <w:rPr>
          <w:i/>
        </w:rPr>
        <w:t>.</w:t>
      </w:r>
      <w:r w:rsidRPr="00B740B4">
        <w:t xml:space="preserve"> </w:t>
      </w:r>
      <w:r w:rsidRPr="00B740B4">
        <w:rPr>
          <w:vertAlign w:val="superscript"/>
        </w:rPr>
        <w:t>19</w:t>
      </w:r>
      <w:r w:rsidR="00B20356">
        <w:rPr>
          <w:i/>
        </w:rPr>
        <w:t>The king spoke</w:t>
      </w:r>
      <w:r w:rsidRPr="00B740B4">
        <w:rPr>
          <w:i/>
        </w:rPr>
        <w:t xml:space="preserve"> with them, and there proved to be</w:t>
      </w:r>
      <w:r w:rsidRPr="00B740B4">
        <w:rPr>
          <w:vertAlign w:val="superscript"/>
        </w:rPr>
        <w:t>a</w:t>
      </w:r>
      <w:r w:rsidRPr="00B740B4">
        <w:t xml:space="preserve"> </w:t>
      </w:r>
      <w:r w:rsidRPr="00B740B4">
        <w:rPr>
          <w:i/>
        </w:rPr>
        <w:t>not one of them like Dani</w:t>
      </w:r>
      <w:r w:rsidR="009A70E5" w:rsidRPr="00B740B4">
        <w:rPr>
          <w:i/>
        </w:rPr>
        <w:t>yy</w:t>
      </w:r>
      <w:r w:rsidRPr="00B740B4">
        <w:rPr>
          <w:i/>
        </w:rPr>
        <w:t>e</w:t>
      </w:r>
      <w:r w:rsidR="009A70E5" w:rsidRPr="00B740B4">
        <w:rPr>
          <w:i/>
        </w:rPr>
        <w:t xml:space="preserve">’l, </w:t>
      </w:r>
      <w:r w:rsidR="005F68BF">
        <w:rPr>
          <w:i/>
        </w:rPr>
        <w:t>Ḥananyah</w:t>
      </w:r>
      <w:r w:rsidRPr="00B740B4">
        <w:rPr>
          <w:i/>
        </w:rPr>
        <w:t>, Mi</w:t>
      </w:r>
      <w:r w:rsidR="005F68BF">
        <w:rPr>
          <w:i/>
        </w:rPr>
        <w:t>š</w:t>
      </w:r>
      <w:r w:rsidRPr="00B740B4">
        <w:rPr>
          <w:i/>
        </w:rPr>
        <w:t>a</w:t>
      </w:r>
      <w:r w:rsidR="009A70E5" w:rsidRPr="00B740B4">
        <w:rPr>
          <w:i/>
        </w:rPr>
        <w:t xml:space="preserve">’el, and </w:t>
      </w:r>
      <w:r w:rsidR="00B20356">
        <w:rPr>
          <w:i/>
        </w:rPr>
        <w:t>‘Azaryah</w:t>
      </w:r>
      <w:r w:rsidRPr="00B740B4">
        <w:rPr>
          <w:i/>
        </w:rPr>
        <w:t xml:space="preserve">. So they took their place </w:t>
      </w:r>
      <w:r w:rsidR="00E02FCD" w:rsidRPr="00B740B4">
        <w:rPr>
          <w:i/>
        </w:rPr>
        <w:t>before the king</w:t>
      </w:r>
      <w:r w:rsidRPr="00B740B4">
        <w:rPr>
          <w:i/>
        </w:rPr>
        <w:t>,</w:t>
      </w:r>
      <w:r w:rsidRPr="00B740B4">
        <w:rPr>
          <w:vertAlign w:val="superscript"/>
        </w:rPr>
        <w:t>b</w:t>
      </w:r>
      <w:r w:rsidRPr="00B740B4">
        <w:t xml:space="preserve"> </w:t>
      </w:r>
      <w:r w:rsidRPr="00B740B4">
        <w:rPr>
          <w:vertAlign w:val="superscript"/>
        </w:rPr>
        <w:t>20</w:t>
      </w:r>
      <w:r w:rsidRPr="00B740B4">
        <w:rPr>
          <w:i/>
        </w:rPr>
        <w:t>and on</w:t>
      </w:r>
      <w:r w:rsidR="0007010C" w:rsidRPr="00B740B4">
        <w:rPr>
          <w:i/>
        </w:rPr>
        <w:t xml:space="preserve"> </w:t>
      </w:r>
      <w:r w:rsidR="00962BBD" w:rsidRPr="00B740B4">
        <w:rPr>
          <w:i/>
        </w:rPr>
        <w:t xml:space="preserve">every matter requiring </w:t>
      </w:r>
      <w:r w:rsidR="00423485">
        <w:rPr>
          <w:i/>
        </w:rPr>
        <w:t xml:space="preserve">insightful </w:t>
      </w:r>
      <w:r w:rsidR="00962BBD" w:rsidRPr="00B740B4">
        <w:rPr>
          <w:i/>
        </w:rPr>
        <w:t>expertise</w:t>
      </w:r>
      <w:r w:rsidRPr="00B740B4">
        <w:rPr>
          <w:vertAlign w:val="superscript"/>
        </w:rPr>
        <w:t>a</w:t>
      </w:r>
      <w:r w:rsidR="00E02FCD" w:rsidRPr="00B740B4">
        <w:rPr>
          <w:vertAlign w:val="superscript"/>
        </w:rPr>
        <w:t xml:space="preserve"> </w:t>
      </w:r>
      <w:r w:rsidRPr="00B740B4">
        <w:rPr>
          <w:i/>
        </w:rPr>
        <w:t>t</w:t>
      </w:r>
      <w:r w:rsidR="00E02FCD" w:rsidRPr="00B740B4">
        <w:rPr>
          <w:i/>
        </w:rPr>
        <w:t>hat t</w:t>
      </w:r>
      <w:r w:rsidRPr="00B740B4">
        <w:rPr>
          <w:i/>
        </w:rPr>
        <w:t>he king asked them</w:t>
      </w:r>
      <w:r w:rsidR="00E02FCD" w:rsidRPr="00B740B4">
        <w:rPr>
          <w:i/>
        </w:rPr>
        <w:t xml:space="preserve"> about</w:t>
      </w:r>
      <w:r w:rsidRPr="00B740B4">
        <w:rPr>
          <w:i/>
        </w:rPr>
        <w:t>, he found them ten times superior to all the diviners (the chanters)</w:t>
      </w:r>
      <w:r w:rsidRPr="00B740B4">
        <w:rPr>
          <w:vertAlign w:val="superscript"/>
        </w:rPr>
        <w:t>b</w:t>
      </w:r>
      <w:r w:rsidRPr="00B740B4">
        <w:t xml:space="preserve"> </w:t>
      </w:r>
      <w:r w:rsidRPr="00B740B4">
        <w:rPr>
          <w:i/>
        </w:rPr>
        <w:t>in all his realm.</w:t>
      </w:r>
      <w:r w:rsidR="006B31C8" w:rsidRPr="00B740B4">
        <w:rPr>
          <w:i/>
          <w:vertAlign w:val="superscript"/>
        </w:rPr>
        <w:t>c</w:t>
      </w:r>
      <w:r w:rsidRPr="00B740B4">
        <w:t xml:space="preserve"> </w:t>
      </w:r>
    </w:p>
    <w:p w:rsidR="00B27480" w:rsidRPr="00B740B4" w:rsidRDefault="00B27480" w:rsidP="00B27480">
      <w:r w:rsidRPr="00B740B4">
        <w:rPr>
          <w:vertAlign w:val="superscript"/>
        </w:rPr>
        <w:t>21</w:t>
      </w:r>
      <w:r w:rsidRPr="00B740B4">
        <w:rPr>
          <w:i/>
        </w:rPr>
        <w:t>Dani</w:t>
      </w:r>
      <w:r w:rsidR="009A70E5" w:rsidRPr="00B740B4">
        <w:rPr>
          <w:i/>
        </w:rPr>
        <w:t>yy</w:t>
      </w:r>
      <w:r w:rsidRPr="00B740B4">
        <w:rPr>
          <w:i/>
        </w:rPr>
        <w:t>e</w:t>
      </w:r>
      <w:r w:rsidR="009A70E5" w:rsidRPr="00B740B4">
        <w:rPr>
          <w:i/>
        </w:rPr>
        <w:t>’</w:t>
      </w:r>
      <w:r w:rsidRPr="00B740B4">
        <w:rPr>
          <w:i/>
        </w:rPr>
        <w:t>l was there</w:t>
      </w:r>
      <w:r w:rsidRPr="00B740B4">
        <w:rPr>
          <w:vertAlign w:val="superscript"/>
        </w:rPr>
        <w:t>a</w:t>
      </w:r>
      <w:r w:rsidRPr="00B740B4">
        <w:t xml:space="preserve"> </w:t>
      </w:r>
      <w:r w:rsidR="00EE17F3" w:rsidRPr="00B740B4">
        <w:rPr>
          <w:i/>
        </w:rPr>
        <w:t>unt</w:t>
      </w:r>
      <w:r w:rsidR="00257463">
        <w:rPr>
          <w:i/>
        </w:rPr>
        <w:t>il the first year of King Koreš</w:t>
      </w:r>
      <w:r w:rsidRPr="00B740B4">
        <w:rPr>
          <w:i/>
        </w:rPr>
        <w:t>.</w:t>
      </w:r>
      <w:r w:rsidRPr="00B740B4">
        <w:rPr>
          <w:vertAlign w:val="superscript"/>
        </w:rPr>
        <w:t>b</w:t>
      </w:r>
    </w:p>
    <w:p w:rsidR="008C70A4" w:rsidRPr="00B740B4" w:rsidRDefault="008C70A4" w:rsidP="009479B1">
      <w:pPr>
        <w:pStyle w:val="Heading2"/>
      </w:pPr>
      <w:r w:rsidRPr="00B740B4">
        <w:t>Notes</w:t>
      </w:r>
    </w:p>
    <w:p w:rsidR="008C70A4" w:rsidRPr="00B740B4" w:rsidRDefault="008C70A4" w:rsidP="008C70A4">
      <w:r w:rsidRPr="00B740B4">
        <w:t>1.a. The name is spelled in various ways in Dan</w:t>
      </w:r>
      <w:r w:rsidR="00AF422C">
        <w:t>iel</w:t>
      </w:r>
      <w:r w:rsidRPr="00B740B4">
        <w:t xml:space="preserve"> and elsewhere in the OT (see BDB). The most significant variant is </w:t>
      </w:r>
      <w:r w:rsidRPr="00B740B4">
        <w:rPr>
          <w:rFonts w:ascii="Arial" w:hAnsi="Arial" w:cs="Arial"/>
        </w:rPr>
        <w:t>נבוכדראצר</w:t>
      </w:r>
      <w:r w:rsidRPr="00B740B4">
        <w:t xml:space="preserve"> (</w:t>
      </w:r>
      <w:r w:rsidRPr="00B740B4">
        <w:rPr>
          <w:i/>
          <w:lang w:val="en-GB"/>
        </w:rPr>
        <w:t>Nebukadre’</w:t>
      </w:r>
      <w:r w:rsidRPr="00B740B4">
        <w:rPr>
          <w:i/>
        </w:rPr>
        <w:t>ṣṣ</w:t>
      </w:r>
      <w:r w:rsidRPr="00B740B4">
        <w:rPr>
          <w:i/>
          <w:lang w:val="en-GB"/>
        </w:rPr>
        <w:t>ar</w:t>
      </w:r>
      <w:r w:rsidRPr="00B740B4">
        <w:t>), which predominates in Jer</w:t>
      </w:r>
      <w:r w:rsidR="00AF422C">
        <w:t>emiah and</w:t>
      </w:r>
      <w:r w:rsidRPr="00B740B4">
        <w:t xml:space="preserve"> Ezek</w:t>
      </w:r>
      <w:r w:rsidR="00AF422C">
        <w:t>iel</w:t>
      </w:r>
      <w:r w:rsidRPr="00B740B4">
        <w:t xml:space="preserve"> and is closer to Akk. </w:t>
      </w:r>
      <w:r w:rsidRPr="00B740B4">
        <w:rPr>
          <w:i/>
        </w:rPr>
        <w:t>nabu-kudurru-uṣur</w:t>
      </w:r>
      <w:r w:rsidRPr="00B740B4">
        <w:t xml:space="preserve"> (with its own variants), a prayer or confession “Nabu protect(s) the eldest son.” </w:t>
      </w:r>
      <w:r w:rsidRPr="00B740B4">
        <w:rPr>
          <w:i/>
        </w:rPr>
        <w:t>Kudurru</w:t>
      </w:r>
      <w:r w:rsidRPr="00B740B4">
        <w:t xml:space="preserve"> also refers to the boundary stone which marks land grants (see Oppenheim, </w:t>
      </w:r>
      <w:r w:rsidR="00AF422C">
        <w:rPr>
          <w:i/>
        </w:rPr>
        <w:t xml:space="preserve">Ancient </w:t>
      </w:r>
      <w:r w:rsidRPr="00B740B4">
        <w:rPr>
          <w:i/>
        </w:rPr>
        <w:t>Mesopotamia</w:t>
      </w:r>
      <w:r w:rsidRPr="00B740B4">
        <w:t xml:space="preserve">, 206–87; Saggs, </w:t>
      </w:r>
      <w:r w:rsidR="00AF422C">
        <w:rPr>
          <w:i/>
        </w:rPr>
        <w:t xml:space="preserve">The Greatness that Was </w:t>
      </w:r>
      <w:r w:rsidRPr="00B740B4">
        <w:rPr>
          <w:i/>
        </w:rPr>
        <w:t>Babylon</w:t>
      </w:r>
      <w:r w:rsidRPr="00B740B4">
        <w:t xml:space="preserve">, plate 21A), a possible alternative meaning here. The switch in the name’s Heb. spelling can be explained philologically (Berger, “Der Kyros-Zylinder,” 227–30), but van Selms (“The Name Nebuchadnezzar,” 223–27) suggests that </w:t>
      </w:r>
      <w:r w:rsidRPr="00B740B4">
        <w:rPr>
          <w:lang w:val="en-GB"/>
        </w:rPr>
        <w:t>Nebukadne’</w:t>
      </w:r>
      <w:r w:rsidRPr="00B740B4">
        <w:t>ṣṣ</w:t>
      </w:r>
      <w:r w:rsidRPr="00B740B4">
        <w:rPr>
          <w:lang w:val="en-GB"/>
        </w:rPr>
        <w:t>ar</w:t>
      </w:r>
      <w:r w:rsidRPr="00B740B4">
        <w:t xml:space="preserve"> corresponds to </w:t>
      </w:r>
      <w:r w:rsidRPr="00B740B4">
        <w:rPr>
          <w:i/>
        </w:rPr>
        <w:t>Nabu-ku̇danu-uṣur</w:t>
      </w:r>
      <w:r w:rsidRPr="00B740B4">
        <w:t xml:space="preserve">, “Nabu protect(s) the </w:t>
      </w:r>
      <w:r w:rsidRPr="00B740B4">
        <w:rPr>
          <w:i/>
        </w:rPr>
        <w:t>mule</w:t>
      </w:r>
      <w:r w:rsidRPr="00B740B4">
        <w:t xml:space="preserve">,” a corruption devised among opposition groups in Babylon which would naturally appeal to foreigners such as Judahites (cf. the malicious corruption of names in v 7). The suggestion that the name is spelled thus to give it the same numerical value as </w:t>
      </w:r>
      <w:r w:rsidRPr="00B740B4">
        <w:rPr>
          <w:rFonts w:ascii="Arial" w:hAnsi="Arial" w:cs="Arial"/>
        </w:rPr>
        <w:t>ס</w:t>
      </w:r>
      <w:r w:rsidRPr="00B740B4">
        <w:t xml:space="preserve"> </w:t>
      </w:r>
      <w:r w:rsidRPr="00B740B4">
        <w:rPr>
          <w:rFonts w:ascii="Arial" w:hAnsi="Arial" w:cs="Arial"/>
        </w:rPr>
        <w:t xml:space="preserve">אפיפנ </w:t>
      </w:r>
      <w:r w:rsidR="00AF422C" w:rsidRPr="00AF422C">
        <w:rPr>
          <w:rFonts w:ascii="Arial" w:hAnsi="Arial" w:cs="Arial"/>
        </w:rPr>
        <w:t>ס</w:t>
      </w:r>
      <w:r w:rsidR="00AF422C">
        <w:rPr>
          <w:rFonts w:ascii="Arial" w:hAnsi="Arial" w:cs="Arial"/>
        </w:rPr>
        <w:t xml:space="preserve"> </w:t>
      </w:r>
      <w:r w:rsidRPr="00B740B4">
        <w:rPr>
          <w:rFonts w:ascii="Arial" w:hAnsi="Arial" w:cs="Arial"/>
        </w:rPr>
        <w:t>וכו</w:t>
      </w:r>
      <w:r w:rsidR="00AF422C">
        <w:rPr>
          <w:rFonts w:ascii="Arial" w:hAnsi="Arial" w:cs="Arial"/>
        </w:rPr>
        <w:t xml:space="preserve"> </w:t>
      </w:r>
      <w:r w:rsidR="00AF422C" w:rsidRPr="00AF422C">
        <w:rPr>
          <w:rFonts w:ascii="Arial" w:hAnsi="Arial" w:cs="Arial"/>
        </w:rPr>
        <w:t>טי</w:t>
      </w:r>
      <w:r w:rsidR="00AF422C">
        <w:rPr>
          <w:rFonts w:ascii="Arial" w:hAnsi="Arial" w:cs="Arial"/>
        </w:rPr>
        <w:t xml:space="preserve"> </w:t>
      </w:r>
      <w:r w:rsidRPr="00B740B4">
        <w:rPr>
          <w:rFonts w:ascii="Arial" w:hAnsi="Arial" w:cs="Arial"/>
        </w:rPr>
        <w:t>אנ</w:t>
      </w:r>
      <w:r w:rsidRPr="00B740B4">
        <w:t xml:space="preserve"> (Antiochus Epiphanes) (Cornill, “Die siebzig Jahrwochen Daniels,” 31) depends on </w:t>
      </w:r>
      <w:r w:rsidRPr="00B740B4">
        <w:rPr>
          <w:rFonts w:ascii="Arial" w:hAnsi="Arial" w:cs="Arial"/>
        </w:rPr>
        <w:t>פ</w:t>
      </w:r>
      <w:r w:rsidRPr="00B740B4">
        <w:t xml:space="preserve"> = 70, whereas </w:t>
      </w:r>
      <w:r w:rsidRPr="00B740B4">
        <w:rPr>
          <w:rFonts w:ascii="Arial" w:hAnsi="Arial" w:cs="Arial"/>
        </w:rPr>
        <w:t>פ</w:t>
      </w:r>
      <w:r w:rsidR="00AF422C">
        <w:t xml:space="preserve"> = 80 (see Goldingay,</w:t>
      </w:r>
      <w:r w:rsidRPr="00B740B4">
        <w:t xml:space="preserve"> “</w:t>
      </w:r>
      <w:r w:rsidRPr="00B740B4">
        <w:rPr>
          <w:rFonts w:eastAsiaTheme="minorHAnsi"/>
        </w:rPr>
        <w:t xml:space="preserve">Nebuchadnezzar </w:t>
      </w:r>
      <w:r w:rsidRPr="00B740B4">
        <w:rPr>
          <w:rFonts w:eastAsiaTheme="minorHAnsi" w:cs="Arial"/>
        </w:rPr>
        <w:t xml:space="preserve">= </w:t>
      </w:r>
      <w:r w:rsidRPr="00B740B4">
        <w:rPr>
          <w:rFonts w:eastAsiaTheme="minorHAnsi"/>
        </w:rPr>
        <w:t>Antiochus Epiphanes?”).</w:t>
      </w:r>
    </w:p>
    <w:p w:rsidR="008C70A4" w:rsidRPr="00B740B4" w:rsidRDefault="008C70A4" w:rsidP="008C70A4">
      <w:r w:rsidRPr="00B740B4">
        <w:t xml:space="preserve">1.b. </w:t>
      </w:r>
      <w:r w:rsidRPr="00B740B4">
        <w:rPr>
          <w:rFonts w:ascii="Arial" w:hAnsi="Arial" w:cs="Arial"/>
        </w:rPr>
        <w:t>בא</w:t>
      </w:r>
      <w:r w:rsidRPr="00B740B4">
        <w:t>: at this point the story adopts a Jerusalem perspe</w:t>
      </w:r>
      <w:r w:rsidR="00AF422C">
        <w:t>ctive, but the verb recurs in v</w:t>
      </w:r>
      <w:r w:rsidRPr="00B740B4">
        <w:t xml:space="preserve"> 2 with Babylon as the destination.</w:t>
      </w:r>
    </w:p>
    <w:p w:rsidR="008C70A4" w:rsidRPr="00B740B4" w:rsidRDefault="008C70A4" w:rsidP="008C70A4">
      <w:r w:rsidRPr="00B740B4">
        <w:t xml:space="preserve">2.a. </w:t>
      </w:r>
      <w:r w:rsidRPr="00B740B4">
        <w:rPr>
          <w:rFonts w:ascii="Arial" w:hAnsi="Arial" w:cs="Arial"/>
        </w:rPr>
        <w:t>אדני</w:t>
      </w:r>
      <w:r w:rsidRPr="00B740B4">
        <w:t xml:space="preserve"> (except in some medieval mss), not </w:t>
      </w:r>
      <w:r w:rsidRPr="00B740B4">
        <w:rPr>
          <w:rFonts w:ascii="Arial" w:hAnsi="Arial" w:cs="Arial"/>
        </w:rPr>
        <w:t>יהוה</w:t>
      </w:r>
      <w:r w:rsidRPr="00B740B4">
        <w:t xml:space="preserve"> “Yahweh”: see </w:t>
      </w:r>
      <w:r w:rsidRPr="00B740B4">
        <w:rPr>
          <w:i/>
        </w:rPr>
        <w:t>Comment</w:t>
      </w:r>
      <w:r w:rsidRPr="00B740B4">
        <w:t xml:space="preserve">. If the expression could be understood as “my lord” as an alternative to “the Lord of all” (see e.g., </w:t>
      </w:r>
      <w:r w:rsidRPr="00B740B4">
        <w:rPr>
          <w:i/>
        </w:rPr>
        <w:t>DCH</w:t>
      </w:r>
      <w:r w:rsidRPr="00B740B4">
        <w:t xml:space="preserve">; contrast </w:t>
      </w:r>
      <w:r w:rsidRPr="00B740B4">
        <w:rPr>
          <w:i/>
        </w:rPr>
        <w:t xml:space="preserve">IBHS </w:t>
      </w:r>
      <w:r w:rsidRPr="00B740B4">
        <w:t xml:space="preserve">7.4.3ef; O. Eissfeldt in </w:t>
      </w:r>
      <w:r w:rsidRPr="00B740B4">
        <w:rPr>
          <w:i/>
        </w:rPr>
        <w:t>TWAT</w:t>
      </w:r>
      <w:r w:rsidRPr="00B740B4">
        <w:t>), then here the contrast with “his god” might suggest “my Lord.”</w:t>
      </w:r>
    </w:p>
    <w:p w:rsidR="008C70A4" w:rsidRPr="00B740B4" w:rsidRDefault="008C70A4" w:rsidP="008C70A4">
      <w:r w:rsidRPr="00B740B4">
        <w:t xml:space="preserve">2.b. The strong expression </w:t>
      </w:r>
      <w:r w:rsidRPr="00B740B4">
        <w:rPr>
          <w:rFonts w:ascii="Arial" w:hAnsi="Arial" w:cs="Arial"/>
        </w:rPr>
        <w:t>בידו</w:t>
      </w:r>
      <w:r w:rsidRPr="00B740B4">
        <w:t xml:space="preserve"> . . . </w:t>
      </w:r>
      <w:r w:rsidRPr="00B740B4">
        <w:rPr>
          <w:rFonts w:ascii="Arial" w:hAnsi="Arial" w:cs="Arial"/>
        </w:rPr>
        <w:t>ויתן</w:t>
      </w:r>
      <w:r w:rsidRPr="00B740B4">
        <w:t xml:space="preserve"> “he gave . . . into his hand” suggests a defeat rather than a submission (Driver); so in 2 Chr 36:17, whence it comes.</w:t>
      </w:r>
    </w:p>
    <w:p w:rsidR="008C70A4" w:rsidRPr="00B740B4" w:rsidRDefault="008C70A4" w:rsidP="008C70A4">
      <w:r w:rsidRPr="00B740B4">
        <w:t xml:space="preserve">2.c. </w:t>
      </w:r>
      <w:r w:rsidRPr="00B740B4">
        <w:rPr>
          <w:rFonts w:ascii="Arial" w:hAnsi="Arial" w:cs="Arial"/>
        </w:rPr>
        <w:t>מקצת</w:t>
      </w:r>
      <w:r w:rsidRPr="00B740B4">
        <w:t xml:space="preserve"> (“part of the extremity”; BDB, 892b, 500b, GKC 20m; G, Vg, Syr). “The costliest of” (Ehrlich) is difficult to parallel with </w:t>
      </w:r>
      <w:r w:rsidRPr="00B740B4">
        <w:rPr>
          <w:rFonts w:ascii="Arial" w:hAnsi="Arial" w:cs="Arial"/>
        </w:rPr>
        <w:t>קצת</w:t>
      </w:r>
      <w:r w:rsidRPr="00B740B4">
        <w:t xml:space="preserve"> or </w:t>
      </w:r>
      <w:r w:rsidRPr="00B740B4">
        <w:rPr>
          <w:rFonts w:ascii="Arial" w:hAnsi="Arial" w:cs="Arial"/>
        </w:rPr>
        <w:t>קצה</w:t>
      </w:r>
      <w:r w:rsidRPr="00B740B4">
        <w:t xml:space="preserve">, though “all of” (Meek, “Translation Problems in the OT,” 45–47; Haag, </w:t>
      </w:r>
      <w:r w:rsidRPr="00B740B4">
        <w:rPr>
          <w:i/>
        </w:rPr>
        <w:t>Daniel</w:t>
      </w:r>
      <w:r w:rsidRPr="00B740B4">
        <w:t>, 23) is possible (BDB, 892a). Pillaging</w:t>
      </w:r>
      <w:r w:rsidR="00CB63F4">
        <w:t xml:space="preserve"> of the temple was not </w:t>
      </w:r>
      <w:r w:rsidRPr="00B740B4">
        <w:t>completed until 587, as the OT narrative which Dan</w:t>
      </w:r>
      <w:r w:rsidR="00CB63F4">
        <w:t>iel</w:t>
      </w:r>
      <w:r w:rsidRPr="00B740B4">
        <w:t xml:space="preserve"> is following recognizes, but perhaps Dan</w:t>
      </w:r>
      <w:r w:rsidR="00CB63F4">
        <w:t>iel</w:t>
      </w:r>
      <w:r w:rsidRPr="00B740B4">
        <w:t xml:space="preserve"> is conflating the accounts.</w:t>
      </w:r>
    </w:p>
    <w:p w:rsidR="008C70A4" w:rsidRPr="00B740B4" w:rsidRDefault="008C70A4" w:rsidP="008C70A4">
      <w:r w:rsidRPr="00B740B4">
        <w:t xml:space="preserve">2.d. </w:t>
      </w:r>
      <w:r w:rsidRPr="00B740B4">
        <w:rPr>
          <w:rFonts w:ascii="Arial" w:hAnsi="Arial" w:cs="Arial"/>
        </w:rPr>
        <w:t>כלים</w:t>
      </w:r>
      <w:r w:rsidRPr="00B740B4">
        <w:t xml:space="preserve"> can cover furniture, utensils, and equipment generally (cf. the account in Jer 52:17–23) as well as “vessels” (EVV).</w:t>
      </w:r>
    </w:p>
    <w:p w:rsidR="008C70A4" w:rsidRPr="00B740B4" w:rsidRDefault="008C70A4" w:rsidP="008C70A4">
      <w:r w:rsidRPr="00B740B4">
        <w:t xml:space="preserve">2.e. Taking </w:t>
      </w:r>
      <w:r w:rsidRPr="00B740B4">
        <w:rPr>
          <w:rFonts w:ascii="Arial" w:hAnsi="Arial" w:cs="Arial"/>
        </w:rPr>
        <w:t>ויביאם</w:t>
      </w:r>
      <w:r w:rsidRPr="00B740B4">
        <w:t xml:space="preserve"> as </w:t>
      </w:r>
      <w:r w:rsidRPr="00B740B4">
        <w:rPr>
          <w:i/>
        </w:rPr>
        <w:t>waw</w:t>
      </w:r>
      <w:r w:rsidRPr="00B740B4">
        <w:t xml:space="preserve"> apodosis following its </w:t>
      </w:r>
      <w:r w:rsidR="00CB63F4">
        <w:t xml:space="preserve">extraposed </w:t>
      </w:r>
      <w:r w:rsidRPr="00B740B4">
        <w:t xml:space="preserve">object (Charles, cf. GKC 111h, 143d, so also </w:t>
      </w:r>
      <w:r w:rsidR="00CB63F4">
        <w:t xml:space="preserve">the </w:t>
      </w:r>
      <w:r w:rsidRPr="00B740B4">
        <w:t>Mosul ed. of Syr according to Kallarakkal, 156–57); the construction recurs in the Heb. of Dan</w:t>
      </w:r>
      <w:r w:rsidR="00CB63F4">
        <w:t>iel</w:t>
      </w:r>
      <w:r w:rsidRPr="00B740B4">
        <w:t xml:space="preserve"> (1:10, 20). EVV imply that Nebuchadnezzar put both articles and king in his temple, which is odd. In 2 Chr 36:6–7, which Dan is following, </w:t>
      </w:r>
      <w:r w:rsidRPr="00B740B4">
        <w:rPr>
          <w:rFonts w:ascii="Arial" w:hAnsi="Arial" w:cs="Arial"/>
        </w:rPr>
        <w:t>הביא</w:t>
      </w:r>
      <w:r w:rsidRPr="00B740B4">
        <w:t xml:space="preserve"> “he brought” refers only to the temple articles; G, Vg, make that explicit here by using a neuter pr</w:t>
      </w:r>
      <w:r w:rsidR="00CB63F4">
        <w:t>onoun.</w:t>
      </w:r>
    </w:p>
    <w:p w:rsidR="008C70A4" w:rsidRPr="00B740B4" w:rsidRDefault="008C70A4" w:rsidP="008C70A4">
      <w:r w:rsidRPr="00B740B4">
        <w:t xml:space="preserve">2.f. </w:t>
      </w:r>
      <w:r w:rsidRPr="00B740B4">
        <w:rPr>
          <w:rFonts w:ascii="Arial" w:hAnsi="Arial" w:cs="Arial"/>
        </w:rPr>
        <w:t>אלהיו בית</w:t>
      </w:r>
      <w:r w:rsidRPr="00B740B4">
        <w:t>, without prep</w:t>
      </w:r>
      <w:r w:rsidR="00353087">
        <w:t>osition</w:t>
      </w:r>
      <w:r w:rsidRPr="00B740B4">
        <w:t>. Thus Jeffery has “to Shinar, the house of his god.” Hos 8:1; 9:3-4, 15 might parallel the idea of the coun</w:t>
      </w:r>
      <w:r w:rsidR="00353087">
        <w:t>try as the god’s house, but that</w:t>
      </w:r>
      <w:r w:rsidRPr="00B740B4">
        <w:t xml:space="preserve"> idea is unnatural here, given </w:t>
      </w:r>
      <w:r w:rsidRPr="00B740B4">
        <w:lastRenderedPageBreak/>
        <w:t xml:space="preserve">the allusions to temples. OG lacks the phrase, but for </w:t>
      </w:r>
      <w:r w:rsidRPr="00B740B4">
        <w:rPr>
          <w:rFonts w:ascii="Arial" w:hAnsi="Arial" w:cs="Arial"/>
        </w:rPr>
        <w:t>אלהיו</w:t>
      </w:r>
      <w:r w:rsidRPr="00B740B4">
        <w:t xml:space="preserve"> </w:t>
      </w:r>
      <w:r w:rsidRPr="00B740B4">
        <w:rPr>
          <w:rFonts w:ascii="Arial" w:hAnsi="Arial" w:cs="Arial"/>
        </w:rPr>
        <w:t>אוצר</w:t>
      </w:r>
      <w:r w:rsidRPr="00B740B4">
        <w:t xml:space="preserve"> </w:t>
      </w:r>
      <w:r w:rsidRPr="00B740B4">
        <w:rPr>
          <w:rFonts w:ascii="Arial" w:hAnsi="Arial" w:cs="Arial"/>
        </w:rPr>
        <w:t>בית</w:t>
      </w:r>
      <w:r w:rsidRPr="00B740B4">
        <w:t xml:space="preserve"> “his god’s treasury” it has ἐν τῷ εἰδωλείῳ αὐτοῦ, which may cover both phrases; it hardly implies that OG’s original lacked the first (against BHS). Syr has both expressions but makes a simil</w:t>
      </w:r>
      <w:r w:rsidR="00353087">
        <w:t>ar theological judgment to OG’s</w:t>
      </w:r>
      <w:r w:rsidRPr="00B740B4">
        <w:t xml:space="preserve"> by referring to the “god” as an “idol” (cf. Taylor, </w:t>
      </w:r>
      <w:r w:rsidRPr="00B740B4">
        <w:rPr>
          <w:i/>
        </w:rPr>
        <w:t>Peshitṭa</w:t>
      </w:r>
      <w:r w:rsidRPr="00B740B4">
        <w:t>, 41).</w:t>
      </w:r>
      <w:r w:rsidRPr="00B740B4">
        <w:rPr>
          <w:i/>
        </w:rPr>
        <w:t xml:space="preserve"> </w:t>
      </w:r>
      <w:r w:rsidRPr="00B740B4">
        <w:t>On Dan</w:t>
      </w:r>
      <w:r w:rsidR="00353087">
        <w:t>iel</w:t>
      </w:r>
      <w:r w:rsidRPr="00B740B4">
        <w:t xml:space="preserve">’s combining syntactical inelegance (Driver) with careful choice of expressions, see </w:t>
      </w:r>
      <w:r w:rsidRPr="00B740B4">
        <w:rPr>
          <w:i/>
        </w:rPr>
        <w:t>Structure</w:t>
      </w:r>
      <w:r w:rsidRPr="00B740B4">
        <w:t xml:space="preserve">. Words such as </w:t>
      </w:r>
      <w:r w:rsidRPr="00B740B4">
        <w:rPr>
          <w:rFonts w:ascii="Arial" w:hAnsi="Arial" w:cs="Arial"/>
        </w:rPr>
        <w:t>אלהיו</w:t>
      </w:r>
      <w:r w:rsidRPr="00B740B4">
        <w:t xml:space="preserve"> are often ambiguous in number; JB rende</w:t>
      </w:r>
      <w:r w:rsidR="00353087">
        <w:t>rs “gods.” See n. 3:25.b, n. 4:8</w:t>
      </w:r>
      <w:r w:rsidRPr="00B740B4">
        <w:t>.c.</w:t>
      </w:r>
    </w:p>
    <w:p w:rsidR="008C70A4" w:rsidRPr="00B740B4" w:rsidRDefault="008C70A4" w:rsidP="008C70A4">
      <w:r w:rsidRPr="00B740B4">
        <w:t xml:space="preserve">2.g. In emphatic position before the verb (cf. n. 2.e). The clause explains more specifically where the vessels were put; the </w:t>
      </w:r>
      <w:r w:rsidRPr="00B740B4">
        <w:rPr>
          <w:i/>
        </w:rPr>
        <w:t>waw</w:t>
      </w:r>
      <w:r w:rsidR="00353087">
        <w:t xml:space="preserve"> is explicative (see n. 6:28</w:t>
      </w:r>
      <w:r w:rsidRPr="00B740B4">
        <w:t>.a).</w:t>
      </w:r>
    </w:p>
    <w:p w:rsidR="008C70A4" w:rsidRPr="00B740B4" w:rsidRDefault="008C70A4" w:rsidP="008C70A4">
      <w:r w:rsidRPr="00B740B4">
        <w:t xml:space="preserve">3.a. </w:t>
      </w:r>
      <w:r w:rsidRPr="00B740B4">
        <w:rPr>
          <w:rFonts w:ascii="Arial" w:hAnsi="Arial" w:cs="Arial"/>
        </w:rPr>
        <w:t>אשפנז</w:t>
      </w:r>
      <w:r w:rsidRPr="00B740B4">
        <w:t xml:space="preserve">: apparently in origin a Persian word which could suggest “guest-master” or the like (cf. Koch, </w:t>
      </w:r>
      <w:r w:rsidRPr="00B740B4">
        <w:rPr>
          <w:i/>
        </w:rPr>
        <w:t>Daniel 1—4</w:t>
      </w:r>
      <w:r w:rsidRPr="00B740B4">
        <w:t>, 2-3</w:t>
      </w:r>
      <w:r w:rsidRPr="00B740B4">
        <w:rPr>
          <w:i/>
        </w:rPr>
        <w:t xml:space="preserve"> </w:t>
      </w:r>
      <w:r w:rsidRPr="00B740B4">
        <w:t xml:space="preserve">). But it is followed by another word that denotes a member of the king’s staff (though it might be an explanatory addition) and it lacks an article or suffix (contrast the other loan word in </w:t>
      </w:r>
      <w:r w:rsidR="00AF422C">
        <w:t>v</w:t>
      </w:r>
      <w:r w:rsidRPr="00B740B4">
        <w:t xml:space="preserve"> 11 as well as the other words for members of the king’s staff in the chapter), which suggests that G, Th, Vg, Syr are right to take it as a term that has been turned into a proper name (see Lacocque); it is known as a name elsewhere (cf. Collins, </w:t>
      </w:r>
      <w:r w:rsidRPr="00B740B4">
        <w:rPr>
          <w:i/>
        </w:rPr>
        <w:t>Daniel</w:t>
      </w:r>
      <w:r w:rsidRPr="00B740B4">
        <w:t>, 134). On OG Αbιεσδρι see Montgomery.</w:t>
      </w:r>
    </w:p>
    <w:p w:rsidR="008C70A4" w:rsidRPr="00B740B4" w:rsidRDefault="008C70A4" w:rsidP="008C70A4">
      <w:r w:rsidRPr="00B740B4">
        <w:t xml:space="preserve">3.b. </w:t>
      </w:r>
      <w:r w:rsidRPr="00B740B4">
        <w:rPr>
          <w:rFonts w:ascii="Arial" w:hAnsi="Arial" w:cs="Arial"/>
        </w:rPr>
        <w:t>סריס</w:t>
      </w:r>
      <w:r w:rsidRPr="00B740B4">
        <w:t xml:space="preserve"> comes from Akk. </w:t>
      </w:r>
      <w:r w:rsidRPr="00B740B4">
        <w:rPr>
          <w:i/>
        </w:rPr>
        <w:t>ša-reši</w:t>
      </w:r>
      <w:r w:rsidRPr="00B740B4">
        <w:t xml:space="preserve"> “he who is the head”. It can mean “eunuch” (cf. G, Vg; many oriental palace staff were eunuchs), but it need not, and as a term for royal officials, it can apply to members of the Israelite/Judahite court, though it is esp. used for foreign officials.</w:t>
      </w:r>
    </w:p>
    <w:p w:rsidR="008C70A4" w:rsidRPr="00B740B4" w:rsidRDefault="008C70A4" w:rsidP="008C70A4">
      <w:r w:rsidRPr="00B740B4">
        <w:t xml:space="preserve">3.c. </w:t>
      </w:r>
      <w:r w:rsidRPr="00B740B4">
        <w:rPr>
          <w:rFonts w:ascii="Arial" w:hAnsi="Arial" w:cs="Arial"/>
        </w:rPr>
        <w:t>להביא</w:t>
      </w:r>
      <w:r w:rsidR="00353087">
        <w:t>, as in v 2. V</w:t>
      </w:r>
      <w:r w:rsidRPr="00B740B4">
        <w:t xml:space="preserve"> 2 describes the bringing of the vessels, v 3 that of the young men (Keil); cf. the reference in 5:13. EVV give </w:t>
      </w:r>
      <w:r w:rsidRPr="00B740B4">
        <w:rPr>
          <w:rFonts w:ascii="Arial" w:hAnsi="Arial" w:cs="Arial"/>
        </w:rPr>
        <w:t>הביא</w:t>
      </w:r>
      <w:r w:rsidRPr="00B740B4">
        <w:t xml:space="preserve"> here a different meaning, referring to taking within Babylon, not taking to Babylon.</w:t>
      </w:r>
    </w:p>
    <w:p w:rsidR="008C70A4" w:rsidRPr="00B740B4" w:rsidRDefault="008C70A4" w:rsidP="008C70A4">
      <w:r w:rsidRPr="00B740B4">
        <w:t xml:space="preserve">3.d. </w:t>
      </w:r>
      <w:r w:rsidRPr="00B740B4">
        <w:rPr>
          <w:rFonts w:ascii="Arial" w:hAnsi="Arial" w:cs="Arial"/>
        </w:rPr>
        <w:t>ישראל בני</w:t>
      </w:r>
      <w:r w:rsidRPr="00B740B4">
        <w:t>. NEB “Israelite exiles” apparently follows Th τῆς αἰχμαλωσ</w:t>
      </w:r>
      <w:r w:rsidRPr="00B740B4">
        <w:rPr>
          <w:lang w:val="el-GR"/>
        </w:rPr>
        <w:t>ί</w:t>
      </w:r>
      <w:r w:rsidRPr="00B740B4">
        <w:t>ας Ισραηλ—surely a gloss from the similar expression in, e.g., 2:25 (Young).</w:t>
      </w:r>
    </w:p>
    <w:p w:rsidR="008C70A4" w:rsidRPr="00B740B4" w:rsidRDefault="008C70A4" w:rsidP="008C70A4">
      <w:r w:rsidRPr="00B740B4">
        <w:t xml:space="preserve">3.e-e. The sense suggests this </w:t>
      </w:r>
      <w:r w:rsidR="00353087">
        <w:t xml:space="preserve">phrase </w:t>
      </w:r>
      <w:r w:rsidRPr="00B740B4">
        <w:t xml:space="preserve">qualifies </w:t>
      </w:r>
      <w:r w:rsidRPr="00B740B4">
        <w:rPr>
          <w:rFonts w:ascii="Arial" w:hAnsi="Arial" w:cs="Arial"/>
        </w:rPr>
        <w:t>ישראל</w:t>
      </w:r>
      <w:r w:rsidRPr="00B740B4">
        <w:t xml:space="preserve"> </w:t>
      </w:r>
      <w:r w:rsidRPr="00B740B4">
        <w:rPr>
          <w:rFonts w:ascii="Arial" w:hAnsi="Arial" w:cs="Arial"/>
        </w:rPr>
        <w:t>בני</w:t>
      </w:r>
      <w:r w:rsidRPr="00B740B4">
        <w:t xml:space="preserve"> rather than adding extra groups (against Stone, “A Note on Daniel i. 3.”). Some medieval mss omit </w:t>
      </w:r>
      <w:r w:rsidRPr="00B740B4">
        <w:rPr>
          <w:i/>
        </w:rPr>
        <w:t>waw</w:t>
      </w:r>
      <w:r w:rsidR="00353087">
        <w:t>—explicative (see n. 6:28</w:t>
      </w:r>
      <w:r w:rsidRPr="00B740B4">
        <w:t xml:space="preserve">.a); hardly “both” (against GKC 154a). Sym and Syr took the unusual OP word </w:t>
      </w:r>
      <w:r w:rsidRPr="00B740B4">
        <w:rPr>
          <w:rFonts w:ascii="Arial" w:hAnsi="Arial" w:cs="Arial"/>
        </w:rPr>
        <w:t xml:space="preserve">ם י מ ת ר פ </w:t>
      </w:r>
      <w:r w:rsidRPr="00B740B4">
        <w:t>(“people of rank”) to denote the Parthians (Th simply transliterates it).</w:t>
      </w:r>
    </w:p>
    <w:p w:rsidR="008C70A4" w:rsidRPr="00B740B4" w:rsidRDefault="008C70A4" w:rsidP="008C70A4">
      <w:r w:rsidRPr="00B740B4">
        <w:t xml:space="preserve">4.a. </w:t>
      </w:r>
      <w:r w:rsidRPr="00B740B4">
        <w:rPr>
          <w:rFonts w:ascii="Arial" w:hAnsi="Arial" w:cs="Arial"/>
        </w:rPr>
        <w:t>ילדים</w:t>
      </w:r>
      <w:r w:rsidRPr="00B740B4">
        <w:t xml:space="preserve"> covers males from birth to marriage.</w:t>
      </w:r>
    </w:p>
    <w:p w:rsidR="008C70A4" w:rsidRPr="00B740B4" w:rsidRDefault="008C70A4" w:rsidP="008C70A4">
      <w:r w:rsidRPr="00B740B4">
        <w:t xml:space="preserve">4.b. </w:t>
      </w:r>
      <w:r w:rsidRPr="00B740B4">
        <w:rPr>
          <w:rFonts w:ascii="Arial" w:hAnsi="Arial" w:cs="Arial"/>
        </w:rPr>
        <w:t>מאום</w:t>
      </w:r>
      <w:r w:rsidRPr="00B740B4">
        <w:t xml:space="preserve">, as in Job 31:7. In both places it is surely equivalent to </w:t>
      </w:r>
      <w:r w:rsidRPr="00B740B4">
        <w:rPr>
          <w:rFonts w:ascii="Arial" w:hAnsi="Arial" w:cs="Arial"/>
        </w:rPr>
        <w:t>מום</w:t>
      </w:r>
      <w:r w:rsidRPr="00B740B4">
        <w:t xml:space="preserve"> (so Q and many medieval mss), not </w:t>
      </w:r>
      <w:r w:rsidRPr="00B740B4">
        <w:rPr>
          <w:rFonts w:ascii="Arial" w:hAnsi="Arial" w:cs="Arial"/>
        </w:rPr>
        <w:t>מאום</w:t>
      </w:r>
      <w:r w:rsidRPr="00B740B4">
        <w:t xml:space="preserve"> “something [against them]” (against Ehrlich). Each word can denote a moral, not just a physical defect; both connotations may be allowed here (with </w:t>
      </w:r>
      <w:r w:rsidR="00F93B7B">
        <w:t>Ehrlich). Torrey (“Stray Notes</w:t>
      </w:r>
      <w:r w:rsidRPr="00B740B4">
        <w:t>,” 229) takes it as a mixed form.</w:t>
      </w:r>
    </w:p>
    <w:p w:rsidR="008C70A4" w:rsidRPr="00B740B4" w:rsidRDefault="008C70A4" w:rsidP="008C70A4">
      <w:r w:rsidRPr="00B740B4">
        <w:t>4.c. Lit. “standing” (i.e., as servants).</w:t>
      </w:r>
    </w:p>
    <w:p w:rsidR="008C70A4" w:rsidRPr="00B740B4" w:rsidRDefault="008C70A4" w:rsidP="008C70A4">
      <w:r w:rsidRPr="00B740B4">
        <w:t xml:space="preserve">4.d. Taking </w:t>
      </w:r>
      <w:r w:rsidRPr="00B740B4">
        <w:rPr>
          <w:rFonts w:ascii="Arial" w:hAnsi="Arial" w:cs="Arial"/>
        </w:rPr>
        <w:t>וללמדם</w:t>
      </w:r>
      <w:r w:rsidRPr="00B740B4">
        <w:t xml:space="preserve"> as dependent on </w:t>
      </w:r>
      <w:r w:rsidRPr="00B740B4">
        <w:rPr>
          <w:rFonts w:ascii="Arial" w:hAnsi="Arial" w:cs="Arial"/>
        </w:rPr>
        <w:t>ויאמר</w:t>
      </w:r>
      <w:r w:rsidRPr="00B740B4">
        <w:t xml:space="preserve"> “said” (v 3), in parallel to </w:t>
      </w:r>
      <w:r w:rsidRPr="00B740B4">
        <w:rPr>
          <w:rFonts w:ascii="Arial" w:hAnsi="Arial" w:cs="Arial"/>
        </w:rPr>
        <w:t>להביא</w:t>
      </w:r>
      <w:r w:rsidRPr="00B740B4">
        <w:t xml:space="preserve"> “to bring”; though one might ignore MT accents and see </w:t>
      </w:r>
      <w:r w:rsidRPr="00B740B4">
        <w:rPr>
          <w:rFonts w:ascii="Arial" w:hAnsi="Arial" w:cs="Arial"/>
        </w:rPr>
        <w:t>וללמדם</w:t>
      </w:r>
      <w:r w:rsidRPr="00B740B4">
        <w:t xml:space="preserve"> as dependent on </w:t>
      </w:r>
      <w:r w:rsidRPr="00B740B4">
        <w:rPr>
          <w:rFonts w:ascii="Arial" w:hAnsi="Arial" w:cs="Arial"/>
        </w:rPr>
        <w:t>כח</w:t>
      </w:r>
      <w:r w:rsidRPr="00B740B4">
        <w:t xml:space="preserve"> “capability,” in parallel to </w:t>
      </w:r>
      <w:r w:rsidRPr="00B740B4">
        <w:rPr>
          <w:rFonts w:ascii="Arial" w:hAnsi="Arial" w:cs="Arial"/>
        </w:rPr>
        <w:t>לעמד</w:t>
      </w:r>
      <w:r w:rsidRPr="00B740B4">
        <w:t xml:space="preserve"> “of taking a place”—hence “and of being taught” (cf. GKC 115e and note). But see n. 5.c.</w:t>
      </w:r>
    </w:p>
    <w:p w:rsidR="008C70A4" w:rsidRPr="00B740B4" w:rsidRDefault="008C70A4" w:rsidP="008C70A4">
      <w:r w:rsidRPr="00B740B4">
        <w:t>4.e-e. Two constructs dependent on one absolute, perhaps as a stereotyped phrase (DG 36, remark 2) and/or as constituting a unit (JM 129a, note 5); against MT, OG, and GKC 120a.</w:t>
      </w:r>
    </w:p>
    <w:p w:rsidR="008C70A4" w:rsidRPr="00B740B4" w:rsidRDefault="008C70A4" w:rsidP="008C70A4">
      <w:r w:rsidRPr="00B740B4">
        <w:t xml:space="preserve">5.a. </w:t>
      </w:r>
      <w:r w:rsidRPr="00B740B4">
        <w:rPr>
          <w:rFonts w:ascii="Arial" w:hAnsi="Arial" w:cs="Arial"/>
        </w:rPr>
        <w:t>ביומו</w:t>
      </w:r>
      <w:r w:rsidRPr="00B740B4">
        <w:t xml:space="preserve"> </w:t>
      </w:r>
      <w:r w:rsidRPr="00B740B4">
        <w:rPr>
          <w:rFonts w:ascii="Arial" w:hAnsi="Arial" w:cs="Arial"/>
        </w:rPr>
        <w:t>יום</w:t>
      </w:r>
      <w:r w:rsidRPr="00B740B4">
        <w:t xml:space="preserve"> </w:t>
      </w:r>
      <w:r w:rsidRPr="00B740B4">
        <w:rPr>
          <w:rFonts w:ascii="Arial" w:hAnsi="Arial" w:cs="Arial"/>
        </w:rPr>
        <w:t>דבר</w:t>
      </w:r>
      <w:r w:rsidRPr="00B740B4">
        <w:t>, “the thing of a day in its day.”</w:t>
      </w:r>
    </w:p>
    <w:p w:rsidR="008C70A4" w:rsidRPr="00B740B4" w:rsidRDefault="008C70A4" w:rsidP="008C70A4">
      <w:r w:rsidRPr="00B740B4">
        <w:t xml:space="preserve">5.b. Whereas a Cairo Geniza ms has </w:t>
      </w:r>
      <w:r w:rsidRPr="00B740B4">
        <w:rPr>
          <w:rFonts w:ascii="Arial" w:hAnsi="Arial" w:cs="Arial"/>
        </w:rPr>
        <w:t>פתבג</w:t>
      </w:r>
      <w:r w:rsidRPr="00B740B4">
        <w:t xml:space="preserve">, L hyphenates the word, suggesting a link between the Persian word and BH </w:t>
      </w:r>
      <w:r w:rsidRPr="00B740B4">
        <w:rPr>
          <w:rFonts w:ascii="Arial" w:hAnsi="Arial" w:cs="Arial"/>
        </w:rPr>
        <w:t>פת</w:t>
      </w:r>
      <w:r w:rsidRPr="00B740B4">
        <w:t xml:space="preserve"> “morsel.” Syriac </w:t>
      </w:r>
      <w:r w:rsidRPr="00B740B4">
        <w:rPr>
          <w:i/>
        </w:rPr>
        <w:t>ptbg</w:t>
      </w:r>
      <w:r w:rsidRPr="00B740B4">
        <w:t xml:space="preserve"> came to suggest rich food, but this is misleading here (against RSV).</w:t>
      </w:r>
    </w:p>
    <w:p w:rsidR="008C70A4" w:rsidRPr="00B740B4" w:rsidRDefault="008C70A4" w:rsidP="008C70A4">
      <w:r w:rsidRPr="00B740B4">
        <w:t xml:space="preserve">5.c. </w:t>
      </w:r>
      <w:r w:rsidRPr="00B740B4">
        <w:rPr>
          <w:rFonts w:ascii="Arial" w:hAnsi="Arial" w:cs="Arial"/>
        </w:rPr>
        <w:t xml:space="preserve">ולגדלם </w:t>
      </w:r>
      <w:r w:rsidRPr="00B740B4">
        <w:rPr>
          <w:rFonts w:cs="Arial"/>
        </w:rPr>
        <w:t>(</w:t>
      </w:r>
      <w:r w:rsidR="006C6327">
        <w:rPr>
          <w:rFonts w:cs="Arial"/>
        </w:rPr>
        <w:t>“</w:t>
      </w:r>
      <w:r w:rsidRPr="006C6327">
        <w:rPr>
          <w:rFonts w:cs="Arial"/>
        </w:rPr>
        <w:t>educate</w:t>
      </w:r>
      <w:r w:rsidRPr="00B740B4">
        <w:rPr>
          <w:rFonts w:cs="Arial"/>
        </w:rPr>
        <w:t>,</w:t>
      </w:r>
      <w:r w:rsidR="006C6327">
        <w:rPr>
          <w:rFonts w:cs="Arial"/>
        </w:rPr>
        <w:t>”</w:t>
      </w:r>
      <w:r w:rsidRPr="00B740B4">
        <w:rPr>
          <w:rFonts w:cs="Arial"/>
        </w:rPr>
        <w:t xml:space="preserve"> with OG, rather than </w:t>
      </w:r>
      <w:r w:rsidR="006C6327">
        <w:rPr>
          <w:rFonts w:cs="Arial"/>
        </w:rPr>
        <w:t>“</w:t>
      </w:r>
      <w:r w:rsidRPr="006C6327">
        <w:rPr>
          <w:rFonts w:cs="Arial"/>
        </w:rPr>
        <w:t>nurture</w:t>
      </w:r>
      <w:r w:rsidRPr="00B740B4">
        <w:rPr>
          <w:rFonts w:cs="Arial"/>
        </w:rPr>
        <w:t>,</w:t>
      </w:r>
      <w:r w:rsidR="006C6327">
        <w:rPr>
          <w:rFonts w:cs="Arial"/>
        </w:rPr>
        <w:t>”</w:t>
      </w:r>
      <w:r w:rsidRPr="00B740B4">
        <w:rPr>
          <w:rFonts w:cs="Arial"/>
        </w:rPr>
        <w:t xml:space="preserve"> with Th, Vg, Syr)</w:t>
      </w:r>
      <w:r w:rsidRPr="00B740B4">
        <w:t xml:space="preserve">, apparently another verb implicitly dependent on </w:t>
      </w:r>
      <w:r w:rsidRPr="00B740B4">
        <w:rPr>
          <w:rFonts w:ascii="Arial" w:hAnsi="Arial" w:cs="Arial"/>
        </w:rPr>
        <w:t>ויאמר</w:t>
      </w:r>
      <w:r w:rsidRPr="00B740B4">
        <w:t xml:space="preserve"> in v 3. Segal (</w:t>
      </w:r>
      <w:r w:rsidRPr="00B740B4">
        <w:rPr>
          <w:i/>
        </w:rPr>
        <w:t>Dreams, Riddles, and Visions</w:t>
      </w:r>
      <w:r w:rsidRPr="00B740B4">
        <w:t xml:space="preserve">) makes the syntactical breakdown in </w:t>
      </w:r>
      <w:r w:rsidR="00AF422C">
        <w:t>v</w:t>
      </w:r>
      <w:r w:rsidRPr="00B740B4">
        <w:t xml:space="preserve"> 5 his starting point for an analysis of the chapter’s redaction (cf. Redditt, </w:t>
      </w:r>
      <w:r w:rsidRPr="00B740B4">
        <w:rPr>
          <w:i/>
        </w:rPr>
        <w:t>Daniel</w:t>
      </w:r>
      <w:r w:rsidRPr="00B740B4">
        <w:t>, 42-48).</w:t>
      </w:r>
    </w:p>
    <w:p w:rsidR="008C70A4" w:rsidRPr="00B740B4" w:rsidRDefault="008C70A4" w:rsidP="008C70A4">
      <w:r w:rsidRPr="00B740B4">
        <w:t xml:space="preserve">5.d. Giving </w:t>
      </w:r>
      <w:r w:rsidRPr="00B740B4">
        <w:rPr>
          <w:rFonts w:ascii="Arial" w:hAnsi="Arial" w:cs="Arial"/>
        </w:rPr>
        <w:t>מקצת</w:t>
      </w:r>
      <w:r w:rsidRPr="00B740B4">
        <w:t xml:space="preserve"> the same sense as in v 2 and referring its suffix to that of </w:t>
      </w:r>
      <w:r w:rsidRPr="00B740B4">
        <w:rPr>
          <w:rFonts w:ascii="Arial" w:hAnsi="Arial" w:cs="Arial"/>
        </w:rPr>
        <w:t>לגדלם</w:t>
      </w:r>
      <w:r w:rsidRPr="00B740B4">
        <w:t xml:space="preserve"> “to train them”; cf. OG, Ps-Saadia, NEB (though NEB takes it to mean “all of them” both times: see n. 2.d.). Th, Vg, Syr take it to mean “at the end of them” (the three years), giving </w:t>
      </w:r>
      <w:r w:rsidRPr="00B740B4">
        <w:rPr>
          <w:rFonts w:ascii="Arial" w:hAnsi="Arial" w:cs="Arial"/>
        </w:rPr>
        <w:t>מקצת</w:t>
      </w:r>
      <w:r w:rsidRPr="00B740B4">
        <w:t xml:space="preserve"> the meaning it has in vv 15, 18; but the suffix is m, whereas </w:t>
      </w:r>
      <w:r w:rsidRPr="00B740B4">
        <w:rPr>
          <w:rFonts w:ascii="Arial" w:hAnsi="Arial" w:cs="Arial"/>
        </w:rPr>
        <w:t>שנים</w:t>
      </w:r>
      <w:r w:rsidRPr="00B740B4">
        <w:t xml:space="preserve"> “years” is f (though see GKC 135o).</w:t>
      </w:r>
    </w:p>
    <w:p w:rsidR="008C70A4" w:rsidRPr="00B740B4" w:rsidRDefault="008C70A4" w:rsidP="008C70A4">
      <w:r w:rsidRPr="00B740B4">
        <w:lastRenderedPageBreak/>
        <w:t xml:space="preserve">6.a. </w:t>
      </w:r>
      <w:r w:rsidRPr="00B740B4">
        <w:rPr>
          <w:rFonts w:ascii="Arial" w:hAnsi="Arial" w:cs="Arial"/>
        </w:rPr>
        <w:t>ויהי</w:t>
      </w:r>
      <w:r w:rsidRPr="00B740B4">
        <w:t xml:space="preserve"> followed by pl. subject (GKC 145o). A sebir (marginal note) has </w:t>
      </w:r>
      <w:r w:rsidRPr="00B740B4">
        <w:rPr>
          <w:rFonts w:ascii="Arial" w:hAnsi="Arial" w:cs="Arial"/>
        </w:rPr>
        <w:t>ויהיו</w:t>
      </w:r>
      <w:r w:rsidRPr="00B740B4">
        <w:t xml:space="preserve"> (cf. OG, Vg).</w:t>
      </w:r>
    </w:p>
    <w:p w:rsidR="008C70A4" w:rsidRPr="00B740B4" w:rsidRDefault="008C70A4" w:rsidP="008C70A4">
      <w:r w:rsidRPr="00B740B4">
        <w:t xml:space="preserve">7.a. </w:t>
      </w:r>
      <w:r w:rsidR="006C6327">
        <w:t xml:space="preserve">Whereas </w:t>
      </w:r>
      <w:r w:rsidRPr="00B740B4">
        <w:t xml:space="preserve">MT repeats </w:t>
      </w:r>
      <w:r w:rsidRPr="00B740B4">
        <w:rPr>
          <w:rFonts w:ascii="Arial" w:hAnsi="Arial" w:cs="Arial"/>
        </w:rPr>
        <w:t>וישם</w:t>
      </w:r>
      <w:r w:rsidRPr="00B740B4">
        <w:t xml:space="preserve">, Syr has </w:t>
      </w:r>
      <w:r w:rsidRPr="00B740B4">
        <w:rPr>
          <w:i/>
        </w:rPr>
        <w:t>qr˒</w:t>
      </w:r>
      <w:r w:rsidRPr="00B740B4">
        <w:t xml:space="preserve"> rather than repeating </w:t>
      </w:r>
      <w:r w:rsidRPr="00B740B4">
        <w:rPr>
          <w:i/>
        </w:rPr>
        <w:t>šmy</w:t>
      </w:r>
      <w:r w:rsidR="006C6327">
        <w:t>, and G, Vg omit the verb to make the sentence smoother</w:t>
      </w:r>
      <w:r w:rsidRPr="00B740B4">
        <w:t xml:space="preserve">; </w:t>
      </w:r>
      <w:r w:rsidR="006C6327">
        <w:t xml:space="preserve">but </w:t>
      </w:r>
      <w:r w:rsidRPr="00B740B4">
        <w:t xml:space="preserve">see </w:t>
      </w:r>
      <w:r w:rsidRPr="00B740B4">
        <w:rPr>
          <w:i/>
        </w:rPr>
        <w:t>Structure</w:t>
      </w:r>
      <w:r w:rsidRPr="00B740B4">
        <w:t>.</w:t>
      </w:r>
    </w:p>
    <w:p w:rsidR="008C70A4" w:rsidRPr="00B740B4" w:rsidRDefault="008C70A4" w:rsidP="008C70A4">
      <w:r w:rsidRPr="00B740B4">
        <w:t xml:space="preserve">7.b-b. The names are difficult. </w:t>
      </w:r>
      <w:r w:rsidRPr="00B740B4">
        <w:rPr>
          <w:rFonts w:ascii="Arial" w:hAnsi="Arial" w:cs="Arial"/>
        </w:rPr>
        <w:t>בלטשאצר</w:t>
      </w:r>
      <w:r w:rsidRPr="00B740B4">
        <w:t xml:space="preserve"> (with variants), Akk. </w:t>
      </w:r>
      <w:r w:rsidRPr="00B740B4">
        <w:rPr>
          <w:i/>
        </w:rPr>
        <w:t>?balaṭsu-uṣur</w:t>
      </w:r>
      <w:r w:rsidRPr="00B740B4">
        <w:t xml:space="preserve">, “protect his life,” presupposes a divine name, presumably Bel (cf. MT’s vocalization; see </w:t>
      </w:r>
      <w:r w:rsidRPr="00B740B4">
        <w:rPr>
          <w:i/>
        </w:rPr>
        <w:t xml:space="preserve">Comment </w:t>
      </w:r>
      <w:r w:rsidRPr="00B740B4">
        <w:t xml:space="preserve">on </w:t>
      </w:r>
      <w:r w:rsidR="00AF422C">
        <w:t>v</w:t>
      </w:r>
      <w:r w:rsidRPr="00B740B4">
        <w:t xml:space="preserve"> 2). </w:t>
      </w:r>
      <w:r w:rsidR="007B5DF9">
        <w:t>‘</w:t>
      </w:r>
      <w:r w:rsidRPr="00B740B4">
        <w:t xml:space="preserve">Abed Nego is a corruption of </w:t>
      </w:r>
      <w:r w:rsidR="007B5DF9">
        <w:t>‘</w:t>
      </w:r>
      <w:r w:rsidR="007B5DF9">
        <w:rPr>
          <w:i/>
        </w:rPr>
        <w:t xml:space="preserve">abed </w:t>
      </w:r>
      <w:r w:rsidRPr="00B740B4">
        <w:rPr>
          <w:i/>
        </w:rPr>
        <w:t>nabu</w:t>
      </w:r>
      <w:r w:rsidRPr="00B740B4">
        <w:t>, “servant of Nabu.” For suggestions regarding Shadrak and Meshak, see Barr; Lacocque; Montgomery; Berger, “Der Kyros-Zylinder,” 224–25; Zadok, “On Five Iranian Names in the OT</w:t>
      </w:r>
      <w:r w:rsidR="006C6327">
        <w:t>.” The difficulties suggest</w:t>
      </w:r>
      <w:r w:rsidRPr="00B740B4">
        <w:t xml:space="preserve"> deliberate corruption to heighten the paganism of foreign</w:t>
      </w:r>
      <w:r w:rsidR="006C6327">
        <w:t xml:space="preserve"> theophoric names which replace</w:t>
      </w:r>
      <w:r w:rsidRPr="00B740B4">
        <w:t xml:space="preserve"> the Israelite theophoric ones.</w:t>
      </w:r>
    </w:p>
    <w:p w:rsidR="008C70A4" w:rsidRPr="006C6327" w:rsidRDefault="008C70A4" w:rsidP="008C70A4">
      <w:pPr>
        <w:rPr>
          <w:rFonts w:ascii="Arial" w:hAnsi="Arial" w:cs="Arial"/>
        </w:rPr>
      </w:pPr>
      <w:r w:rsidRPr="00B740B4">
        <w:t>8.a.</w:t>
      </w:r>
      <w:r w:rsidRPr="00B740B4">
        <w:rPr>
          <w:rFonts w:ascii="Arial" w:hAnsi="Arial" w:cs="Arial"/>
        </w:rPr>
        <w:t xml:space="preserve"> ו</w:t>
      </w:r>
      <w:r w:rsidR="007B7923">
        <w:rPr>
          <w:rFonts w:ascii="Arial" w:hAnsi="Arial" w:cs="Arial"/>
        </w:rPr>
        <w:t xml:space="preserve"> </w:t>
      </w:r>
      <w:r w:rsidRPr="00B740B4">
        <w:rPr>
          <w:rFonts w:ascii="Arial" w:hAnsi="Arial" w:cs="Arial"/>
        </w:rPr>
        <w:t>ב</w:t>
      </w:r>
      <w:r w:rsidR="007B7923">
        <w:rPr>
          <w:rFonts w:ascii="Arial" w:hAnsi="Arial" w:cs="Arial"/>
        </w:rPr>
        <w:t xml:space="preserve"> </w:t>
      </w:r>
      <w:r w:rsidR="007B7923" w:rsidRPr="007B7923">
        <w:rPr>
          <w:rFonts w:ascii="Arial" w:hAnsi="Arial" w:cs="Arial"/>
        </w:rPr>
        <w:t>ל</w:t>
      </w:r>
      <w:r w:rsidRPr="00B740B4">
        <w:t> </w:t>
      </w:r>
      <w:r w:rsidRPr="00B740B4">
        <w:rPr>
          <w:rFonts w:ascii="Arial" w:hAnsi="Arial" w:cs="Arial"/>
        </w:rPr>
        <w:t>על</w:t>
      </w:r>
      <w:r w:rsidRPr="00B740B4">
        <w:t xml:space="preserve"> . . .</w:t>
      </w:r>
      <w:r w:rsidRPr="00B740B4">
        <w:rPr>
          <w:rFonts w:ascii="Arial" w:hAnsi="Arial" w:cs="Arial"/>
        </w:rPr>
        <w:t>וישם</w:t>
      </w:r>
      <w:r w:rsidRPr="00B740B4">
        <w:t xml:space="preserve">: </w:t>
      </w:r>
      <w:r w:rsidRPr="00B740B4">
        <w:rPr>
          <w:rFonts w:ascii="Arial" w:hAnsi="Arial" w:cs="Arial"/>
        </w:rPr>
        <w:t>לב</w:t>
      </w:r>
      <w:r w:rsidRPr="00B740B4">
        <w:t xml:space="preserve"> denotes the heart anatomically, but the mind psychologically (as the seat of mental activity and decision making) more often than the emotions (cf. JPSV “resolved”).</w:t>
      </w:r>
    </w:p>
    <w:p w:rsidR="008C70A4" w:rsidRPr="00B740B4" w:rsidRDefault="008C70A4" w:rsidP="008C70A4">
      <w:r w:rsidRPr="00B740B4">
        <w:t xml:space="preserve">9.a. </w:t>
      </w:r>
      <w:r w:rsidRPr="00B740B4">
        <w:rPr>
          <w:rFonts w:ascii="Arial" w:hAnsi="Arial" w:cs="Arial"/>
        </w:rPr>
        <w:t>וישם</w:t>
      </w:r>
      <w:r w:rsidRPr="00B740B4">
        <w:t xml:space="preserve"> could have been used again (cf. vv 7, 8), but instead the language follows 1 Kgs 8:50; Ps 106:46.</w:t>
      </w:r>
    </w:p>
    <w:p w:rsidR="008C70A4" w:rsidRPr="00B740B4" w:rsidRDefault="008C70A4" w:rsidP="008C70A4">
      <w:r w:rsidRPr="00B740B4">
        <w:t xml:space="preserve">9.b-b. On these words, see 9:3–23 </w:t>
      </w:r>
      <w:r w:rsidRPr="00B740B4">
        <w:rPr>
          <w:i/>
        </w:rPr>
        <w:t>Comment</w:t>
      </w:r>
      <w:r w:rsidRPr="00B740B4">
        <w:t xml:space="preserve"> (b).</w:t>
      </w:r>
      <w:r w:rsidRPr="00B740B4">
        <w:rPr>
          <w:rFonts w:ascii="Arial" w:hAnsi="Arial" w:cs="Arial"/>
        </w:rPr>
        <w:t xml:space="preserve"> חסד</w:t>
      </w:r>
      <w:r w:rsidRPr="00B740B4">
        <w:t xml:space="preserve">, here without the notion of moral obligation common in both secular and religious contexts in the OT, is effectively a synonym for </w:t>
      </w:r>
      <w:r w:rsidRPr="00B740B4">
        <w:rPr>
          <w:rFonts w:ascii="Arial" w:hAnsi="Arial" w:cs="Arial"/>
        </w:rPr>
        <w:t>חן</w:t>
      </w:r>
      <w:r w:rsidRPr="00B740B4">
        <w:t xml:space="preserve"> “grace” (cf. Vg), though </w:t>
      </w:r>
      <w:r w:rsidRPr="00B740B4">
        <w:rPr>
          <w:rFonts w:ascii="Arial" w:hAnsi="Arial" w:cs="Arial"/>
        </w:rPr>
        <w:t>חסד</w:t>
      </w:r>
      <w:r w:rsidRPr="00B740B4">
        <w:t xml:space="preserve"> is more a friendship/community/political word, </w:t>
      </w:r>
      <w:r w:rsidRPr="00B740B4">
        <w:rPr>
          <w:rFonts w:ascii="Arial" w:hAnsi="Arial" w:cs="Arial"/>
        </w:rPr>
        <w:t>חן</w:t>
      </w:r>
      <w:r w:rsidRPr="00B740B4">
        <w:t xml:space="preserve"> more a family word (Sakenfeld, </w:t>
      </w:r>
      <w:r w:rsidRPr="00B740B4">
        <w:rPr>
          <w:i/>
        </w:rPr>
        <w:t>Hesed</w:t>
      </w:r>
      <w:r w:rsidRPr="00B740B4">
        <w:t xml:space="preserve">, 163–64; Glueck, </w:t>
      </w:r>
      <w:r w:rsidRPr="00B740B4">
        <w:rPr>
          <w:i/>
        </w:rPr>
        <w:t>Ḥesed</w:t>
      </w:r>
      <w:r w:rsidRPr="00B740B4">
        <w:t xml:space="preserve">, 66; Stoebe, “Die Bedeutung des Wortes </w:t>
      </w:r>
      <w:r w:rsidRPr="00B740B4">
        <w:rPr>
          <w:i/>
        </w:rPr>
        <w:t>ḥäsäd</w:t>
      </w:r>
      <w:r w:rsidRPr="00B740B4">
        <w:t xml:space="preserve"> im AT,” 247). Mercy (EVV</w:t>
      </w:r>
      <w:r w:rsidR="007B7923">
        <w:t xml:space="preserve">; cf. </w:t>
      </w:r>
      <w:r w:rsidR="007B7923" w:rsidRPr="007B7923">
        <w:t>Th, Vg</w:t>
      </w:r>
      <w:r w:rsidRPr="00B740B4">
        <w:t xml:space="preserve">) is too narrow a translation of </w:t>
      </w:r>
      <w:r w:rsidRPr="00B740B4">
        <w:rPr>
          <w:rFonts w:ascii="Arial" w:hAnsi="Arial" w:cs="Arial"/>
        </w:rPr>
        <w:t>רחמים</w:t>
      </w:r>
      <w:r w:rsidRPr="00B740B4">
        <w:t>, which suggests the feelings appropriate to brothers or sisters from the same womb or to a mother in relation to the children of her womb (</w:t>
      </w:r>
      <w:r w:rsidRPr="00B740B4">
        <w:rPr>
          <w:rFonts w:ascii="Arial" w:hAnsi="Arial" w:cs="Arial"/>
        </w:rPr>
        <w:t>רחם</w:t>
      </w:r>
      <w:r w:rsidRPr="00B740B4">
        <w:t>).</w:t>
      </w:r>
    </w:p>
    <w:p w:rsidR="008C70A4" w:rsidRPr="00B740B4" w:rsidRDefault="008C70A4" w:rsidP="008C70A4">
      <w:r w:rsidRPr="00B740B4">
        <w:t xml:space="preserve">10.a. </w:t>
      </w:r>
      <w:r w:rsidRPr="00B740B4">
        <w:rPr>
          <w:rFonts w:ascii="Arial" w:hAnsi="Arial" w:cs="Arial"/>
        </w:rPr>
        <w:t>למה</w:t>
      </w:r>
      <w:r w:rsidRPr="00B740B4">
        <w:t xml:space="preserve"> (usually “why”), see BDB, 554a, and cf. G.</w:t>
      </w:r>
    </w:p>
    <w:p w:rsidR="008C70A4" w:rsidRPr="00B740B4" w:rsidRDefault="008C70A4" w:rsidP="008C70A4">
      <w:r w:rsidRPr="00B740B4">
        <w:t xml:space="preserve">10.b. </w:t>
      </w:r>
      <w:r w:rsidRPr="00B740B4">
        <w:rPr>
          <w:rFonts w:ascii="Arial" w:hAnsi="Arial" w:cs="Arial"/>
        </w:rPr>
        <w:t>זעף</w:t>
      </w:r>
      <w:r w:rsidRPr="00B740B4">
        <w:t xml:space="preserve"> </w:t>
      </w:r>
      <w:r w:rsidR="007B7923">
        <w:t>commonly</w:t>
      </w:r>
      <w:r w:rsidR="007B7923" w:rsidRPr="00B740B4">
        <w:t xml:space="preserve"> </w:t>
      </w:r>
      <w:r w:rsidR="007B7923">
        <w:t>suggests anger (</w:t>
      </w:r>
      <w:r w:rsidRPr="00B740B4">
        <w:t>2 Chr 26:19), sometimes worry (Gen 40:6); here presumably Ashpenaz refers to their looking “out of sorts” (JPSV). On the basis of a posited Arabic cognate, Kopf (“Arabische Etymologien,” 254) suggests “emaciated.”</w:t>
      </w:r>
    </w:p>
    <w:p w:rsidR="008C70A4" w:rsidRPr="00B740B4" w:rsidRDefault="008C70A4" w:rsidP="008C70A4">
      <w:r w:rsidRPr="00B740B4">
        <w:t xml:space="preserve">10.c. </w:t>
      </w:r>
      <w:r w:rsidRPr="00B740B4">
        <w:rPr>
          <w:rFonts w:ascii="Arial" w:hAnsi="Arial" w:cs="Arial"/>
        </w:rPr>
        <w:t>גיל</w:t>
      </w:r>
      <w:r w:rsidRPr="00B740B4">
        <w:t xml:space="preserve"> (only here in BH) lit. means “circle”; it may refer to the circuits of the planets and thus to people born “under the same stars” and consequently of the same “age” (EVV): cf. </w:t>
      </w:r>
      <w:r w:rsidRPr="00B740B4">
        <w:rPr>
          <w:i/>
        </w:rPr>
        <w:t>DTT</w:t>
      </w:r>
      <w:r w:rsidRPr="00B740B4">
        <w:t xml:space="preserve"> on </w:t>
      </w:r>
      <w:r w:rsidRPr="00B740B4">
        <w:rPr>
          <w:rFonts w:ascii="Arial" w:hAnsi="Arial" w:cs="Arial"/>
        </w:rPr>
        <w:t>גיל</w:t>
      </w:r>
      <w:r w:rsidRPr="00B740B4">
        <w:t xml:space="preserve"> and </w:t>
      </w:r>
      <w:r w:rsidRPr="00B740B4">
        <w:rPr>
          <w:rFonts w:ascii="Arial" w:hAnsi="Arial" w:cs="Arial"/>
        </w:rPr>
        <w:t>גלגל</w:t>
      </w:r>
      <w:r w:rsidRPr="00B740B4">
        <w:t>.</w:t>
      </w:r>
    </w:p>
    <w:p w:rsidR="008C70A4" w:rsidRPr="00B740B4" w:rsidRDefault="008C70A4" w:rsidP="008C70A4">
      <w:r w:rsidRPr="00B740B4">
        <w:t xml:space="preserve">10.d. Cf. Bevan; </w:t>
      </w:r>
      <w:r w:rsidRPr="00B740B4">
        <w:rPr>
          <w:rFonts w:ascii="Arial" w:hAnsi="Arial" w:cs="Arial"/>
        </w:rPr>
        <w:t>חוב</w:t>
      </w:r>
      <w:r w:rsidRPr="00B740B4">
        <w:t xml:space="preserve"> (only here in BH) means “be guilty, answerable, indebted” and thus in the piel, as here, “convict, sentence” (</w:t>
      </w:r>
      <w:r w:rsidRPr="00B740B4">
        <w:rPr>
          <w:i/>
        </w:rPr>
        <w:t>DTT</w:t>
      </w:r>
      <w:r w:rsidRPr="00B740B4">
        <w:t>). Cf. Th, Vg; OG “endanger” renders loosely.</w:t>
      </w:r>
    </w:p>
    <w:p w:rsidR="008C70A4" w:rsidRPr="00B740B4" w:rsidRDefault="008C70A4" w:rsidP="008C70A4">
      <w:r w:rsidRPr="00B740B4">
        <w:t xml:space="preserve">11.a. </w:t>
      </w:r>
      <w:r w:rsidRPr="00B740B4">
        <w:rPr>
          <w:rFonts w:ascii="Arial" w:hAnsi="Arial" w:cs="Arial"/>
        </w:rPr>
        <w:t>מלצר</w:t>
      </w:r>
      <w:r w:rsidRPr="00B740B4">
        <w:t xml:space="preserve">, perhaps ultimately Akk., from a root </w:t>
      </w:r>
      <w:r w:rsidRPr="00B740B4">
        <w:rPr>
          <w:i/>
        </w:rPr>
        <w:t>nṣr</w:t>
      </w:r>
      <w:r w:rsidRPr="00B740B4">
        <w:t xml:space="preserve"> equivalent to BH </w:t>
      </w:r>
      <w:r w:rsidRPr="00B740B4">
        <w:rPr>
          <w:rFonts w:ascii="Arial" w:hAnsi="Arial" w:cs="Arial"/>
        </w:rPr>
        <w:t>נצר</w:t>
      </w:r>
      <w:r w:rsidRPr="00B740B4">
        <w:t xml:space="preserve">; cf. Syr </w:t>
      </w:r>
      <w:r w:rsidRPr="00B740B4">
        <w:rPr>
          <w:i/>
        </w:rPr>
        <w:t>mnṣr</w:t>
      </w:r>
      <w:r w:rsidRPr="00B740B4">
        <w:t>. OG Αβιεσδρι (cf. v 3) assumes Daniel is still speaking to the same person; Th, Vg also take the word as a name.</w:t>
      </w:r>
    </w:p>
    <w:p w:rsidR="008C70A4" w:rsidRPr="00B740B4" w:rsidRDefault="008C70A4" w:rsidP="008C70A4">
      <w:r w:rsidRPr="00B740B4">
        <w:t xml:space="preserve">12.a. </w:t>
      </w:r>
      <w:r w:rsidRPr="00B740B4">
        <w:rPr>
          <w:rFonts w:ascii="Arial" w:hAnsi="Arial" w:cs="Arial"/>
        </w:rPr>
        <w:t>זרעים</w:t>
      </w:r>
      <w:r w:rsidRPr="00B740B4">
        <w:t xml:space="preserve"> (“seeds”) would cover vegetables, grain, and non-meat products generally. </w:t>
      </w:r>
      <w:r w:rsidR="00AF422C">
        <w:t>V</w:t>
      </w:r>
      <w:r w:rsidRPr="00B740B4">
        <w:t xml:space="preserve"> 16 has </w:t>
      </w:r>
      <w:r w:rsidRPr="00B740B4">
        <w:rPr>
          <w:rFonts w:ascii="Arial" w:hAnsi="Arial" w:cs="Arial"/>
        </w:rPr>
        <w:t>זרענים</w:t>
      </w:r>
      <w:r w:rsidRPr="00B740B4">
        <w:t>, as in some medieval mss here; 1QDan</w:t>
      </w:r>
      <w:r w:rsidRPr="00B740B4">
        <w:rPr>
          <w:vertAlign w:val="superscript"/>
        </w:rPr>
        <w:t>a</w:t>
      </w:r>
      <w:r w:rsidRPr="00B740B4">
        <w:t xml:space="preserve"> has </w:t>
      </w:r>
      <w:r w:rsidRPr="00B740B4">
        <w:rPr>
          <w:rFonts w:ascii="Arial" w:hAnsi="Arial" w:cs="Arial"/>
        </w:rPr>
        <w:t>זרעים</w:t>
      </w:r>
      <w:r w:rsidRPr="00B740B4">
        <w:t xml:space="preserve"> in </w:t>
      </w:r>
      <w:r w:rsidR="00AF422C">
        <w:t>v</w:t>
      </w:r>
      <w:r w:rsidRPr="00B740B4">
        <w:t xml:space="preserve"> 16.</w:t>
      </w:r>
    </w:p>
    <w:p w:rsidR="008C70A4" w:rsidRPr="00B740B4" w:rsidRDefault="008C70A4" w:rsidP="008C70A4">
      <w:r w:rsidRPr="00B740B4">
        <w:t xml:space="preserve">13.a. </w:t>
      </w:r>
      <w:r w:rsidRPr="00B740B4">
        <w:rPr>
          <w:rFonts w:ascii="Arial" w:hAnsi="Arial" w:cs="Arial"/>
        </w:rPr>
        <w:t>תראה</w:t>
      </w:r>
      <w:r w:rsidRPr="00B740B4">
        <w:t xml:space="preserve">; OG </w:t>
      </w:r>
      <w:r w:rsidRPr="00B740B4">
        <w:rPr>
          <w:rFonts w:ascii="SBL Greek" w:hAnsi="SBL Greek"/>
          <w:lang w:val="el-GR"/>
        </w:rPr>
        <w:t>θ</w:t>
      </w:r>
      <w:r w:rsidRPr="00B740B4">
        <w:t xml:space="preserve">έλῃς (cf. NEB mg “as you see fit”) is a possible nuance of </w:t>
      </w:r>
      <w:r w:rsidRPr="00B740B4">
        <w:rPr>
          <w:rFonts w:ascii="Arial" w:hAnsi="Arial" w:cs="Arial"/>
        </w:rPr>
        <w:t>ראה</w:t>
      </w:r>
      <w:r>
        <w:t xml:space="preserve"> in later Hebrew</w:t>
      </w:r>
      <w:r w:rsidRPr="00B740B4">
        <w:t xml:space="preserve"> (</w:t>
      </w:r>
      <w:r w:rsidRPr="00B740B4">
        <w:rPr>
          <w:i/>
        </w:rPr>
        <w:t>DTT</w:t>
      </w:r>
      <w:r w:rsidRPr="00B740B4">
        <w:t>), but here the context suggests the more usual meaning.</w:t>
      </w:r>
    </w:p>
    <w:p w:rsidR="008C70A4" w:rsidRPr="00B740B4" w:rsidRDefault="008C70A4" w:rsidP="008C70A4">
      <w:r w:rsidRPr="00B740B4">
        <w:t xml:space="preserve">15.a. Some medieval mss, Th, and perhaps OG omit </w:t>
      </w:r>
      <w:r w:rsidRPr="00B740B4">
        <w:rPr>
          <w:rFonts w:ascii="Arial" w:hAnsi="Arial" w:cs="Arial"/>
        </w:rPr>
        <w:t>כל</w:t>
      </w:r>
      <w:r w:rsidRPr="00B740B4">
        <w:t>, but this hardly outweighs MT, Syr, Vg.</w:t>
      </w:r>
    </w:p>
    <w:p w:rsidR="008C70A4" w:rsidRPr="00B740B4" w:rsidRDefault="008C70A4" w:rsidP="008C70A4">
      <w:r w:rsidRPr="00B740B4">
        <w:t xml:space="preserve">16.a. For the frequentative translation, cf. Judg 16:21; Neh 1:4 (Bentzen; </w:t>
      </w:r>
      <w:r w:rsidRPr="00B740B4">
        <w:rPr>
          <w:i/>
        </w:rPr>
        <w:t>TTH</w:t>
      </w:r>
      <w:r w:rsidRPr="00B740B4">
        <w:t xml:space="preserve"> 135); it seems less likely to be an isolated example of the periphrastic  verb construction with regular past meaning (against DG113[f], remark 2). </w:t>
      </w:r>
      <w:r w:rsidRPr="00B740B4">
        <w:rPr>
          <w:rFonts w:ascii="Arial" w:hAnsi="Arial" w:cs="Arial"/>
        </w:rPr>
        <w:t>א ש נ</w:t>
      </w:r>
      <w:r w:rsidRPr="00B740B4">
        <w:t xml:space="preserve">, the ordinary word for “lift” or “carry” hints at the plausible idea that he was happily appropriating the unwanted food supplies so as to do </w:t>
      </w:r>
      <w:r w:rsidR="00F93B7B">
        <w:t>with them as he wished (Newsom</w:t>
      </w:r>
      <w:r w:rsidRPr="00B740B4">
        <w:t xml:space="preserve">); cf. G’s use of the middle verb </w:t>
      </w:r>
      <w:r w:rsidRPr="00B740B4">
        <w:rPr>
          <w:rFonts w:ascii="SBL Greek" w:hAnsi="SBL Greek" w:cs="SBL Greek"/>
          <w:lang w:val="el-GR"/>
        </w:rPr>
        <w:t>ἀναιρούμενος</w:t>
      </w:r>
      <w:r w:rsidR="00414C31">
        <w:rPr>
          <w:rFonts w:ascii="SBL Greek" w:hAnsi="SBL Greek" w:cs="SBL Greek"/>
        </w:rPr>
        <w:t xml:space="preserve"> and </w:t>
      </w:r>
      <w:r w:rsidR="00414C31" w:rsidRPr="00F93B7B">
        <w:rPr>
          <w:rFonts w:cs="SBL Greek"/>
        </w:rPr>
        <w:t>Saadia’s “would take for himself.”</w:t>
      </w:r>
    </w:p>
    <w:p w:rsidR="008C70A4" w:rsidRPr="00B740B4" w:rsidRDefault="008C70A4" w:rsidP="008C70A4">
      <w:r w:rsidRPr="00B740B4">
        <w:t>17.a. Taking inf</w:t>
      </w:r>
      <w:r w:rsidR="00F93B7B">
        <w:t>.</w:t>
      </w:r>
      <w:r w:rsidRPr="00B740B4">
        <w:t xml:space="preserve"> absolute </w:t>
      </w:r>
      <w:r w:rsidRPr="00B740B4">
        <w:rPr>
          <w:rFonts w:ascii="Arial" w:hAnsi="Arial" w:cs="Arial"/>
        </w:rPr>
        <w:t>השכל</w:t>
      </w:r>
      <w:r w:rsidRPr="00B740B4">
        <w:t xml:space="preserve"> to function as </w:t>
      </w:r>
      <w:r w:rsidR="00F93B7B">
        <w:t xml:space="preserve">a </w:t>
      </w:r>
      <w:r w:rsidRPr="00B740B4">
        <w:t xml:space="preserve">noun parallel to </w:t>
      </w:r>
      <w:r w:rsidRPr="00B740B4">
        <w:rPr>
          <w:rFonts w:ascii="Arial" w:hAnsi="Arial" w:cs="Arial"/>
        </w:rPr>
        <w:t>מדע</w:t>
      </w:r>
      <w:r w:rsidRPr="00B740B4">
        <w:t xml:space="preserve"> (</w:t>
      </w:r>
      <w:r w:rsidRPr="00B740B4">
        <w:rPr>
          <w:i/>
        </w:rPr>
        <w:t xml:space="preserve">IBHS </w:t>
      </w:r>
      <w:r w:rsidRPr="00B740B4">
        <w:t>35.3.3b; cf. G, Vg, Syr; Jer 3:15; Job 34:35) rather than as a replacement for finite verb (against Lacocque).</w:t>
      </w:r>
    </w:p>
    <w:p w:rsidR="008C70A4" w:rsidRPr="00B740B4" w:rsidRDefault="008C70A4" w:rsidP="008C70A4">
      <w:r w:rsidRPr="00B740B4">
        <w:t xml:space="preserve">19.a. </w:t>
      </w:r>
      <w:r w:rsidRPr="00B740B4">
        <w:rPr>
          <w:rFonts w:ascii="Arial" w:hAnsi="Arial" w:cs="Arial"/>
        </w:rPr>
        <w:t>נמצא</w:t>
      </w:r>
      <w:r w:rsidRPr="00B740B4">
        <w:t xml:space="preserve">: EVV “was found,” but niphal is commonly used for “be present/appear/prove to be” (cf. 11:19; 12:1). </w:t>
      </w:r>
      <w:r w:rsidRPr="00B740B4">
        <w:rPr>
          <w:rFonts w:ascii="Arial" w:hAnsi="Arial" w:cs="Arial"/>
        </w:rPr>
        <w:t>מצא</w:t>
      </w:r>
      <w:r w:rsidRPr="00B740B4">
        <w:t xml:space="preserve"> recurs in v 20.</w:t>
      </w:r>
    </w:p>
    <w:p w:rsidR="008C70A4" w:rsidRPr="00B740B4" w:rsidRDefault="008C70A4" w:rsidP="008C70A4">
      <w:r w:rsidRPr="00B740B4">
        <w:t>19.b. Vv 19b–20 are consequent/subsequent to vv 18–19a, not a restatement of them.</w:t>
      </w:r>
    </w:p>
    <w:p w:rsidR="008C70A4" w:rsidRPr="00B740B4" w:rsidRDefault="008C70A4" w:rsidP="008C70A4">
      <w:r w:rsidRPr="00B740B4">
        <w:t xml:space="preserve">20.a. </w:t>
      </w:r>
      <w:r w:rsidRPr="00B740B4">
        <w:rPr>
          <w:rFonts w:ascii="Arial" w:hAnsi="Arial" w:cs="Arial"/>
        </w:rPr>
        <w:t>בינה</w:t>
      </w:r>
      <w:r w:rsidRPr="00B740B4">
        <w:t xml:space="preserve"> </w:t>
      </w:r>
      <w:r w:rsidRPr="00B740B4">
        <w:rPr>
          <w:rFonts w:ascii="Arial" w:hAnsi="Arial" w:cs="Arial"/>
        </w:rPr>
        <w:t>חכמת</w:t>
      </w:r>
      <w:r w:rsidRPr="00B740B4">
        <w:t xml:space="preserve"> is too unusual to be a corruption—against BHS. G, Vg, Syr (cf. 4QDan</w:t>
      </w:r>
      <w:r w:rsidRPr="00B740B4">
        <w:rPr>
          <w:vertAlign w:val="superscript"/>
        </w:rPr>
        <w:t>a</w:t>
      </w:r>
      <w:r w:rsidRPr="00B740B4">
        <w:t>) are surel</w:t>
      </w:r>
      <w:r w:rsidR="00F93B7B">
        <w:t>y translating loosely, like EVV</w:t>
      </w:r>
      <w:r w:rsidRPr="00B740B4">
        <w:t>.</w:t>
      </w:r>
    </w:p>
    <w:p w:rsidR="008C70A4" w:rsidRPr="00B740B4" w:rsidRDefault="008C70A4" w:rsidP="008C70A4">
      <w:r w:rsidRPr="00B740B4">
        <w:lastRenderedPageBreak/>
        <w:t xml:space="preserve">20.b. On the two terms, see on 2:2. The two asyndetic foreign words interpret each other (Plöger), as happens in 5:15. </w:t>
      </w:r>
    </w:p>
    <w:p w:rsidR="008C70A4" w:rsidRPr="00B740B4" w:rsidRDefault="008C70A4" w:rsidP="008C70A4">
      <w:r w:rsidRPr="00B740B4">
        <w:t>20.c. OG (as printed in Rahlf’s ed.) has an extra sentence: “And the king honored them and appointed them as rulers and showed them as wise beyond all his people in matters in his entire country and in his reign.” Pap. 967 has a shorter version (cf. NETS). Hamm (</w:t>
      </w:r>
      <w:r w:rsidRPr="00B740B4">
        <w:rPr>
          <w:i/>
        </w:rPr>
        <w:t>Der Septuaginta-Text des Buches Daniel</w:t>
      </w:r>
      <w:r w:rsidRPr="00B740B4">
        <w:t xml:space="preserve">) sees it as a gloss, though such a sentence might have been lost by homoioteleuton (Collins, </w:t>
      </w:r>
      <w:r w:rsidRPr="00B740B4">
        <w:rPr>
          <w:i/>
        </w:rPr>
        <w:t>Daniel</w:t>
      </w:r>
      <w:r w:rsidRPr="00B740B4">
        <w:t>) and there is room for a short sentence in a space in 4QDan</w:t>
      </w:r>
      <w:r w:rsidRPr="00B740B4">
        <w:rPr>
          <w:vertAlign w:val="superscript"/>
        </w:rPr>
        <w:t>a</w:t>
      </w:r>
      <w:r w:rsidRPr="00B740B4">
        <w:t xml:space="preserve"> where part of the scroll is lost.</w:t>
      </w:r>
    </w:p>
    <w:p w:rsidR="008C70A4" w:rsidRPr="00B740B4" w:rsidRDefault="008C70A4" w:rsidP="008C70A4">
      <w:r w:rsidRPr="00B740B4">
        <w:t xml:space="preserve">21.a. </w:t>
      </w:r>
      <w:r w:rsidRPr="00B740B4">
        <w:rPr>
          <w:rFonts w:ascii="Arial" w:hAnsi="Arial" w:cs="Arial"/>
        </w:rPr>
        <w:t>ויהי</w:t>
      </w:r>
      <w:r w:rsidRPr="00B740B4">
        <w:t>; the absolute</w:t>
      </w:r>
      <w:r w:rsidR="00F93B7B">
        <w:t xml:space="preserve"> use of the verb</w:t>
      </w:r>
      <w:r w:rsidRPr="00B740B4">
        <w:t xml:space="preserve"> </w:t>
      </w:r>
      <w:r w:rsidRPr="00B740B4">
        <w:rPr>
          <w:rFonts w:ascii="Arial" w:hAnsi="Arial" w:cs="Arial"/>
        </w:rPr>
        <w:t>היה</w:t>
      </w:r>
      <w:r w:rsidRPr="00B740B4">
        <w:t xml:space="preserve"> reads oddly in Heb. as in English, though </w:t>
      </w:r>
      <w:r w:rsidRPr="00B740B4">
        <w:rPr>
          <w:rFonts w:ascii="Arial" w:hAnsi="Arial" w:cs="Arial"/>
        </w:rPr>
        <w:t>היה</w:t>
      </w:r>
      <w:r w:rsidRPr="00B740B4">
        <w:t xml:space="preserve"> “be” can mean “live” (cf. </w:t>
      </w:r>
      <w:r w:rsidRPr="00B740B4">
        <w:rPr>
          <w:rFonts w:ascii="Arial" w:hAnsi="Arial" w:cs="Arial"/>
        </w:rPr>
        <w:t>חיה</w:t>
      </w:r>
      <w:r w:rsidRPr="00B740B4">
        <w:t xml:space="preserve">: see 1 Sam 1:28 [Charles]) or “exist” (see Lev 25:29 [Bartelmus, </w:t>
      </w:r>
      <w:r w:rsidRPr="00B740B4">
        <w:rPr>
          <w:rFonts w:ascii="Arial" w:hAnsi="Arial" w:cs="Arial"/>
        </w:rPr>
        <w:t>היה,</w:t>
      </w:r>
      <w:r w:rsidRPr="00B740B4">
        <w:t xml:space="preserve"> 188]). Here it picks up the wording of 2 Chr 36:20b and probably refers back to v 19b (Plöger). Cf. Jer 1:3, where </w:t>
      </w:r>
      <w:r w:rsidRPr="00B740B4">
        <w:rPr>
          <w:rFonts w:ascii="Arial" w:hAnsi="Arial" w:cs="Arial"/>
        </w:rPr>
        <w:t>אליו</w:t>
      </w:r>
      <w:r w:rsidRPr="00B740B4">
        <w:t xml:space="preserve"> is presupposed from v 2. There is no need to add </w:t>
      </w:r>
      <w:r w:rsidRPr="00B740B4">
        <w:rPr>
          <w:rFonts w:ascii="Arial" w:hAnsi="Arial" w:cs="Arial"/>
        </w:rPr>
        <w:t>שם</w:t>
      </w:r>
      <w:r w:rsidRPr="00B740B4">
        <w:t xml:space="preserve"> “there” (NEB; cf. Brockington) (cf. Ruth 1:3).</w:t>
      </w:r>
    </w:p>
    <w:p w:rsidR="008C70A4" w:rsidRPr="00B740B4" w:rsidRDefault="008C70A4" w:rsidP="008C70A4">
      <w:r w:rsidRPr="00B740B4">
        <w:t xml:space="preserve">21.b. </w:t>
      </w:r>
      <w:r w:rsidRPr="00B740B4">
        <w:rPr>
          <w:rFonts w:ascii="Arial" w:hAnsi="Arial" w:cs="Arial"/>
        </w:rPr>
        <w:t>המלך</w:t>
      </w:r>
      <w:r w:rsidRPr="00B740B4">
        <w:t xml:space="preserve"> </w:t>
      </w:r>
      <w:r w:rsidRPr="00B740B4">
        <w:rPr>
          <w:rFonts w:ascii="Arial" w:hAnsi="Arial" w:cs="Arial"/>
        </w:rPr>
        <w:t>כורש</w:t>
      </w:r>
      <w:r w:rsidR="00F93B7B">
        <w:t xml:space="preserve"> is the more usual Aram.</w:t>
      </w:r>
      <w:r w:rsidRPr="00B740B4">
        <w:t xml:space="preserve"> order (e.g., 3:1</w:t>
      </w:r>
      <w:r w:rsidR="00F93B7B">
        <w:t>–5), but it recurs in the Heb.</w:t>
      </w:r>
      <w:r w:rsidRPr="00B740B4">
        <w:t xml:space="preserve"> in 8:1. See n. 2:28.a.</w:t>
      </w:r>
    </w:p>
    <w:p w:rsidR="00B27480" w:rsidRPr="00B740B4" w:rsidRDefault="00B27480" w:rsidP="009479B1">
      <w:pPr>
        <w:pStyle w:val="Heading2"/>
      </w:pPr>
      <w:r w:rsidRPr="00B740B4">
        <w:t>Form/Structure/Setting</w:t>
      </w:r>
    </w:p>
    <w:p w:rsidR="00F12EC0" w:rsidRPr="00B740B4" w:rsidRDefault="00F12EC0" w:rsidP="00F12EC0">
      <w:pPr>
        <w:pStyle w:val="Heading3"/>
      </w:pPr>
      <w:r w:rsidRPr="00B740B4">
        <w:t>Form</w:t>
      </w:r>
    </w:p>
    <w:p w:rsidR="00F12EC0" w:rsidRPr="00B740B4" w:rsidRDefault="00F12EC0" w:rsidP="00F12EC0"/>
    <w:p w:rsidR="00965C7E" w:rsidRDefault="00D70480" w:rsidP="00DF45DD">
      <w:pPr>
        <w:rPr>
          <w:bCs/>
        </w:rPr>
      </w:pPr>
      <w:r>
        <w:t>Dan</w:t>
      </w:r>
      <w:r w:rsidR="00FA28FC" w:rsidRPr="00B740B4">
        <w:t xml:space="preserve"> 1 is a short story about Daniel and his friends</w:t>
      </w:r>
      <w:r>
        <w:t xml:space="preserve">, the first of a </w:t>
      </w:r>
      <w:r w:rsidR="00A37F78" w:rsidRPr="00B740B4">
        <w:t>seri es</w:t>
      </w:r>
      <w:r>
        <w:t xml:space="preserve"> of short stories that dominate Dan</w:t>
      </w:r>
      <w:r w:rsidR="00A37F78" w:rsidRPr="00B740B4">
        <w:t xml:space="preserve"> 1—6.</w:t>
      </w:r>
      <w:r w:rsidR="00FA28FC" w:rsidRPr="00B740B4">
        <w:t xml:space="preserve"> </w:t>
      </w:r>
      <w:r w:rsidR="003A71E9" w:rsidRPr="00B740B4">
        <w:t xml:space="preserve">It’s been said that a short story is one that can be read in an hour but remembered for a lifetime; this description also </w:t>
      </w:r>
      <w:r>
        <w:t xml:space="preserve">especially </w:t>
      </w:r>
      <w:r w:rsidR="003A71E9" w:rsidRPr="00B740B4">
        <w:t>fits chaps. 3, 5, and 6. The stories ab</w:t>
      </w:r>
      <w:r w:rsidR="00E5014E">
        <w:t>out Daniel and his friends overlap</w:t>
      </w:r>
      <w:r w:rsidR="00A37F78" w:rsidRPr="00B740B4">
        <w:t xml:space="preserve"> </w:t>
      </w:r>
      <w:r w:rsidR="003A71E9" w:rsidRPr="00B740B4">
        <w:t xml:space="preserve">formally </w:t>
      </w:r>
      <w:r w:rsidR="00A37F78" w:rsidRPr="00B740B4">
        <w:t xml:space="preserve">with </w:t>
      </w:r>
      <w:r w:rsidR="00E5014E">
        <w:t xml:space="preserve">more substantial </w:t>
      </w:r>
      <w:r w:rsidR="00A37F78" w:rsidRPr="00B740B4">
        <w:t xml:space="preserve">short stories such as Ruth, Jonah, Esther, Tobit, and Judith, and the Joseph story within Genesis. </w:t>
      </w:r>
      <w:r w:rsidR="00AA7627" w:rsidRPr="00B740B4">
        <w:t xml:space="preserve">A short story characteristically tells of just an incident or a series of related incidents in the </w:t>
      </w:r>
      <w:r w:rsidR="00E5014E">
        <w:t>life of one person or a group. While i</w:t>
      </w:r>
      <w:r w:rsidR="00AA7627" w:rsidRPr="00B740B4">
        <w:t xml:space="preserve">t has a simple </w:t>
      </w:r>
      <w:r w:rsidR="00E5014E">
        <w:t xml:space="preserve">plot and one central theme, </w:t>
      </w:r>
      <w:r w:rsidR="00AA7627" w:rsidRPr="00B740B4">
        <w:t>it may tell of extraordinar</w:t>
      </w:r>
      <w:r w:rsidR="00E5014E">
        <w:t>y and not just everyday events; s</w:t>
      </w:r>
      <w:r w:rsidR="00DF45DD" w:rsidRPr="00B740B4">
        <w:t xml:space="preserve">hort stories raise eyebrows. The short stories in Daniel </w:t>
      </w:r>
      <w:r w:rsidR="00352F48" w:rsidRPr="00B740B4">
        <w:t>use hyperbole to portra</w:t>
      </w:r>
      <w:r w:rsidR="00594626" w:rsidRPr="00B740B4">
        <w:t>y both imperial court and Judahite</w:t>
      </w:r>
      <w:r w:rsidR="00352F48" w:rsidRPr="00B740B4">
        <w:t xml:space="preserve"> piety.</w:t>
      </w:r>
      <w:r w:rsidR="00DF45DD" w:rsidRPr="00B740B4">
        <w:t xml:space="preserve"> </w:t>
      </w:r>
      <w:r w:rsidR="001F4BEC" w:rsidRPr="001F4BEC">
        <w:rPr>
          <w:bCs/>
        </w:rPr>
        <w:t>Daniel is satirical; and satire is (among other things) comic, inventive, fantastic, both crude and lofty, oxymoronic, socially utopian—and concerned for ultimate questions.</w:t>
      </w:r>
      <w:r w:rsidR="001F4BEC" w:rsidRPr="001F4BEC">
        <w:rPr>
          <w:bCs/>
          <w:vertAlign w:val="superscript"/>
        </w:rPr>
        <w:footnoteReference w:id="241"/>
      </w:r>
      <w:r w:rsidR="001F4BEC">
        <w:rPr>
          <w:bCs/>
        </w:rPr>
        <w:t xml:space="preserve"> </w:t>
      </w:r>
      <w:r w:rsidR="001F4BEC" w:rsidRPr="001F4BEC">
        <w:rPr>
          <w:bCs/>
        </w:rPr>
        <w:t xml:space="preserve">A “training manual view of the social setting of Daniel alone does not justify the book’s vast popularity” </w:t>
      </w:r>
      <w:r w:rsidR="00542E75">
        <w:rPr>
          <w:bCs/>
        </w:rPr>
        <w:t xml:space="preserve">which is </w:t>
      </w:r>
      <w:r w:rsidR="001F4BEC" w:rsidRPr="001F4BEC">
        <w:rPr>
          <w:bCs/>
        </w:rPr>
        <w:t>reflected in the plural forms of the Daniel tradition.</w:t>
      </w:r>
      <w:r w:rsidR="001F4BEC" w:rsidRPr="001F4BEC">
        <w:rPr>
          <w:bCs/>
          <w:vertAlign w:val="superscript"/>
        </w:rPr>
        <w:footnoteReference w:id="242"/>
      </w:r>
      <w:r w:rsidR="001F4BEC" w:rsidRPr="001F4BEC">
        <w:rPr>
          <w:bCs/>
        </w:rPr>
        <w:t xml:space="preserve"> </w:t>
      </w:r>
      <w:r w:rsidR="001F4BEC">
        <w:t>The stories</w:t>
      </w:r>
      <w:r w:rsidR="00DF45DD" w:rsidRPr="00B740B4">
        <w:t xml:space="preserve"> use humor in order to critique</w:t>
      </w:r>
      <w:r w:rsidR="00E5014E">
        <w:t>,</w:t>
      </w:r>
      <w:r w:rsidR="00DF45DD" w:rsidRPr="00B740B4">
        <w:t xml:space="preserve"> on the basis of convict</w:t>
      </w:r>
      <w:r w:rsidR="001F4BEC">
        <w:t>ions that are deeply serious. And t</w:t>
      </w:r>
      <w:r w:rsidR="00E5014E">
        <w:t xml:space="preserve">hey do so in order to bolster </w:t>
      </w:r>
      <w:r w:rsidR="00DF45DD" w:rsidRPr="00B740B4">
        <w:t xml:space="preserve">boldness of trust in Yahweh. </w:t>
      </w:r>
      <w:r w:rsidR="00E5014E">
        <w:t>Such stories portray</w:t>
      </w:r>
      <w:r w:rsidR="00FD0570" w:rsidRPr="00B740B4">
        <w:t xml:space="preserve"> an alternative world before the</w:t>
      </w:r>
      <w:r w:rsidR="00E5014E">
        <w:t>ir listeners’ ears and ask</w:t>
      </w:r>
      <w:r w:rsidR="00FD0570" w:rsidRPr="00B740B4">
        <w:t xml:space="preserve"> whet</w:t>
      </w:r>
      <w:r w:rsidR="00E5014E">
        <w:t>her they are prepared to risk living in their</w:t>
      </w:r>
      <w:r w:rsidR="00FD0570" w:rsidRPr="00B740B4">
        <w:t xml:space="preserve"> alternative world. </w:t>
      </w:r>
      <w:r w:rsidR="00934A11" w:rsidRPr="00B740B4">
        <w:t>“</w:t>
      </w:r>
      <w:r w:rsidR="00DF45DD" w:rsidRPr="00B740B4">
        <w:rPr>
          <w:bCs/>
        </w:rPr>
        <w:t>The imaginative use of humor and satire reflects a creative manipulation of the social reality of life in the royal court to resist king and empire</w:t>
      </w:r>
      <w:r w:rsidR="00934A11" w:rsidRPr="00B740B4">
        <w:rPr>
          <w:bCs/>
        </w:rPr>
        <w:t>”</w:t>
      </w:r>
      <w:r w:rsidR="00DF45DD" w:rsidRPr="00B740B4">
        <w:rPr>
          <w:bCs/>
        </w:rPr>
        <w:t xml:space="preserve"> by ridiculing them,</w:t>
      </w:r>
      <w:r w:rsidR="00DF45DD" w:rsidRPr="00B740B4">
        <w:rPr>
          <w:bCs/>
          <w:vertAlign w:val="superscript"/>
        </w:rPr>
        <w:footnoteReference w:id="243"/>
      </w:r>
      <w:r w:rsidR="00DF45DD" w:rsidRPr="00B740B4">
        <w:rPr>
          <w:bCs/>
        </w:rPr>
        <w:t xml:space="preserve"> though in this first story the humor is understated and the satire is gentle.</w:t>
      </w:r>
      <w:r w:rsidR="003A71E9" w:rsidRPr="00B740B4">
        <w:rPr>
          <w:bCs/>
        </w:rPr>
        <w:t xml:space="preserve"> </w:t>
      </w:r>
      <w:r w:rsidR="002703EF">
        <w:rPr>
          <w:bCs/>
        </w:rPr>
        <w:t>Much of the humor in Daniel involves irony.</w:t>
      </w:r>
      <w:r w:rsidR="002703EF">
        <w:rPr>
          <w:rStyle w:val="FootnoteReference"/>
          <w:bCs/>
        </w:rPr>
        <w:footnoteReference w:id="244"/>
      </w:r>
      <w:r w:rsidR="002703EF">
        <w:rPr>
          <w:bCs/>
        </w:rPr>
        <w:t xml:space="preserve"> </w:t>
      </w:r>
    </w:p>
    <w:p w:rsidR="00DF45DD" w:rsidRDefault="00965C7E" w:rsidP="00DF45DD">
      <w:pPr>
        <w:rPr>
          <w:bCs/>
        </w:rPr>
      </w:pPr>
      <w:r w:rsidRPr="00B740B4">
        <w:t>“This colorful collection of miracle stories about Daniel conveys a sharply ambivalent picture of the exilic period.”</w:t>
      </w:r>
      <w:r w:rsidRPr="00B740B4">
        <w:rPr>
          <w:rStyle w:val="FootnoteReference"/>
        </w:rPr>
        <w:footnoteReference w:id="245"/>
      </w:r>
      <w:r>
        <w:t xml:space="preserve"> </w:t>
      </w:r>
      <w:r w:rsidR="005C1876">
        <w:rPr>
          <w:bCs/>
        </w:rPr>
        <w:t>T</w:t>
      </w:r>
      <w:r w:rsidR="00FB2A07" w:rsidRPr="00B740B4">
        <w:rPr>
          <w:bCs/>
        </w:rPr>
        <w:t xml:space="preserve">he </w:t>
      </w:r>
      <w:r w:rsidR="00594626" w:rsidRPr="00B740B4">
        <w:rPr>
          <w:bCs/>
        </w:rPr>
        <w:t xml:space="preserve">stories suggest a vision for </w:t>
      </w:r>
      <w:r w:rsidR="00E5014E">
        <w:rPr>
          <w:bCs/>
        </w:rPr>
        <w:t xml:space="preserve">the possibility of </w:t>
      </w:r>
      <w:r w:rsidR="00594626" w:rsidRPr="00B740B4">
        <w:rPr>
          <w:bCs/>
        </w:rPr>
        <w:t>Judahite</w:t>
      </w:r>
      <w:r w:rsidR="00E5014E">
        <w:rPr>
          <w:bCs/>
        </w:rPr>
        <w:t>s not only surviving but being successful</w:t>
      </w:r>
      <w:r w:rsidR="00FB2A07" w:rsidRPr="00B740B4">
        <w:rPr>
          <w:bCs/>
        </w:rPr>
        <w:t xml:space="preserve"> in the royal court, which suggests </w:t>
      </w:r>
      <w:r w:rsidR="000B61C1" w:rsidRPr="00B740B4">
        <w:rPr>
          <w:bCs/>
        </w:rPr>
        <w:t>the phenomenon analyzed</w:t>
      </w:r>
      <w:r w:rsidR="00FB2A07" w:rsidRPr="00B740B4">
        <w:rPr>
          <w:bCs/>
        </w:rPr>
        <w:t xml:space="preserve"> in postcolonial discourse as hybridity.</w:t>
      </w:r>
      <w:r w:rsidR="00FB2A07" w:rsidRPr="00B740B4">
        <w:rPr>
          <w:rStyle w:val="FootnoteReference"/>
          <w:bCs/>
        </w:rPr>
        <w:footnoteReference w:id="246"/>
      </w:r>
      <w:r w:rsidR="000B61C1" w:rsidRPr="00B740B4">
        <w:rPr>
          <w:bCs/>
        </w:rPr>
        <w:t xml:space="preserve"> </w:t>
      </w:r>
      <w:r w:rsidR="00E5014E">
        <w:rPr>
          <w:bCs/>
        </w:rPr>
        <w:t xml:space="preserve">On one hand, </w:t>
      </w:r>
      <w:r w:rsidR="000B61C1" w:rsidRPr="00B740B4">
        <w:rPr>
          <w:bCs/>
        </w:rPr>
        <w:t xml:space="preserve">Judahites resist the power of the empire and dismiss the claims of its learning; </w:t>
      </w:r>
      <w:r w:rsidR="00E5014E">
        <w:rPr>
          <w:bCs/>
        </w:rPr>
        <w:t xml:space="preserve">on the other, </w:t>
      </w:r>
      <w:r w:rsidR="000B61C1" w:rsidRPr="00B740B4">
        <w:rPr>
          <w:bCs/>
        </w:rPr>
        <w:t xml:space="preserve">they also aspire to share in its power and engage with its learning. The empire </w:t>
      </w:r>
      <w:r w:rsidR="000B61C1" w:rsidRPr="00B740B4">
        <w:rPr>
          <w:bCs/>
        </w:rPr>
        <w:lastRenderedPageBreak/>
        <w:t>itself is caught in a converse tension. It has defeated Judah, but it is involved in compromise with its prey (as also emerges in Ezra in a different way).</w:t>
      </w:r>
      <w:r w:rsidR="000B61C1" w:rsidRPr="00B740B4">
        <w:rPr>
          <w:rStyle w:val="FootnoteReference"/>
          <w:bCs/>
        </w:rPr>
        <w:footnoteReference w:id="247"/>
      </w:r>
    </w:p>
    <w:p w:rsidR="00AE6DD6" w:rsidRPr="00AE6DD6" w:rsidRDefault="00AA7627" w:rsidP="00AE6DD6">
      <w:r w:rsidRPr="00B740B4">
        <w:t>Classically, stories are said to follow a structure comprising introduction, complication, rising action, crisis, climax, and resolution</w:t>
      </w:r>
      <w:r w:rsidR="00BE1A6D" w:rsidRPr="00B740B4">
        <w:t xml:space="preserve">. </w:t>
      </w:r>
      <w:r w:rsidR="00AE6DD6" w:rsidRPr="00AE6DD6">
        <w:t>In a</w:t>
      </w:r>
      <w:r w:rsidR="00AE6DD6">
        <w:t>nother</w:t>
      </w:r>
      <w:r w:rsidR="00AE6DD6" w:rsidRPr="00AE6DD6">
        <w:t xml:space="preserve"> classical sense, the stories </w:t>
      </w:r>
      <w:r w:rsidR="00AE6DD6">
        <w:t>in Daniel are comedies. T</w:t>
      </w:r>
      <w:r w:rsidR="00AE6DD6" w:rsidRPr="00AE6DD6">
        <w:t>he expression “apocalyptic as comedy”</w:t>
      </w:r>
      <w:r w:rsidR="00AE6DD6" w:rsidRPr="00AE6DD6">
        <w:rPr>
          <w:vertAlign w:val="superscript"/>
        </w:rPr>
        <w:footnoteReference w:id="248"/>
      </w:r>
      <w:r w:rsidR="00AE6DD6" w:rsidRPr="00AE6DD6">
        <w:t xml:space="preserve"> applied to Daniel is a little paradoxical, in that the visions are less comedic than the stories; the upturn at the end is more muted. Apocalypse as tragedy might be more appropriate.</w:t>
      </w:r>
      <w:r w:rsidR="00AE6DD6" w:rsidRPr="00AE6DD6">
        <w:rPr>
          <w:vertAlign w:val="superscript"/>
        </w:rPr>
        <w:footnoteReference w:id="249"/>
      </w:r>
      <w:r w:rsidR="00155DCC">
        <w:t xml:space="preserve"> But the stories are indeed comedies in the sense of being</w:t>
      </w:r>
      <w:r w:rsidR="00155DCC" w:rsidRPr="00155DCC">
        <w:t xml:space="preserve"> tales in which everything threatens to collapse into the absurd, but the powerful are put in their place and things come out right in the end.</w:t>
      </w:r>
    </w:p>
    <w:p w:rsidR="00543F5C" w:rsidRPr="00B740B4" w:rsidRDefault="00BE1A6D" w:rsidP="00B27480">
      <w:r w:rsidRPr="00B740B4">
        <w:t xml:space="preserve">In a traditional culture, stories are told out loud, and repetition is a characteristic feature </w:t>
      </w:r>
      <w:r w:rsidR="00542E75">
        <w:t>in them; it</w:t>
      </w:r>
      <w:r w:rsidRPr="00B740B4">
        <w:t xml:space="preserve"> a</w:t>
      </w:r>
      <w:r w:rsidR="001F4BEC">
        <w:t>ppears in a subtle way in Dan</w:t>
      </w:r>
      <w:r w:rsidRPr="00B740B4">
        <w:t xml:space="preserve"> 1 and a less subtle way in chaps. 3 and 6.</w:t>
      </w:r>
      <w:r w:rsidR="000C1839" w:rsidRPr="00B740B4">
        <w:t xml:space="preserve"> There is some overlap between short stories and novellas or novels, but Daniel as a </w:t>
      </w:r>
      <w:r w:rsidR="001F4BEC">
        <w:t>whole or Dan</w:t>
      </w:r>
      <w:r w:rsidR="00A37F78" w:rsidRPr="00B740B4">
        <w:t xml:space="preserve"> 1—6 is not</w:t>
      </w:r>
      <w:r w:rsidR="000C1839" w:rsidRPr="00B740B4">
        <w:t xml:space="preserve"> long </w:t>
      </w:r>
      <w:r w:rsidR="001A5277" w:rsidRPr="00B740B4">
        <w:t xml:space="preserve">enough </w:t>
      </w:r>
      <w:r w:rsidR="000C1839" w:rsidRPr="00B740B4">
        <w:t>or cohesive eno</w:t>
      </w:r>
      <w:r w:rsidR="001A5277" w:rsidRPr="00B740B4">
        <w:t xml:space="preserve">ugh to be designated as a </w:t>
      </w:r>
      <w:r w:rsidR="006F1022" w:rsidRPr="00B740B4">
        <w:t xml:space="preserve">novella or </w:t>
      </w:r>
      <w:r w:rsidR="001F4BEC">
        <w:t xml:space="preserve">novel, and viewing Dan </w:t>
      </w:r>
      <w:r w:rsidR="00A37F78" w:rsidRPr="00B740B4">
        <w:t>1—6 as a series of linked short stories is more illuminating.</w:t>
      </w:r>
      <w:r w:rsidR="001A5277" w:rsidRPr="00B740B4">
        <w:t xml:space="preserve"> But like a novel</w:t>
      </w:r>
      <w:r w:rsidR="003A71E9" w:rsidRPr="00B740B4">
        <w:t>, a short story</w:t>
      </w:r>
      <w:r w:rsidR="001A5277" w:rsidRPr="00B740B4">
        <w:t xml:space="preserve"> seek</w:t>
      </w:r>
      <w:r w:rsidR="003A71E9" w:rsidRPr="00B740B4">
        <w:t>s to be entertaining, and even if it is a story about an actual person, it may not</w:t>
      </w:r>
      <w:r w:rsidR="001A5277" w:rsidRPr="00B740B4">
        <w:t xml:space="preserve"> worry about </w:t>
      </w:r>
      <w:r w:rsidR="003A71E9" w:rsidRPr="00B740B4">
        <w:t xml:space="preserve">true-to-life </w:t>
      </w:r>
      <w:r w:rsidR="001A5277" w:rsidRPr="00B740B4">
        <w:t>plausibility or about getting its historical references right</w:t>
      </w:r>
      <w:r w:rsidR="003A71E9" w:rsidRPr="00B740B4">
        <w:t>. Like a novel, the</w:t>
      </w:r>
      <w:r w:rsidR="00A37F78" w:rsidRPr="00B740B4">
        <w:t xml:space="preserve"> stories</w:t>
      </w:r>
      <w:r w:rsidR="006F1022" w:rsidRPr="00B740B4">
        <w:t xml:space="preserve"> </w:t>
      </w:r>
      <w:r w:rsidR="003A71E9" w:rsidRPr="00B740B4">
        <w:t xml:space="preserve">in Daniel </w:t>
      </w:r>
      <w:r w:rsidR="006F1022" w:rsidRPr="00B740B4">
        <w:t>are “prose writings that i</w:t>
      </w:r>
      <w:r w:rsidR="00A37F78" w:rsidRPr="00B740B4">
        <w:t>n</w:t>
      </w:r>
      <w:r w:rsidR="006F1022" w:rsidRPr="00B740B4">
        <w:t>volve a new sort of reading experience, the creation of invented worlds that are nevertheless like our own.</w:t>
      </w:r>
      <w:r w:rsidR="00A37F78" w:rsidRPr="00B740B4">
        <w:t>”</w:t>
      </w:r>
      <w:r w:rsidR="004A09F3" w:rsidRPr="00B740B4">
        <w:rPr>
          <w:vertAlign w:val="superscript"/>
        </w:rPr>
        <w:footnoteReference w:id="250"/>
      </w:r>
      <w:r w:rsidR="001F4BEC">
        <w:t xml:space="preserve"> They parallel</w:t>
      </w:r>
      <w:r w:rsidR="001F4BEC" w:rsidRPr="001F4BEC">
        <w:t xml:space="preserve"> </w:t>
      </w:r>
      <w:r w:rsidR="001F4BEC">
        <w:t xml:space="preserve">other </w:t>
      </w:r>
      <w:r w:rsidR="001F4BEC" w:rsidRPr="001F4BEC">
        <w:t>serious short stories or novellas or novels in aiming to get people to think in a certain w</w:t>
      </w:r>
      <w:r w:rsidR="001F4BEC">
        <w:t>ay about God and people, and the</w:t>
      </w:r>
      <w:r w:rsidR="001F4BEC" w:rsidRPr="001F4BEC">
        <w:t xml:space="preserve"> reception </w:t>
      </w:r>
      <w:r w:rsidR="001F4BEC">
        <w:t xml:space="preserve">of the book of Daniel </w:t>
      </w:r>
      <w:r w:rsidR="001F4BEC" w:rsidRPr="001F4BEC">
        <w:t>into the scriptures reflects a positive response to this invitation</w:t>
      </w:r>
      <w:r w:rsidR="001F4BEC">
        <w:t>.</w:t>
      </w:r>
    </w:p>
    <w:p w:rsidR="00B27480" w:rsidRPr="00B740B4" w:rsidRDefault="00617F6B" w:rsidP="00B27480">
      <w:r w:rsidRPr="00B740B4">
        <w:t>In traditional form-critical terms, t</w:t>
      </w:r>
      <w:r w:rsidR="00B27480" w:rsidRPr="00B740B4">
        <w:t xml:space="preserve">he stories in Dan 1–6 combine features of </w:t>
      </w:r>
      <w:r w:rsidR="00BE1A6D" w:rsidRPr="00B740B4">
        <w:t xml:space="preserve">midrash, </w:t>
      </w:r>
      <w:r w:rsidR="00594626" w:rsidRPr="00B740B4">
        <w:t xml:space="preserve">court </w:t>
      </w:r>
      <w:r w:rsidR="00BE1A6D" w:rsidRPr="00B740B4">
        <w:t>tale,</w:t>
      </w:r>
      <w:r w:rsidR="007A5C25" w:rsidRPr="00B740B4">
        <w:t xml:space="preserve"> and </w:t>
      </w:r>
      <w:r w:rsidR="00BE1A6D" w:rsidRPr="00B740B4">
        <w:t>legend. T</w:t>
      </w:r>
      <w:r w:rsidR="00352F48" w:rsidRPr="00B740B4">
        <w:t xml:space="preserve">o oversimplify, chap. </w:t>
      </w:r>
      <w:r w:rsidR="00B27480" w:rsidRPr="00B740B4">
        <w:t xml:space="preserve">1 constitutes a legend (vv 8–16) in the context of a </w:t>
      </w:r>
      <w:r w:rsidR="00594626" w:rsidRPr="00B740B4">
        <w:t xml:space="preserve">court </w:t>
      </w:r>
      <w:r w:rsidR="00B27480" w:rsidRPr="00B740B4">
        <w:t>tale (vv 3–7, 17–20) set in a framework of midrash (vv 1–2, 21). The legend, the story of a holy man, exists to exalt it</w:t>
      </w:r>
      <w:r w:rsidR="005059D4">
        <w:t>s hero and its hero’s God in its hearers’ thinking</w:t>
      </w:r>
      <w:r w:rsidR="00B27480" w:rsidRPr="00B740B4">
        <w:t xml:space="preserve">; it thus encourages them to take heed of subsequent stories of Daniel and to emulate the hero’s faithfulness, confident of his God’s power and support. The </w:t>
      </w:r>
      <w:r w:rsidR="00EF2D93">
        <w:t xml:space="preserve">story of “the Jew in the </w:t>
      </w:r>
      <w:r w:rsidR="00594626" w:rsidRPr="00B740B4">
        <w:t xml:space="preserve">court </w:t>
      </w:r>
      <w:r w:rsidR="00EF2D93">
        <w:t>of the foreign king”</w:t>
      </w:r>
      <w:r w:rsidR="00EF2D93">
        <w:rPr>
          <w:rStyle w:val="FootnoteReference"/>
        </w:rPr>
        <w:footnoteReference w:id="251"/>
      </w:r>
      <w:r w:rsidR="00B27480" w:rsidRPr="00B740B4">
        <w:t xml:space="preserve"> entertains by its romantic story of the flourishing of young exiles at a foreign court (cf. Joseph, Esther, Tobit, Ahiqar); it, too, also offers encouragement as it invites the hearer to identify with these exiles. It contains hints of the two forms of </w:t>
      </w:r>
      <w:r w:rsidR="00594626" w:rsidRPr="00B740B4">
        <w:t xml:space="preserve">court </w:t>
      </w:r>
      <w:r w:rsidR="00B27480" w:rsidRPr="00B740B4">
        <w:t xml:space="preserve">tale to be exemplified in chaps. 2; 4–5 and </w:t>
      </w:r>
      <w:r w:rsidR="005059D4">
        <w:t xml:space="preserve">chaps. </w:t>
      </w:r>
      <w:r w:rsidR="00B27480" w:rsidRPr="00B740B4">
        <w:t>3; 6 respectively, the court contest tale/interpretation story and the court conflict tale/deliverance story.</w:t>
      </w:r>
      <w:r w:rsidR="005A2640" w:rsidRPr="00B740B4">
        <w:rPr>
          <w:rStyle w:val="FootnoteReference"/>
        </w:rPr>
        <w:footnoteReference w:id="252"/>
      </w:r>
      <w:r w:rsidR="00B27480" w:rsidRPr="00B740B4">
        <w:t xml:space="preserve"> In keeping with the nature of the stories, they do not seek to allow the</w:t>
      </w:r>
      <w:r w:rsidR="005246F3" w:rsidRPr="00B740B4">
        <w:t xml:space="preserve">ir heroes’ characters </w:t>
      </w:r>
      <w:r w:rsidR="00B27480" w:rsidRPr="00B740B4">
        <w:t xml:space="preserve">to emerge in their own right; we discover only those facts that relate to the concerns of </w:t>
      </w:r>
      <w:r w:rsidR="00594626" w:rsidRPr="00B740B4">
        <w:t xml:space="preserve">court </w:t>
      </w:r>
      <w:r w:rsidR="005059D4">
        <w:t>tale/legend. In stressing God’s involvement in their triumph (v 17), chap. 1</w:t>
      </w:r>
      <w:r w:rsidR="00B27480" w:rsidRPr="00B740B4">
        <w:t xml:space="preserve"> </w:t>
      </w:r>
      <w:r w:rsidR="007418CD" w:rsidRPr="00B740B4">
        <w:t xml:space="preserve">also </w:t>
      </w:r>
      <w:r w:rsidR="00B27480" w:rsidRPr="00B740B4">
        <w:t>manifests the characteristic feature of an aretalogy</w:t>
      </w:r>
      <w:r w:rsidR="007418CD" w:rsidRPr="00B740B4">
        <w:t>, a story about someone devout or supernatural</w:t>
      </w:r>
      <w:r w:rsidR="00B27480" w:rsidRPr="00B740B4">
        <w:t>.</w:t>
      </w:r>
      <w:r w:rsidR="005A2640" w:rsidRPr="00B740B4">
        <w:rPr>
          <w:rStyle w:val="FootnoteReference"/>
        </w:rPr>
        <w:footnoteReference w:id="253"/>
      </w:r>
      <w:r w:rsidR="005246F3" w:rsidRPr="00B740B4">
        <w:t xml:space="preserve"> While the chapter</w:t>
      </w:r>
      <w:r w:rsidR="00B27480" w:rsidRPr="00B740B4">
        <w:t xml:space="preserve"> does not start from the desire to clarify or actualize specific</w:t>
      </w:r>
      <w:r w:rsidR="007418CD" w:rsidRPr="00B740B4">
        <w:t xml:space="preserve"> scriptures, it may be seen</w:t>
      </w:r>
      <w:r w:rsidR="00B27480" w:rsidRPr="00B740B4">
        <w:t xml:space="preserve"> as situational midrash in that it reuses earlier scriptural material in order </w:t>
      </w:r>
      <w:r w:rsidR="004F2AA3">
        <w:t>to establish links between the s</w:t>
      </w:r>
      <w:r w:rsidR="00B27480" w:rsidRPr="00B740B4">
        <w:t>criptures themselves and both the extra-scriptural content of the story and the post-script</w:t>
      </w:r>
      <w:r w:rsidR="005246F3" w:rsidRPr="00B740B4">
        <w:t>ural setting of its hearers; t</w:t>
      </w:r>
      <w:r w:rsidR="007418CD" w:rsidRPr="00B740B4">
        <w:t>hese hearers</w:t>
      </w:r>
      <w:r w:rsidR="00B27480" w:rsidRPr="00B740B4">
        <w:t xml:space="preserve"> are thus invited to </w:t>
      </w:r>
      <w:r w:rsidR="004F2AA3">
        <w:t>link their story onto scripture</w:t>
      </w:r>
      <w:r w:rsidR="00B27480" w:rsidRPr="00B740B4">
        <w:t>s</w:t>
      </w:r>
      <w:r w:rsidR="004F2AA3">
        <w:t>’</w:t>
      </w:r>
      <w:r w:rsidR="00B27480" w:rsidRPr="00B740B4">
        <w:t xml:space="preserve"> story and to look at their experience in its context.</w:t>
      </w:r>
    </w:p>
    <w:p w:rsidR="00B27480" w:rsidRPr="00B740B4" w:rsidRDefault="00B27480" w:rsidP="00B27480">
      <w:r w:rsidRPr="00B740B4">
        <w:lastRenderedPageBreak/>
        <w:t xml:space="preserve">Midrash, </w:t>
      </w:r>
      <w:r w:rsidR="00594626" w:rsidRPr="00B740B4">
        <w:t xml:space="preserve">court </w:t>
      </w:r>
      <w:r w:rsidRPr="00B740B4">
        <w:t>tale, and legend are not th</w:t>
      </w:r>
      <w:r w:rsidR="007418CD" w:rsidRPr="00B740B4">
        <w:t>ree separate units. Neither mid</w:t>
      </w:r>
      <w:r w:rsidRPr="00B740B4">
        <w:t xml:space="preserve">rash nor </w:t>
      </w:r>
      <w:r w:rsidR="00594626" w:rsidRPr="00B740B4">
        <w:t xml:space="preserve">court </w:t>
      </w:r>
      <w:r w:rsidRPr="00B740B4">
        <w:t xml:space="preserve">tale stands on its own; even the legend, which </w:t>
      </w:r>
      <w:r w:rsidR="007418CD" w:rsidRPr="00B740B4">
        <w:t>might most likely contain</w:t>
      </w:r>
      <w:r w:rsidRPr="00B740B4">
        <w:t xml:space="preserve"> pre-e</w:t>
      </w:r>
      <w:r w:rsidR="007418CD" w:rsidRPr="00B740B4">
        <w:t>xistent traditional material, now appears</w:t>
      </w:r>
      <w:r w:rsidRPr="00B740B4">
        <w:t xml:space="preserve"> inextricably set in its courtly context. Indeed, the formal distinction between the three is not a sharp one. Both </w:t>
      </w:r>
      <w:r w:rsidR="00594626" w:rsidRPr="00B740B4">
        <w:t xml:space="preserve">court </w:t>
      </w:r>
      <w:r w:rsidRPr="00B740B4">
        <w:t xml:space="preserve">tale and legend manifest the hyperbole of romance: </w:t>
      </w:r>
      <w:r w:rsidR="005059D4">
        <w:t xml:space="preserve">they describe </w:t>
      </w:r>
      <w:r w:rsidRPr="00B740B4">
        <w:t xml:space="preserve">young men of exemplary appearance and wisdom (vv 4, 17), though of unstated genealogy (v 6), who manifest unparalleled health on an ascetic diet (v 15), unparalleled success in their education (v 19), and unparalleled usefulness in their service in the palace (v 20). The </w:t>
      </w:r>
      <w:r w:rsidR="00594626" w:rsidRPr="00B740B4">
        <w:t xml:space="preserve">court </w:t>
      </w:r>
      <w:r w:rsidRPr="00B740B4">
        <w:t xml:space="preserve">tale is midrashic </w:t>
      </w:r>
      <w:r w:rsidR="00005CDB" w:rsidRPr="00B740B4">
        <w:t xml:space="preserve">or intertextual </w:t>
      </w:r>
      <w:r w:rsidRPr="00B740B4">
        <w:t xml:space="preserve">in the sense that it is shaped by earlier scriptural material, especially the story of Joseph, another young man transported to an alien land who proved the superiority of Israelite </w:t>
      </w:r>
      <w:r w:rsidR="00E91B69">
        <w:t>insight</w:t>
      </w:r>
      <w:r w:rsidRPr="00B740B4">
        <w:t xml:space="preserve"> over that of pagans, not least as a dreamer and as a dream interpreter. In language, vv 4, 15, and 17 parallel Gen 41 (see </w:t>
      </w:r>
      <w:r w:rsidRPr="00B740B4">
        <w:rPr>
          <w:i/>
        </w:rPr>
        <w:t>Comment</w:t>
      </w:r>
      <w:r w:rsidRPr="00B740B4">
        <w:t>).</w:t>
      </w:r>
      <w:r w:rsidR="00565BC5">
        <w:rPr>
          <w:rStyle w:val="FootnoteReference"/>
        </w:rPr>
        <w:footnoteReference w:id="254"/>
      </w:r>
      <w:r w:rsidRPr="00B740B4">
        <w:t xml:space="preserve"> The </w:t>
      </w:r>
      <w:r w:rsidR="00934A11" w:rsidRPr="00B740B4">
        <w:t>“</w:t>
      </w:r>
      <w:r w:rsidRPr="00B740B4">
        <w:t>romantic themes</w:t>
      </w:r>
      <w:r w:rsidR="00934A11" w:rsidRPr="00B740B4">
        <w:t>”</w:t>
      </w:r>
      <w:r w:rsidR="007418CD" w:rsidRPr="00B740B4">
        <w:rPr>
          <w:rStyle w:val="FootnoteReference"/>
        </w:rPr>
        <w:footnoteReference w:id="255"/>
      </w:r>
      <w:r w:rsidRPr="00B740B4">
        <w:t xml:space="preserve"> of beating pagans at their own game and, in the legend, of the friendliness of the court official, already appear in earlier scriptural </w:t>
      </w:r>
      <w:r w:rsidR="00934A11" w:rsidRPr="00B740B4">
        <w:t>“</w:t>
      </w:r>
      <w:r w:rsidRPr="00B740B4">
        <w:t>romance</w:t>
      </w:r>
      <w:r w:rsidR="00934A11" w:rsidRPr="00B740B4">
        <w:t>”</w:t>
      </w:r>
      <w:r w:rsidRPr="00B740B4">
        <w:t xml:space="preserve"> (e.g., Gen 39:21; 41; see also Ezra, Nehemiah, Zerubbabel in 1 Esd 3–4, Judi</w:t>
      </w:r>
      <w:r w:rsidR="0060656F" w:rsidRPr="00B740B4">
        <w:t xml:space="preserve">th). A Daniel </w:t>
      </w:r>
      <w:r w:rsidRPr="00B740B4">
        <w:t>appears in Ezek 14:12–23; 28:3</w:t>
      </w:r>
      <w:r w:rsidR="00DC3777" w:rsidRPr="00B740B4">
        <w:rPr>
          <w:rStyle w:val="FootnoteReference"/>
        </w:rPr>
        <w:footnoteReference w:id="256"/>
      </w:r>
      <w:r w:rsidRPr="00B740B4">
        <w:t xml:space="preserve"> </w:t>
      </w:r>
      <w:r w:rsidR="0060656F" w:rsidRPr="00B740B4">
        <w:t>in the exilic period</w:t>
      </w:r>
      <w:r w:rsidR="005059D4">
        <w:t>,</w:t>
      </w:r>
      <w:r w:rsidR="0060656F" w:rsidRPr="00B740B4">
        <w:t xml:space="preserve"> </w:t>
      </w:r>
      <w:r w:rsidRPr="00B740B4">
        <w:t xml:space="preserve">held before people </w:t>
      </w:r>
      <w:r w:rsidR="005059D4" w:rsidRPr="005059D4">
        <w:t xml:space="preserve">as a model </w:t>
      </w:r>
      <w:r w:rsidRPr="00B740B4">
        <w:t>of a lone ins</w:t>
      </w:r>
      <w:r w:rsidR="0060656F" w:rsidRPr="00B740B4">
        <w:t xml:space="preserve">istence on righteousness and of </w:t>
      </w:r>
      <w:r w:rsidRPr="00B740B4">
        <w:t xml:space="preserve">the wisdom to understand secrets—a model such as the stories will describe Daniel to be. The names of all four men </w:t>
      </w:r>
      <w:r w:rsidR="004F2AA3">
        <w:t>appear elsewhere in the s</w:t>
      </w:r>
      <w:r w:rsidRPr="00B740B4">
        <w:t>cripture</w:t>
      </w:r>
      <w:r w:rsidR="0060656F" w:rsidRPr="00B740B4">
        <w:t>s</w:t>
      </w:r>
      <w:r w:rsidR="001B7E08" w:rsidRPr="00B740B4">
        <w:t>, especially in the Second Temple</w:t>
      </w:r>
      <w:r w:rsidRPr="00B740B4">
        <w:t xml:space="preserve"> community (e.g., among its leadership in Neh 8; 10). There are less clear links between</w:t>
      </w:r>
      <w:r w:rsidR="001B7E08" w:rsidRPr="00B740B4">
        <w:t xml:space="preserve"> Daniel and the Ugaritic Dan’el</w:t>
      </w:r>
      <w:r w:rsidR="005A2640" w:rsidRPr="00B740B4">
        <w:rPr>
          <w:rStyle w:val="FootnoteReference"/>
        </w:rPr>
        <w:footnoteReference w:id="257"/>
      </w:r>
      <w:r w:rsidRPr="00B740B4">
        <w:t xml:space="preserve"> and the angel Daniel in </w:t>
      </w:r>
      <w:r w:rsidRPr="00B740B4">
        <w:rPr>
          <w:i/>
        </w:rPr>
        <w:t>1 Enoch</w:t>
      </w:r>
      <w:r w:rsidRPr="00B740B4">
        <w:t xml:space="preserve">. The description of the </w:t>
      </w:r>
      <w:r w:rsidR="0060656F" w:rsidRPr="00B740B4">
        <w:t xml:space="preserve">four young </w:t>
      </w:r>
      <w:r w:rsidRPr="00B740B4">
        <w:t>men takes up the royal ideal of 1 and 2 Samuel, Isaiah’s prophecy of the exile (Isa 39:7), and aspects of the account in Jer 39 of the fall of Jerusalem. The legend’s concern, defilemen</w:t>
      </w:r>
      <w:r w:rsidR="0060656F" w:rsidRPr="00B740B4">
        <w:t>t, is also a scriptural theme. T</w:t>
      </w:r>
      <w:r w:rsidRPr="00B740B4">
        <w:t>he treatment here has close resemblances of motif to Ezek</w:t>
      </w:r>
      <w:r w:rsidR="001B7E08" w:rsidRPr="00B740B4">
        <w:t xml:space="preserve"> 4:9–17, </w:t>
      </w:r>
      <w:r w:rsidR="0060656F" w:rsidRPr="00B740B4">
        <w:t>though t</w:t>
      </w:r>
      <w:r w:rsidRPr="00B740B4">
        <w:t>he pass</w:t>
      </w:r>
      <w:r w:rsidR="0060656F" w:rsidRPr="00B740B4">
        <w:t>ages lack verbal par</w:t>
      </w:r>
      <w:r w:rsidR="005059D4">
        <w:t>allels: t</w:t>
      </w:r>
      <w:r w:rsidRPr="00B740B4">
        <w:t>here, too, in a similar context at the beginning of the exile in Babylon</w:t>
      </w:r>
      <w:r w:rsidR="00D02720">
        <w:t>,</w:t>
      </w:r>
      <w:r w:rsidRPr="00B740B4">
        <w:t xml:space="preserve"> Ezekiel adopts as his diet a loaf of grains and vegetables, and water. He, too, is under pressure to </w:t>
      </w:r>
      <w:r w:rsidR="0060656F" w:rsidRPr="00B740B4">
        <w:t>eat food that is ritually defiling</w:t>
      </w:r>
      <w:r w:rsidRPr="00B740B4">
        <w:t>—in</w:t>
      </w:r>
      <w:r w:rsidR="0060656F" w:rsidRPr="00B740B4">
        <w:t xml:space="preserve"> his case, through the way he i</w:t>
      </w:r>
      <w:r w:rsidRPr="00B740B4">
        <w:t>s to cook it. He, too, declares his determination to maintain the purity he has always sought. He, too, discovers that the God who put him into a situation where defilement was hard to avoid provides a way of maintaining</w:t>
      </w:r>
      <w:r w:rsidR="0060656F" w:rsidRPr="00B740B4">
        <w:t xml:space="preserve"> purity for people</w:t>
      </w:r>
      <w:r w:rsidRPr="00B740B4">
        <w:t xml:space="preserve"> who seek one</w:t>
      </w:r>
      <w:r w:rsidR="00D02720">
        <w:t xml:space="preserve"> rather than give</w:t>
      </w:r>
      <w:r w:rsidRPr="00B740B4">
        <w:t xml:space="preserve"> in to the pressures that come (ultimately or immediately) from God himself. Ezekiel’s loaf of grain and vegetables seems a closer parallel to Dan 1 than the refugees’ diet of wild plants in 2 Macc 5:27.</w:t>
      </w:r>
    </w:p>
    <w:p w:rsidR="0060656F" w:rsidRPr="00B740B4" w:rsidRDefault="0060656F" w:rsidP="0060656F">
      <w:r w:rsidRPr="00B740B4">
        <w:t xml:space="preserve">In modern usage a short story is </w:t>
      </w:r>
      <w:r w:rsidR="001B7E08" w:rsidRPr="00B740B4">
        <w:t xml:space="preserve">commonly </w:t>
      </w:r>
      <w:r w:rsidRPr="00B740B4">
        <w:t>a work of fiction</w:t>
      </w:r>
      <w:r w:rsidR="001B7E08" w:rsidRPr="00B740B4">
        <w:t>, or it may be based on fact</w:t>
      </w:r>
      <w:r w:rsidRPr="00B740B4">
        <w:t>. With stories from tra</w:t>
      </w:r>
      <w:r w:rsidR="005C1876">
        <w:t>ditional cultures it may be impossible</w:t>
      </w:r>
      <w:r w:rsidRPr="00B740B4">
        <w:t xml:space="preserve"> to know </w:t>
      </w:r>
      <w:r w:rsidR="005C1876">
        <w:t>whether they are pure fiction. M</w:t>
      </w:r>
      <w:r w:rsidRPr="00B740B4">
        <w:t>y working assumption is that they are more likely to</w:t>
      </w:r>
      <w:r w:rsidR="005C1876">
        <w:t xml:space="preserve"> be based on fact, but if so,</w:t>
      </w:r>
      <w:r w:rsidRPr="00B740B4">
        <w:t xml:space="preserve"> </w:t>
      </w:r>
      <w:r w:rsidR="005C1876">
        <w:t xml:space="preserve">it is then impossible </w:t>
      </w:r>
      <w:r w:rsidRPr="00B740B4">
        <w:t>to know wher</w:t>
      </w:r>
      <w:r w:rsidR="00C52719" w:rsidRPr="00B740B4">
        <w:t xml:space="preserve">e fact ends and fiction starts. The word </w:t>
      </w:r>
      <w:r w:rsidR="00C52719" w:rsidRPr="00B740B4">
        <w:rPr>
          <w:i/>
        </w:rPr>
        <w:t xml:space="preserve">legend </w:t>
      </w:r>
      <w:r w:rsidR="00C52719" w:rsidRPr="00B740B4">
        <w:t>can be used to denote fictional or semi-fictional stories about a historical person (or such stories about someone else that have become attached to a better-known historical p</w:t>
      </w:r>
      <w:r w:rsidR="005C1876">
        <w:t xml:space="preserve">erson), and on this definition </w:t>
      </w:r>
      <w:r w:rsidR="00C52719" w:rsidRPr="00B740B4">
        <w:t xml:space="preserve">one could call the Daniel stories legends. </w:t>
      </w:r>
      <w:r w:rsidRPr="00B740B4">
        <w:t xml:space="preserve">Like moviegoers who watch movies </w:t>
      </w:r>
      <w:r w:rsidR="00934A11" w:rsidRPr="00B740B4">
        <w:t>“</w:t>
      </w:r>
      <w:r w:rsidRPr="00B740B4">
        <w:t>based on fact,</w:t>
      </w:r>
      <w:r w:rsidR="00934A11" w:rsidRPr="00B740B4">
        <w:t>”</w:t>
      </w:r>
      <w:r w:rsidRPr="00B740B4">
        <w:t xml:space="preserve"> people listening to stories about Daniel and his frien</w:t>
      </w:r>
      <w:r w:rsidR="005C1876">
        <w:t>ds will not have focused on the</w:t>
      </w:r>
      <w:r w:rsidRPr="00B740B4">
        <w:t xml:space="preserve"> question</w:t>
      </w:r>
      <w:r w:rsidR="005C1876">
        <w:t xml:space="preserve"> of where fact ends and fiction begins</w:t>
      </w:r>
      <w:r w:rsidRPr="00B740B4">
        <w:t>. Like Jesus telling parables, the storyteller will have wanted people to listen to the story in the conviction that it has truth abou</w:t>
      </w:r>
      <w:r w:rsidR="001B7E08" w:rsidRPr="00B740B4">
        <w:t>t God and them to convey, whatever i</w:t>
      </w:r>
      <w:r w:rsidR="00AE6DD6">
        <w:t>ts relationship to historical ha</w:t>
      </w:r>
      <w:r w:rsidR="001B7E08" w:rsidRPr="00B740B4">
        <w:t>ppenings.</w:t>
      </w:r>
      <w:r w:rsidRPr="00B740B4">
        <w:t xml:space="preserve"> </w:t>
      </w:r>
    </w:p>
    <w:p w:rsidR="00C20176" w:rsidRPr="00B740B4" w:rsidRDefault="0060656F" w:rsidP="00B27480">
      <w:r w:rsidRPr="00B740B4">
        <w:t>Likewise</w:t>
      </w:r>
      <w:r w:rsidR="005C1876">
        <w:t xml:space="preserve">, </w:t>
      </w:r>
      <w:r w:rsidRPr="00B740B4">
        <w:t xml:space="preserve">terms such as midrash, </w:t>
      </w:r>
      <w:r w:rsidR="00594626" w:rsidRPr="00B740B4">
        <w:t xml:space="preserve">court </w:t>
      </w:r>
      <w:r w:rsidRPr="00B740B4">
        <w:t>tale, and legend</w:t>
      </w:r>
      <w:r w:rsidR="005C1876">
        <w:t xml:space="preserve"> need not imply </w:t>
      </w:r>
      <w:r w:rsidR="00617F6B" w:rsidRPr="00B740B4">
        <w:t>that the story is</w:t>
      </w:r>
      <w:r w:rsidR="00B27480" w:rsidRPr="00B740B4">
        <w:t xml:space="preserve"> unhistorical. Forms can be used in ways that do not correspond to their origin, and a historical account could use forms that are more characteris</w:t>
      </w:r>
      <w:r w:rsidR="00617F6B" w:rsidRPr="00B740B4">
        <w:t xml:space="preserve">tic of less factual narrative. Yet the form of this story hardly </w:t>
      </w:r>
      <w:r w:rsidR="00617F6B" w:rsidRPr="00B740B4">
        <w:lastRenderedPageBreak/>
        <w:t xml:space="preserve">suggests </w:t>
      </w:r>
      <w:r w:rsidR="001B7E08" w:rsidRPr="00B740B4">
        <w:t xml:space="preserve">one that </w:t>
      </w:r>
      <w:r w:rsidR="00934A11" w:rsidRPr="00B740B4">
        <w:t>“</w:t>
      </w:r>
      <w:r w:rsidR="00B27480" w:rsidRPr="00B740B4">
        <w:t>purports to be serious history</w:t>
      </w:r>
      <w:r w:rsidR="00965C7E">
        <w:t>.</w:t>
      </w:r>
      <w:r w:rsidR="00934A11" w:rsidRPr="00B740B4">
        <w:t>”</w:t>
      </w:r>
      <w:r w:rsidR="005A2640" w:rsidRPr="00B740B4">
        <w:rPr>
          <w:rStyle w:val="FootnoteReference"/>
        </w:rPr>
        <w:footnoteReference w:id="258"/>
      </w:r>
      <w:r w:rsidR="00617F6B" w:rsidRPr="00B740B4">
        <w:t xml:space="preserve"> </w:t>
      </w:r>
      <w:r w:rsidR="00965C7E">
        <w:rPr>
          <w:bCs/>
        </w:rPr>
        <w:t>It</w:t>
      </w:r>
      <w:r w:rsidR="005C1876" w:rsidRPr="005C1876">
        <w:rPr>
          <w:bCs/>
        </w:rPr>
        <w:t xml:space="preserve"> contrasts with that of Kings or Ezra-Nehemiah or 1 Maccabees, whose form is closer to what one might call historiography. </w:t>
      </w:r>
      <w:r w:rsidR="00965C7E">
        <w:t>Chapters</w:t>
      </w:r>
      <w:r w:rsidR="00C20176" w:rsidRPr="00B740B4">
        <w:t xml:space="preserve"> su</w:t>
      </w:r>
      <w:r w:rsidR="00965C7E">
        <w:t>ch as 2 Kgs 24–25</w:t>
      </w:r>
      <w:r w:rsidR="00C20176" w:rsidRPr="00B740B4">
        <w:t xml:space="preserve"> more obviously narrate</w:t>
      </w:r>
      <w:r w:rsidR="00B27480" w:rsidRPr="00B740B4">
        <w:t xml:space="preserve"> hard facts </w:t>
      </w:r>
      <w:r w:rsidRPr="00B740B4">
        <w:t xml:space="preserve">that are </w:t>
      </w:r>
      <w:r w:rsidR="00B27480" w:rsidRPr="00B740B4">
        <w:t xml:space="preserve">open to being related to other known historical facts, </w:t>
      </w:r>
      <w:r w:rsidR="00C20176" w:rsidRPr="00B740B4">
        <w:t>they refer</w:t>
      </w:r>
      <w:r w:rsidR="00B27480" w:rsidRPr="00B740B4">
        <w:t xml:space="preserve"> to sources, </w:t>
      </w:r>
      <w:r w:rsidR="00C20176" w:rsidRPr="00B740B4">
        <w:t xml:space="preserve">they </w:t>
      </w:r>
      <w:r w:rsidR="00B27480" w:rsidRPr="00B740B4">
        <w:t xml:space="preserve">focus on events rather than </w:t>
      </w:r>
      <w:r w:rsidR="00C20176" w:rsidRPr="00B740B4">
        <w:t xml:space="preserve">on </w:t>
      </w:r>
      <w:r w:rsidR="00B27480" w:rsidRPr="00B740B4">
        <w:t xml:space="preserve">conversations, </w:t>
      </w:r>
      <w:r w:rsidR="00C20176" w:rsidRPr="00B740B4">
        <w:t xml:space="preserve">they are shaped </w:t>
      </w:r>
      <w:r w:rsidR="00965C7E">
        <w:t xml:space="preserve">more </w:t>
      </w:r>
      <w:r w:rsidR="00C20176" w:rsidRPr="00B740B4">
        <w:t>like chronicles</w:t>
      </w:r>
      <w:r w:rsidR="00B27480" w:rsidRPr="00B740B4">
        <w:t xml:space="preserve"> by a sequence of </w:t>
      </w:r>
      <w:r w:rsidR="00617F6B" w:rsidRPr="00B740B4">
        <w:t xml:space="preserve">incidents </w:t>
      </w:r>
      <w:r w:rsidR="00B27480" w:rsidRPr="00B740B4">
        <w:t xml:space="preserve">rather than by a plot, and </w:t>
      </w:r>
      <w:r w:rsidR="00C20176" w:rsidRPr="00B740B4">
        <w:t xml:space="preserve">they lack </w:t>
      </w:r>
      <w:r w:rsidR="00B27480" w:rsidRPr="00B740B4">
        <w:t xml:space="preserve">allusion </w:t>
      </w:r>
      <w:r w:rsidR="00C20176" w:rsidRPr="00B740B4">
        <w:t xml:space="preserve">to the miraculous. </w:t>
      </w:r>
      <w:r w:rsidR="00B27480" w:rsidRPr="00B740B4">
        <w:t xml:space="preserve">Dan 1 and the subsequent stories </w:t>
      </w:r>
      <w:r w:rsidR="00617F6B" w:rsidRPr="00B740B4">
        <w:t xml:space="preserve">are </w:t>
      </w:r>
      <w:r w:rsidR="00B27480" w:rsidRPr="00B740B4">
        <w:t xml:space="preserve">harder to relate to known history, make no reference to sources, let conversations carry the burden of the story, are emplotted tales rather than chronicle, and emphasize the miraculous. </w:t>
      </w:r>
    </w:p>
    <w:p w:rsidR="00984B04" w:rsidRPr="00B740B4" w:rsidRDefault="00B27480" w:rsidP="00B27480">
      <w:r w:rsidRPr="00B740B4">
        <w:t>The exile of young members of the nobility, their provision from the palace, their serving there, and their renaming are historical enough</w:t>
      </w:r>
      <w:r w:rsidR="00B26485">
        <w:t>.</w:t>
      </w:r>
      <w:r w:rsidRPr="00B740B4">
        <w:t xml:space="preserve"> </w:t>
      </w:r>
      <w:r w:rsidR="001B7E08" w:rsidRPr="00B740B4">
        <w:t xml:space="preserve"> That exiles </w:t>
      </w:r>
      <w:r w:rsidRPr="00B740B4">
        <w:t>were under pressure to assimilate and that some resisted this pressure at particular points is plausible enough. That some successfully took remarkable risks in order to remain faithful to their religion, and that some proved far more discern</w:t>
      </w:r>
      <w:r w:rsidR="00F03450" w:rsidRPr="00B740B4">
        <w:t>ing</w:t>
      </w:r>
      <w:r w:rsidR="0085498A" w:rsidRPr="00B740B4">
        <w:t xml:space="preserve"> advisers than Babylonian scholar</w:t>
      </w:r>
      <w:r w:rsidR="00617F6B" w:rsidRPr="00B740B4">
        <w:t>s, is not implausible</w:t>
      </w:r>
      <w:r w:rsidRPr="00B740B4">
        <w:t>. The form of the story, however, suggests that it would not insist on confining itself to historical material</w:t>
      </w:r>
      <w:r w:rsidR="001B7E08" w:rsidRPr="00B740B4">
        <w:t>,</w:t>
      </w:r>
      <w:r w:rsidRPr="00B740B4">
        <w:t xml:space="preserve"> if less factual material helped to achieve its concern to hold attention in an entertaining way and to edify. The distinctive and original elements in the story come in vv 8–16, which may </w:t>
      </w:r>
      <w:r w:rsidR="00617F6B" w:rsidRPr="00B740B4">
        <w:t xml:space="preserve">then </w:t>
      </w:r>
      <w:r w:rsidRPr="00B740B4">
        <w:t>constitute traditional material that has become the core of an introduction to the book as a whole</w:t>
      </w:r>
      <w:r w:rsidR="00984B04" w:rsidRPr="00B740B4">
        <w:t>, to the stories in particular, and specifically to the Nebuchadnezzar chapters</w:t>
      </w:r>
      <w:r w:rsidRPr="00B740B4">
        <w:t>.</w:t>
      </w:r>
      <w:r w:rsidR="00984B04" w:rsidRPr="00B740B4">
        <w:rPr>
          <w:rStyle w:val="FootnoteReference"/>
        </w:rPr>
        <w:footnoteReference w:id="259"/>
      </w:r>
    </w:p>
    <w:p w:rsidR="00F611CB" w:rsidRDefault="00092BDA" w:rsidP="00B27480">
      <w:r>
        <w:t>It</w:t>
      </w:r>
      <w:r w:rsidR="00AE6DD6">
        <w:t xml:space="preserve"> has been suggested</w:t>
      </w:r>
      <w:r w:rsidR="00356CA7" w:rsidRPr="00B740B4">
        <w:t xml:space="preserve"> that the chap</w:t>
      </w:r>
      <w:r w:rsidR="00035C76" w:rsidRPr="00B740B4">
        <w:t>ter was translated from Aramaic,</w:t>
      </w:r>
      <w:r w:rsidR="00356CA7" w:rsidRPr="00B740B4">
        <w:rPr>
          <w:rStyle w:val="FootnoteReference"/>
        </w:rPr>
        <w:footnoteReference w:id="260"/>
      </w:r>
      <w:r w:rsidR="00414E0E" w:rsidRPr="00B740B4">
        <w:t xml:space="preserve"> but possible Aramaisms such as</w:t>
      </w:r>
      <w:r w:rsidR="00035C76" w:rsidRPr="00B740B4">
        <w:t xml:space="preserve"> </w:t>
      </w:r>
      <w:r w:rsidR="00414E0E" w:rsidRPr="00B740B4">
        <w:t>the word</w:t>
      </w:r>
      <w:r w:rsidR="001B7E08" w:rsidRPr="00B740B4">
        <w:t>s</w:t>
      </w:r>
      <w:r w:rsidR="00414E0E" w:rsidRPr="00B740B4">
        <w:t xml:space="preserve"> for </w:t>
      </w:r>
      <w:r w:rsidR="00934A11" w:rsidRPr="00B740B4">
        <w:t>“</w:t>
      </w:r>
      <w:r w:rsidR="00035C76" w:rsidRPr="00B740B4">
        <w:t>knowledge</w:t>
      </w:r>
      <w:r w:rsidR="00934A11" w:rsidRPr="00B740B4">
        <w:t>”</w:t>
      </w:r>
      <w:r w:rsidR="00035C76" w:rsidRPr="00B740B4">
        <w:t xml:space="preserve"> (</w:t>
      </w:r>
      <w:r w:rsidR="000335B6" w:rsidRPr="00B740B4">
        <w:rPr>
          <w:rFonts w:ascii="Arial" w:hAnsi="Arial" w:cs="Arial"/>
        </w:rPr>
        <w:t>עדמ</w:t>
      </w:r>
      <w:r w:rsidR="000335B6" w:rsidRPr="00B740B4">
        <w:t xml:space="preserve">) </w:t>
      </w:r>
      <w:r w:rsidR="00035C76" w:rsidRPr="00B740B4">
        <w:t xml:space="preserve">and </w:t>
      </w:r>
      <w:r w:rsidR="00414E0E" w:rsidRPr="00B740B4">
        <w:t xml:space="preserve">for </w:t>
      </w:r>
      <w:r w:rsidR="00934A11" w:rsidRPr="00B740B4">
        <w:t>“</w:t>
      </w:r>
      <w:r w:rsidR="00035C76" w:rsidRPr="00B740B4">
        <w:t>in case</w:t>
      </w:r>
      <w:r w:rsidR="00934A11" w:rsidRPr="00B740B4">
        <w:t>”</w:t>
      </w:r>
      <w:r w:rsidR="00035C76" w:rsidRPr="00B740B4">
        <w:t xml:space="preserve"> (</w:t>
      </w:r>
      <w:r w:rsidR="00035C76" w:rsidRPr="00B740B4">
        <w:rPr>
          <w:rFonts w:ascii="Arial" w:hAnsi="Arial" w:cs="Arial"/>
        </w:rPr>
        <w:t>למה</w:t>
      </w:r>
      <w:r w:rsidR="00035C76" w:rsidRPr="00B740B4">
        <w:t>)</w:t>
      </w:r>
      <w:r w:rsidR="000335B6" w:rsidRPr="00B740B4">
        <w:t xml:space="preserve"> occur in </w:t>
      </w:r>
      <w:r w:rsidR="00414E0E" w:rsidRPr="00B740B4">
        <w:t>o</w:t>
      </w:r>
      <w:r w:rsidR="000335B6" w:rsidRPr="00B740B4">
        <w:t>ther Hebrew documents.</w:t>
      </w:r>
    </w:p>
    <w:p w:rsidR="00B27480" w:rsidRPr="00B740B4" w:rsidRDefault="00B27480" w:rsidP="00B27480">
      <w:pPr>
        <w:pStyle w:val="Heading3"/>
      </w:pPr>
      <w:r w:rsidRPr="00B740B4">
        <w:t>Structure</w:t>
      </w:r>
    </w:p>
    <w:p w:rsidR="00F12EC0" w:rsidRPr="00B740B4" w:rsidRDefault="00F12EC0" w:rsidP="00F12EC0"/>
    <w:p w:rsidR="00B27480" w:rsidRPr="00B740B4" w:rsidRDefault="00B27480" w:rsidP="00B27480">
      <w:r w:rsidRPr="00B740B4">
        <w:t>Dan 1 forms a</w:t>
      </w:r>
      <w:r w:rsidR="00C20176" w:rsidRPr="00B740B4">
        <w:t xml:space="preserve"> chiastically-shaped narrative</w:t>
      </w:r>
      <w:r w:rsidRPr="00B740B4">
        <w:t xml:space="preserve"> composed of three d</w:t>
      </w:r>
      <w:r w:rsidR="00155DCC">
        <w:t>ouble panels, the central pair</w:t>
      </w:r>
      <w:r w:rsidRPr="00B740B4">
        <w:t xml:space="preserve"> being themselves subdivided chiastically. The story’s plot tension builds through the first three panels, which occupy the opening two-thirds of the chapter (vv 1–14). It is (largely) resolved by the latter three panels in the closing third (vv</w:t>
      </w:r>
      <w:r w:rsidR="00155DCC">
        <w:t xml:space="preserve"> 15–21). D</w:t>
      </w:r>
      <w:r w:rsidRPr="00B740B4">
        <w:t>iagrammatically:</w:t>
      </w:r>
    </w:p>
    <w:p w:rsidR="0059418B" w:rsidRPr="00B740B4" w:rsidRDefault="0059418B" w:rsidP="00B27480"/>
    <w:tbl>
      <w:tblPr>
        <w:tblW w:w="0" w:type="auto"/>
        <w:tblLook w:val="04A0" w:firstRow="1" w:lastRow="0" w:firstColumn="1" w:lastColumn="0" w:noHBand="0" w:noVBand="1"/>
      </w:tblPr>
      <w:tblGrid>
        <w:gridCol w:w="1458"/>
        <w:gridCol w:w="1620"/>
        <w:gridCol w:w="1890"/>
        <w:gridCol w:w="2394"/>
        <w:gridCol w:w="1476"/>
      </w:tblGrid>
      <w:tr w:rsidR="00B27480" w:rsidRPr="00B740B4" w:rsidTr="0059418B">
        <w:trPr>
          <w:gridAfter w:val="1"/>
          <w:wAfter w:w="1476" w:type="dxa"/>
        </w:trPr>
        <w:tc>
          <w:tcPr>
            <w:tcW w:w="1458" w:type="dxa"/>
          </w:tcPr>
          <w:p w:rsidR="00B27480" w:rsidRPr="00B740B4" w:rsidRDefault="00B27480" w:rsidP="00B27480">
            <w:pPr>
              <w:ind w:firstLine="0"/>
            </w:pPr>
            <w:r w:rsidRPr="00B740B4">
              <w:rPr>
                <w:i/>
              </w:rPr>
              <w:t>Panels</w:t>
            </w:r>
          </w:p>
        </w:tc>
        <w:tc>
          <w:tcPr>
            <w:tcW w:w="1620" w:type="dxa"/>
          </w:tcPr>
          <w:p w:rsidR="00B27480" w:rsidRPr="00B740B4" w:rsidRDefault="00B27480" w:rsidP="00B27480">
            <w:pPr>
              <w:ind w:firstLine="0"/>
            </w:pPr>
            <w:r w:rsidRPr="00B740B4">
              <w:rPr>
                <w:i/>
              </w:rPr>
              <w:t>Verses</w:t>
            </w:r>
          </w:p>
        </w:tc>
        <w:tc>
          <w:tcPr>
            <w:tcW w:w="1890" w:type="dxa"/>
          </w:tcPr>
          <w:p w:rsidR="00B27480" w:rsidRPr="00B740B4" w:rsidRDefault="00B27480" w:rsidP="00B27480">
            <w:pPr>
              <w:ind w:firstLine="0"/>
            </w:pPr>
            <w:r w:rsidRPr="00B740B4">
              <w:t> </w:t>
            </w:r>
          </w:p>
        </w:tc>
        <w:tc>
          <w:tcPr>
            <w:tcW w:w="2394" w:type="dxa"/>
          </w:tcPr>
          <w:p w:rsidR="00B27480" w:rsidRPr="00B740B4" w:rsidRDefault="00B27480" w:rsidP="00B27480">
            <w:pPr>
              <w:ind w:firstLine="0"/>
            </w:pPr>
            <w:r w:rsidRPr="00B740B4">
              <w:t> </w:t>
            </w:r>
          </w:p>
        </w:tc>
      </w:tr>
      <w:tr w:rsidR="00B27480" w:rsidRPr="00B740B4" w:rsidTr="00C20176">
        <w:tc>
          <w:tcPr>
            <w:tcW w:w="1458" w:type="dxa"/>
          </w:tcPr>
          <w:p w:rsidR="00B27480" w:rsidRPr="00B740B4" w:rsidRDefault="00B27480" w:rsidP="00B27480">
            <w:pPr>
              <w:ind w:firstLine="0"/>
            </w:pPr>
            <w:r w:rsidRPr="00B740B4">
              <w:t>1A</w:t>
            </w:r>
          </w:p>
        </w:tc>
        <w:tc>
          <w:tcPr>
            <w:tcW w:w="1620" w:type="dxa"/>
          </w:tcPr>
          <w:p w:rsidR="00B27480" w:rsidRPr="00B740B4" w:rsidRDefault="00B27480" w:rsidP="00B27480">
            <w:pPr>
              <w:ind w:firstLine="0"/>
            </w:pPr>
            <w:r w:rsidRPr="00B740B4">
              <w:t>1–2</w:t>
            </w:r>
          </w:p>
        </w:tc>
        <w:tc>
          <w:tcPr>
            <w:tcW w:w="1890" w:type="dxa"/>
          </w:tcPr>
          <w:p w:rsidR="00B27480" w:rsidRPr="00B740B4" w:rsidRDefault="00C20176" w:rsidP="00B27480">
            <w:pPr>
              <w:ind w:firstLine="0"/>
            </w:pPr>
            <w:r w:rsidRPr="00B740B4">
              <w:rPr>
                <w:i/>
              </w:rPr>
              <w:t>T</w:t>
            </w:r>
            <w:r w:rsidR="00B27480" w:rsidRPr="00B740B4">
              <w:rPr>
                <w:i/>
              </w:rPr>
              <w:t>ension</w:t>
            </w:r>
          </w:p>
        </w:tc>
        <w:tc>
          <w:tcPr>
            <w:tcW w:w="3870" w:type="dxa"/>
            <w:gridSpan w:val="2"/>
          </w:tcPr>
          <w:p w:rsidR="00B27480" w:rsidRPr="00B740B4" w:rsidRDefault="00B27480" w:rsidP="00B27480">
            <w:pPr>
              <w:ind w:firstLine="0"/>
            </w:pPr>
            <w:r w:rsidRPr="00B740B4">
              <w:t>Babylonians defeat Israel.</w:t>
            </w:r>
          </w:p>
        </w:tc>
      </w:tr>
      <w:tr w:rsidR="00B27480" w:rsidRPr="00B740B4" w:rsidTr="00C20176">
        <w:tc>
          <w:tcPr>
            <w:tcW w:w="1458" w:type="dxa"/>
          </w:tcPr>
          <w:p w:rsidR="00B27480" w:rsidRPr="00B740B4" w:rsidRDefault="00B63B5E" w:rsidP="00B27480">
            <w:pPr>
              <w:ind w:firstLine="0"/>
            </w:pPr>
            <w:r>
              <w:t xml:space="preserve">  </w:t>
            </w:r>
            <w:r w:rsidR="00B27480" w:rsidRPr="00B740B4">
              <w:t>2A</w:t>
            </w:r>
          </w:p>
        </w:tc>
        <w:tc>
          <w:tcPr>
            <w:tcW w:w="1620" w:type="dxa"/>
          </w:tcPr>
          <w:p w:rsidR="00B27480" w:rsidRPr="00B740B4" w:rsidRDefault="00B63B5E" w:rsidP="00B27480">
            <w:pPr>
              <w:ind w:firstLine="0"/>
            </w:pPr>
            <w:r>
              <w:t xml:space="preserve">  </w:t>
            </w:r>
            <w:r w:rsidR="00B27480" w:rsidRPr="00B740B4">
              <w:t>3–7</w:t>
            </w:r>
          </w:p>
        </w:tc>
        <w:tc>
          <w:tcPr>
            <w:tcW w:w="1890" w:type="dxa"/>
          </w:tcPr>
          <w:p w:rsidR="00B27480" w:rsidRPr="00B740B4" w:rsidRDefault="00B27480" w:rsidP="00B27480">
            <w:pPr>
              <w:ind w:firstLine="0"/>
            </w:pPr>
            <w:r w:rsidRPr="00B740B4">
              <w:t> </w:t>
            </w:r>
          </w:p>
        </w:tc>
        <w:tc>
          <w:tcPr>
            <w:tcW w:w="3870" w:type="dxa"/>
            <w:gridSpan w:val="2"/>
          </w:tcPr>
          <w:p w:rsidR="00B27480" w:rsidRPr="00B740B4" w:rsidRDefault="00B27480" w:rsidP="00B27480">
            <w:pPr>
              <w:ind w:firstLine="0"/>
            </w:pPr>
            <w:r w:rsidRPr="00B740B4">
              <w:t>Young men are taken for training.</w:t>
            </w:r>
          </w:p>
        </w:tc>
      </w:tr>
      <w:tr w:rsidR="00B27480" w:rsidRPr="00B740B4" w:rsidTr="00C20176">
        <w:tc>
          <w:tcPr>
            <w:tcW w:w="1458" w:type="dxa"/>
          </w:tcPr>
          <w:p w:rsidR="00B27480" w:rsidRPr="00B740B4" w:rsidRDefault="00B63B5E" w:rsidP="00B27480">
            <w:pPr>
              <w:ind w:firstLine="0"/>
            </w:pPr>
            <w:r>
              <w:t xml:space="preserve">    </w:t>
            </w:r>
            <w:r w:rsidR="00B27480" w:rsidRPr="00B740B4">
              <w:t>3(i)A</w:t>
            </w:r>
          </w:p>
        </w:tc>
        <w:tc>
          <w:tcPr>
            <w:tcW w:w="1620" w:type="dxa"/>
          </w:tcPr>
          <w:p w:rsidR="00B27480" w:rsidRPr="00B740B4" w:rsidRDefault="00B63B5E" w:rsidP="00B27480">
            <w:pPr>
              <w:ind w:firstLine="0"/>
            </w:pPr>
            <w:r>
              <w:t xml:space="preserve">    </w:t>
            </w:r>
            <w:r w:rsidR="00B27480" w:rsidRPr="00B740B4">
              <w:t>8</w:t>
            </w:r>
          </w:p>
        </w:tc>
        <w:tc>
          <w:tcPr>
            <w:tcW w:w="1890" w:type="dxa"/>
          </w:tcPr>
          <w:p w:rsidR="00B27480" w:rsidRPr="00B740B4" w:rsidRDefault="00B27480" w:rsidP="00B27480">
            <w:pPr>
              <w:ind w:firstLine="0"/>
            </w:pPr>
            <w:r w:rsidRPr="00B740B4">
              <w:t> </w:t>
            </w:r>
          </w:p>
        </w:tc>
        <w:tc>
          <w:tcPr>
            <w:tcW w:w="3870" w:type="dxa"/>
            <w:gridSpan w:val="2"/>
          </w:tcPr>
          <w:p w:rsidR="00B27480" w:rsidRPr="00B740B4" w:rsidRDefault="00B27480" w:rsidP="00B27480">
            <w:pPr>
              <w:ind w:firstLine="0"/>
            </w:pPr>
            <w:r w:rsidRPr="00B740B4">
              <w:t>Daniel wants to avoid defilement</w:t>
            </w:r>
          </w:p>
        </w:tc>
      </w:tr>
      <w:tr w:rsidR="00B27480" w:rsidRPr="00B740B4" w:rsidTr="00C20176">
        <w:tc>
          <w:tcPr>
            <w:tcW w:w="1458" w:type="dxa"/>
          </w:tcPr>
          <w:p w:rsidR="00B27480" w:rsidRPr="00B740B4" w:rsidRDefault="00B63B5E" w:rsidP="00B27480">
            <w:pPr>
              <w:ind w:firstLine="0"/>
            </w:pPr>
            <w:r>
              <w:t xml:space="preserve">      </w:t>
            </w:r>
            <w:r w:rsidR="00B27480" w:rsidRPr="00B740B4">
              <w:t>3(ii)A</w:t>
            </w:r>
          </w:p>
        </w:tc>
        <w:tc>
          <w:tcPr>
            <w:tcW w:w="1620" w:type="dxa"/>
          </w:tcPr>
          <w:p w:rsidR="00B27480" w:rsidRPr="00B740B4" w:rsidRDefault="00B63B5E" w:rsidP="00B27480">
            <w:pPr>
              <w:ind w:firstLine="0"/>
            </w:pPr>
            <w:r>
              <w:t xml:space="preserve">      </w:t>
            </w:r>
            <w:r w:rsidR="00B27480" w:rsidRPr="00B740B4">
              <w:t>9–14</w:t>
            </w:r>
          </w:p>
        </w:tc>
        <w:tc>
          <w:tcPr>
            <w:tcW w:w="1890" w:type="dxa"/>
          </w:tcPr>
          <w:p w:rsidR="00B27480" w:rsidRPr="00B740B4" w:rsidRDefault="00B27480" w:rsidP="00B27480">
            <w:pPr>
              <w:ind w:firstLine="0"/>
            </w:pPr>
            <w:r w:rsidRPr="00B740B4">
              <w:t> </w:t>
            </w:r>
          </w:p>
        </w:tc>
        <w:tc>
          <w:tcPr>
            <w:tcW w:w="3870" w:type="dxa"/>
            <w:gridSpan w:val="2"/>
          </w:tcPr>
          <w:p w:rsidR="00B27480" w:rsidRPr="00B740B4" w:rsidRDefault="00B27480" w:rsidP="00B27480">
            <w:pPr>
              <w:ind w:firstLine="0"/>
            </w:pPr>
            <w:r w:rsidRPr="00B740B4">
              <w:t>and takes on a test.</w:t>
            </w:r>
          </w:p>
        </w:tc>
      </w:tr>
      <w:tr w:rsidR="00B27480" w:rsidRPr="00B740B4" w:rsidTr="00C20176">
        <w:tc>
          <w:tcPr>
            <w:tcW w:w="1458" w:type="dxa"/>
          </w:tcPr>
          <w:p w:rsidR="00B27480" w:rsidRPr="00B740B4" w:rsidRDefault="00B63B5E" w:rsidP="00B27480">
            <w:pPr>
              <w:ind w:firstLine="0"/>
            </w:pPr>
            <w:r>
              <w:t xml:space="preserve">      </w:t>
            </w:r>
            <w:r w:rsidR="00B27480" w:rsidRPr="00B740B4">
              <w:t>3(ii)B</w:t>
            </w:r>
          </w:p>
        </w:tc>
        <w:tc>
          <w:tcPr>
            <w:tcW w:w="1620" w:type="dxa"/>
          </w:tcPr>
          <w:p w:rsidR="00B27480" w:rsidRPr="00B740B4" w:rsidRDefault="00B63B5E" w:rsidP="00B27480">
            <w:pPr>
              <w:ind w:firstLine="0"/>
            </w:pPr>
            <w:r>
              <w:t xml:space="preserve">     </w:t>
            </w:r>
            <w:r w:rsidR="00B27480" w:rsidRPr="00B740B4">
              <w:t>15</w:t>
            </w:r>
          </w:p>
        </w:tc>
        <w:tc>
          <w:tcPr>
            <w:tcW w:w="1890" w:type="dxa"/>
          </w:tcPr>
          <w:p w:rsidR="00B27480" w:rsidRPr="00B740B4" w:rsidRDefault="00C20176" w:rsidP="00B27480">
            <w:pPr>
              <w:ind w:firstLine="0"/>
            </w:pPr>
            <w:r w:rsidRPr="00B740B4">
              <w:rPr>
                <w:i/>
              </w:rPr>
              <w:t>R</w:t>
            </w:r>
            <w:r w:rsidR="00B27480" w:rsidRPr="00B740B4">
              <w:rPr>
                <w:i/>
              </w:rPr>
              <w:t>esolution</w:t>
            </w:r>
          </w:p>
        </w:tc>
        <w:tc>
          <w:tcPr>
            <w:tcW w:w="3870" w:type="dxa"/>
            <w:gridSpan w:val="2"/>
          </w:tcPr>
          <w:p w:rsidR="00B27480" w:rsidRPr="00B740B4" w:rsidRDefault="00B27480" w:rsidP="00B27480">
            <w:pPr>
              <w:ind w:firstLine="0"/>
            </w:pPr>
            <w:r w:rsidRPr="00B740B4">
              <w:t>Daniel is triumphant in the test</w:t>
            </w:r>
          </w:p>
        </w:tc>
      </w:tr>
      <w:tr w:rsidR="00B27480" w:rsidRPr="00B740B4" w:rsidTr="00C20176">
        <w:tc>
          <w:tcPr>
            <w:tcW w:w="1458" w:type="dxa"/>
          </w:tcPr>
          <w:p w:rsidR="00B27480" w:rsidRPr="00B740B4" w:rsidRDefault="00B63B5E" w:rsidP="00B27480">
            <w:pPr>
              <w:ind w:firstLine="0"/>
            </w:pPr>
            <w:r>
              <w:t xml:space="preserve">    </w:t>
            </w:r>
            <w:r w:rsidR="00B27480" w:rsidRPr="00B740B4">
              <w:t>3(i)B</w:t>
            </w:r>
          </w:p>
        </w:tc>
        <w:tc>
          <w:tcPr>
            <w:tcW w:w="1620" w:type="dxa"/>
          </w:tcPr>
          <w:p w:rsidR="00B27480" w:rsidRPr="00B740B4" w:rsidRDefault="00B63B5E" w:rsidP="00B27480">
            <w:pPr>
              <w:ind w:firstLine="0"/>
            </w:pPr>
            <w:r>
              <w:t xml:space="preserve">    </w:t>
            </w:r>
            <w:r w:rsidR="00B27480" w:rsidRPr="00B740B4">
              <w:t>16</w:t>
            </w:r>
          </w:p>
        </w:tc>
        <w:tc>
          <w:tcPr>
            <w:tcW w:w="1890" w:type="dxa"/>
          </w:tcPr>
          <w:p w:rsidR="00B27480" w:rsidRPr="00B740B4" w:rsidRDefault="00B27480" w:rsidP="00B27480">
            <w:pPr>
              <w:ind w:firstLine="0"/>
            </w:pPr>
            <w:r w:rsidRPr="00B740B4">
              <w:t> </w:t>
            </w:r>
          </w:p>
        </w:tc>
        <w:tc>
          <w:tcPr>
            <w:tcW w:w="3870" w:type="dxa"/>
            <w:gridSpan w:val="2"/>
          </w:tcPr>
          <w:p w:rsidR="00B27480" w:rsidRPr="00B740B4" w:rsidRDefault="00B27480" w:rsidP="00B27480">
            <w:pPr>
              <w:ind w:firstLine="0"/>
            </w:pPr>
            <w:r w:rsidRPr="00B740B4">
              <w:t>and avoids defilement.</w:t>
            </w:r>
          </w:p>
        </w:tc>
      </w:tr>
      <w:tr w:rsidR="00B27480" w:rsidRPr="00B740B4" w:rsidTr="00C20176">
        <w:tc>
          <w:tcPr>
            <w:tcW w:w="1458" w:type="dxa"/>
          </w:tcPr>
          <w:p w:rsidR="00B27480" w:rsidRPr="00B740B4" w:rsidRDefault="00B63B5E" w:rsidP="00B27480">
            <w:pPr>
              <w:ind w:firstLine="0"/>
            </w:pPr>
            <w:r>
              <w:t xml:space="preserve">  </w:t>
            </w:r>
            <w:r w:rsidR="00B27480" w:rsidRPr="00B740B4">
              <w:t>2B</w:t>
            </w:r>
          </w:p>
        </w:tc>
        <w:tc>
          <w:tcPr>
            <w:tcW w:w="1620" w:type="dxa"/>
          </w:tcPr>
          <w:p w:rsidR="00B27480" w:rsidRPr="00B740B4" w:rsidRDefault="00B63B5E" w:rsidP="00B27480">
            <w:pPr>
              <w:ind w:firstLine="0"/>
            </w:pPr>
            <w:r>
              <w:t xml:space="preserve">  </w:t>
            </w:r>
            <w:r w:rsidR="00B27480" w:rsidRPr="00B740B4">
              <w:t>17–20</w:t>
            </w:r>
          </w:p>
        </w:tc>
        <w:tc>
          <w:tcPr>
            <w:tcW w:w="1890" w:type="dxa"/>
          </w:tcPr>
          <w:p w:rsidR="00B27480" w:rsidRPr="00B740B4" w:rsidRDefault="00B27480" w:rsidP="00B27480">
            <w:pPr>
              <w:ind w:firstLine="0"/>
            </w:pPr>
            <w:r w:rsidRPr="00B740B4">
              <w:t> </w:t>
            </w:r>
          </w:p>
        </w:tc>
        <w:tc>
          <w:tcPr>
            <w:tcW w:w="3870" w:type="dxa"/>
            <w:gridSpan w:val="2"/>
          </w:tcPr>
          <w:p w:rsidR="00B27480" w:rsidRPr="00B740B4" w:rsidRDefault="00B27480" w:rsidP="00C20176">
            <w:pPr>
              <w:ind w:right="-126" w:firstLine="0"/>
            </w:pPr>
            <w:r w:rsidRPr="00B740B4">
              <w:t>Young men are triumphant in the training.</w:t>
            </w:r>
          </w:p>
        </w:tc>
      </w:tr>
      <w:tr w:rsidR="00B27480" w:rsidRPr="00B740B4" w:rsidTr="00C20176">
        <w:tc>
          <w:tcPr>
            <w:tcW w:w="1458" w:type="dxa"/>
          </w:tcPr>
          <w:p w:rsidR="00B27480" w:rsidRPr="00B740B4" w:rsidRDefault="00B27480" w:rsidP="00B27480">
            <w:pPr>
              <w:ind w:firstLine="0"/>
            </w:pPr>
            <w:r w:rsidRPr="00B740B4">
              <w:t>1B</w:t>
            </w:r>
          </w:p>
        </w:tc>
        <w:tc>
          <w:tcPr>
            <w:tcW w:w="1620" w:type="dxa"/>
          </w:tcPr>
          <w:p w:rsidR="00B27480" w:rsidRPr="00B740B4" w:rsidRDefault="00B27480" w:rsidP="00B27480">
            <w:pPr>
              <w:ind w:firstLine="0"/>
            </w:pPr>
            <w:r w:rsidRPr="00B740B4">
              <w:t>21</w:t>
            </w:r>
          </w:p>
        </w:tc>
        <w:tc>
          <w:tcPr>
            <w:tcW w:w="1890" w:type="dxa"/>
          </w:tcPr>
          <w:p w:rsidR="00B27480" w:rsidRPr="00B740B4" w:rsidRDefault="00B27480" w:rsidP="00B27480">
            <w:pPr>
              <w:ind w:firstLine="0"/>
            </w:pPr>
            <w:r w:rsidRPr="00B740B4">
              <w:t> </w:t>
            </w:r>
          </w:p>
        </w:tc>
        <w:tc>
          <w:tcPr>
            <w:tcW w:w="3870" w:type="dxa"/>
            <w:gridSpan w:val="2"/>
          </w:tcPr>
          <w:p w:rsidR="00B27480" w:rsidRPr="00B740B4" w:rsidRDefault="00B27480" w:rsidP="00B27480">
            <w:pPr>
              <w:ind w:firstLine="0"/>
            </w:pPr>
            <w:r w:rsidRPr="00B740B4">
              <w:t>Daniel sees out the Babylonians.</w:t>
            </w:r>
          </w:p>
        </w:tc>
      </w:tr>
      <w:tr w:rsidR="0059418B" w:rsidRPr="00B740B4" w:rsidTr="00C20176">
        <w:tc>
          <w:tcPr>
            <w:tcW w:w="1458" w:type="dxa"/>
          </w:tcPr>
          <w:p w:rsidR="0059418B" w:rsidRPr="00B740B4" w:rsidRDefault="0059418B" w:rsidP="00B27480">
            <w:pPr>
              <w:ind w:firstLine="0"/>
            </w:pPr>
          </w:p>
        </w:tc>
        <w:tc>
          <w:tcPr>
            <w:tcW w:w="1620" w:type="dxa"/>
          </w:tcPr>
          <w:p w:rsidR="0059418B" w:rsidRPr="00B740B4" w:rsidRDefault="0059418B" w:rsidP="00B27480">
            <w:pPr>
              <w:ind w:firstLine="0"/>
            </w:pPr>
          </w:p>
        </w:tc>
        <w:tc>
          <w:tcPr>
            <w:tcW w:w="1890" w:type="dxa"/>
          </w:tcPr>
          <w:p w:rsidR="0059418B" w:rsidRPr="00B740B4" w:rsidRDefault="0059418B" w:rsidP="00B27480">
            <w:pPr>
              <w:ind w:firstLine="0"/>
            </w:pPr>
          </w:p>
        </w:tc>
        <w:tc>
          <w:tcPr>
            <w:tcW w:w="3870" w:type="dxa"/>
            <w:gridSpan w:val="2"/>
          </w:tcPr>
          <w:p w:rsidR="0059418B" w:rsidRPr="00B740B4" w:rsidRDefault="0059418B" w:rsidP="00B27480">
            <w:pPr>
              <w:ind w:firstLine="0"/>
            </w:pPr>
          </w:p>
        </w:tc>
      </w:tr>
    </w:tbl>
    <w:p w:rsidR="00B27480" w:rsidRPr="00B740B4" w:rsidRDefault="00B27480" w:rsidP="00B27480">
      <w:r w:rsidRPr="00B740B4">
        <w:t>The sto</w:t>
      </w:r>
      <w:r w:rsidR="00C20176" w:rsidRPr="00B740B4">
        <w:t>ry is dominated by the decision-</w:t>
      </w:r>
      <w:r w:rsidRPr="00B740B4">
        <w:t xml:space="preserve">making and activity of its human participants, but each double panel refers once to God’s activity, each time using the verb </w:t>
      </w:r>
      <w:r w:rsidRPr="00B740B4">
        <w:rPr>
          <w:rFonts w:ascii="Arial" w:hAnsi="Arial" w:cs="Arial"/>
        </w:rPr>
        <w:t>נתן</w:t>
      </w:r>
      <w:r w:rsidRPr="00B740B4">
        <w:t xml:space="preserve"> </w:t>
      </w:r>
      <w:r w:rsidR="00934A11" w:rsidRPr="00B740B4">
        <w:t>“</w:t>
      </w:r>
      <w:r w:rsidRPr="00B740B4">
        <w:t>give/make.</w:t>
      </w:r>
      <w:r w:rsidR="00934A11" w:rsidRPr="00B740B4">
        <w:t>”</w:t>
      </w:r>
      <w:r w:rsidRPr="00B740B4">
        <w:t xml:space="preserve"> Like statements about human feelings and motivation in stories (as here in v 8), such allusions take the hearer behind the action, declining for a moment to leave it to speak for itself. They affirm that God’s giving lies behind three events that are surprising</w:t>
      </w:r>
      <w:r w:rsidR="00C20176" w:rsidRPr="00B740B4">
        <w:t>,</w:t>
      </w:r>
      <w:r w:rsidRPr="00B740B4">
        <w:t xml:space="preserve"> for different reasons: Nebuchadnezzar’s success in his siege of Jerusalem, Daniel’s success in his negotiation with the palace, and the young men’s success in their </w:t>
      </w:r>
      <w:r w:rsidRPr="00B740B4">
        <w:lastRenderedPageBreak/>
        <w:t>training. (It is noteworthy that no such affirmation is made regarding their remarkable success in the dietary test.)</w:t>
      </w:r>
    </w:p>
    <w:p w:rsidR="00765C93" w:rsidRPr="00B740B4" w:rsidRDefault="00B27480" w:rsidP="00765C93">
      <w:r w:rsidRPr="00B740B4">
        <w:t>Thus near the center of panel 1A, the phrase</w:t>
      </w:r>
      <w:r w:rsidR="00C20176" w:rsidRPr="00B740B4">
        <w:t xml:space="preserve"> </w:t>
      </w:r>
      <w:r w:rsidR="00C20176" w:rsidRPr="00B740B4">
        <w:rPr>
          <w:rFonts w:ascii="Arial" w:hAnsi="Arial" w:cs="Arial"/>
        </w:rPr>
        <w:t>בידו</w:t>
      </w:r>
      <w:r w:rsidRPr="00B740B4">
        <w:t xml:space="preserve"> </w:t>
      </w:r>
      <w:r w:rsidRPr="00B740B4">
        <w:rPr>
          <w:rFonts w:ascii="Arial" w:hAnsi="Arial" w:cs="Arial"/>
        </w:rPr>
        <w:t>אדני</w:t>
      </w:r>
      <w:r w:rsidRPr="00B740B4">
        <w:t xml:space="preserve"> </w:t>
      </w:r>
      <w:r w:rsidR="00C20176" w:rsidRPr="00B740B4">
        <w:rPr>
          <w:rFonts w:ascii="Arial" w:hAnsi="Arial" w:cs="Arial"/>
        </w:rPr>
        <w:t>ויתן</w:t>
      </w:r>
      <w:r w:rsidR="00C20176" w:rsidRPr="00B740B4">
        <w:t xml:space="preserve"> </w:t>
      </w:r>
      <w:r w:rsidRPr="00B740B4">
        <w:t>(</w:t>
      </w:r>
      <w:r w:rsidR="00934A11" w:rsidRPr="00B740B4">
        <w:t>“</w:t>
      </w:r>
      <w:r w:rsidRPr="00B740B4">
        <w:t>the Lord gave into his power,</w:t>
      </w:r>
      <w:r w:rsidR="00934A11" w:rsidRPr="00B740B4">
        <w:t>”</w:t>
      </w:r>
      <w:r w:rsidRPr="00B740B4">
        <w:t xml:space="preserve"> v 2) stands out from the otherwise movement-dominated context and from its this-worldly tone, encouraging the reader to bring another framework of interpretation to the events the scene relates. The phrase plays an important role in setting up the tension that will be (partially) resolved by panel 1B (v 21). It differs from the subsequent allusions to God’s activity in </w:t>
      </w:r>
      <w:r w:rsidR="00C20176" w:rsidRPr="00B740B4">
        <w:t>that it constitutes</w:t>
      </w:r>
      <w:r w:rsidRPr="00B740B4">
        <w:t xml:space="preserve"> a statement about events in its own right: there is no non</w:t>
      </w:r>
      <w:r w:rsidR="00C20176" w:rsidRPr="00B740B4">
        <w:t>-</w:t>
      </w:r>
      <w:r w:rsidRPr="00B740B4">
        <w:t>theological description of the fall of Jerusalem, only this theological one. In contrast, the other two such allusions (vv 9, 17) are parenthetic background statements interpreting phenomena that are also described in non</w:t>
      </w:r>
      <w:r w:rsidR="00C20176" w:rsidRPr="00B740B4">
        <w:t>-</w:t>
      </w:r>
      <w:r w:rsidRPr="00B740B4">
        <w:t>theological terms (vv 10–16, 4/18–20); the story would be quite complete as a story without these comments. The allusion to God’s activity in panel 2 dif</w:t>
      </w:r>
      <w:r w:rsidR="001B7E08" w:rsidRPr="00B740B4">
        <w:t xml:space="preserve">fers from the other two in </w:t>
      </w:r>
      <w:r w:rsidRPr="00B740B4">
        <w:t>it</w:t>
      </w:r>
      <w:r w:rsidR="001B7E08" w:rsidRPr="00B740B4">
        <w:t>s occurring</w:t>
      </w:r>
      <w:r w:rsidRPr="00B740B4">
        <w:t xml:space="preserve"> in the </w:t>
      </w:r>
      <w:r w:rsidR="00934A11" w:rsidRPr="00B740B4">
        <w:t>“</w:t>
      </w:r>
      <w:r w:rsidRPr="00B740B4">
        <w:t>resolution</w:t>
      </w:r>
      <w:r w:rsidR="00934A11" w:rsidRPr="00B740B4">
        <w:t>”</w:t>
      </w:r>
      <w:r w:rsidR="00B76FFE" w:rsidRPr="00B740B4">
        <w:t xml:space="preserve"> part of the story, panel 2B; t</w:t>
      </w:r>
      <w:r w:rsidRPr="00B740B4">
        <w:t xml:space="preserve">he other allusions occur in the </w:t>
      </w:r>
      <w:r w:rsidR="00934A11" w:rsidRPr="00B740B4">
        <w:t>“</w:t>
      </w:r>
      <w:r w:rsidRPr="00B740B4">
        <w:t>tension</w:t>
      </w:r>
      <w:r w:rsidR="00934A11" w:rsidRPr="00B740B4">
        <w:t>”</w:t>
      </w:r>
      <w:r w:rsidRPr="00B740B4">
        <w:t xml:space="preserve"> part of the story, in panels 1A and 3A, and </w:t>
      </w:r>
      <w:r w:rsidR="00B76FFE" w:rsidRPr="00B740B4">
        <w:t xml:space="preserve">they </w:t>
      </w:r>
      <w:r w:rsidRPr="00B740B4">
        <w:t xml:space="preserve">thus constitute anticipations or hints of eventual resolution. Panel 2A contains no hint of this kind, though v 4 gives hints in its own way. The phrase </w:t>
      </w:r>
      <w:r w:rsidRPr="00B740B4">
        <w:rPr>
          <w:rFonts w:ascii="Arial" w:hAnsi="Arial" w:cs="Arial"/>
        </w:rPr>
        <w:t>נתן</w:t>
      </w:r>
      <w:r w:rsidRPr="00B740B4">
        <w:t xml:space="preserve"> </w:t>
      </w:r>
      <w:r w:rsidRPr="00B740B4">
        <w:rPr>
          <w:rFonts w:ascii="Arial" w:hAnsi="Arial" w:cs="Arial"/>
        </w:rPr>
        <w:t>להם</w:t>
      </w:r>
      <w:r w:rsidRPr="00B740B4">
        <w:t xml:space="preserve"> </w:t>
      </w:r>
      <w:r w:rsidRPr="00B740B4">
        <w:rPr>
          <w:rFonts w:ascii="Arial" w:hAnsi="Arial" w:cs="Arial"/>
        </w:rPr>
        <w:t>האלהים</w:t>
      </w:r>
      <w:r w:rsidRPr="00B740B4">
        <w:t xml:space="preserve"> (</w:t>
      </w:r>
      <w:r w:rsidR="00934A11" w:rsidRPr="00B740B4">
        <w:t>“</w:t>
      </w:r>
      <w:r w:rsidRPr="00B740B4">
        <w:t>God gave them,</w:t>
      </w:r>
      <w:r w:rsidR="00934A11" w:rsidRPr="00B740B4">
        <w:t>”</w:t>
      </w:r>
      <w:r w:rsidRPr="00B740B4">
        <w:t xml:space="preserve"> v 17) thus overtly expresses in panel 2B the possible implication of the verse in panel 2A. In panel 3A </w:t>
      </w:r>
      <w:r w:rsidRPr="00B740B4">
        <w:rPr>
          <w:rFonts w:ascii="Arial" w:hAnsi="Arial" w:cs="Arial"/>
        </w:rPr>
        <w:t>האלהים</w:t>
      </w:r>
      <w:r w:rsidRPr="00B740B4">
        <w:t xml:space="preserve"> </w:t>
      </w:r>
      <w:r w:rsidR="00B76FFE" w:rsidRPr="00B740B4">
        <w:t xml:space="preserve"> </w:t>
      </w:r>
      <w:r w:rsidR="00B76FFE" w:rsidRPr="00B740B4">
        <w:rPr>
          <w:rFonts w:ascii="Arial" w:hAnsi="Arial" w:cs="Arial"/>
        </w:rPr>
        <w:t>ויתן</w:t>
      </w:r>
      <w:r w:rsidR="00B76FFE" w:rsidRPr="00B740B4">
        <w:t xml:space="preserve"> </w:t>
      </w:r>
      <w:r w:rsidRPr="00B740B4">
        <w:t>(</w:t>
      </w:r>
      <w:r w:rsidR="00934A11" w:rsidRPr="00B740B4">
        <w:t>“</w:t>
      </w:r>
      <w:r w:rsidRPr="00B740B4">
        <w:t>God gave/made,</w:t>
      </w:r>
      <w:r w:rsidR="00934A11" w:rsidRPr="00B740B4">
        <w:t>”</w:t>
      </w:r>
      <w:r w:rsidRPr="00B740B4">
        <w:t xml:space="preserve"> v 9) indicates that the possibility of Daniel’s remaining undefiled is based on God’s grace as well as on Daniel’s determination (v 8), though it does not indicate how either may come to fruition (indeed v 10 all but undoes the hope encouraged by v 9). It differs from the other two occurrences of the phrase because </w:t>
      </w:r>
      <w:r w:rsidRPr="00B740B4">
        <w:rPr>
          <w:rFonts w:ascii="Arial" w:hAnsi="Arial" w:cs="Arial"/>
        </w:rPr>
        <w:t>נתן</w:t>
      </w:r>
      <w:r w:rsidRPr="00B740B4">
        <w:t xml:space="preserve"> here has a slightly different meaning, closer to those of </w:t>
      </w:r>
      <w:r w:rsidRPr="00B740B4">
        <w:rPr>
          <w:rFonts w:ascii="Arial" w:hAnsi="Arial" w:cs="Arial"/>
        </w:rPr>
        <w:t>ים</w:t>
      </w:r>
      <w:r w:rsidRPr="00B740B4">
        <w:t xml:space="preserve"> </w:t>
      </w:r>
      <w:r w:rsidR="000550DB" w:rsidRPr="000550DB">
        <w:rPr>
          <w:rFonts w:ascii="Arial" w:hAnsi="Arial" w:cs="Arial"/>
        </w:rPr>
        <w:t>ש</w:t>
      </w:r>
      <w:r w:rsidR="000550DB">
        <w:t xml:space="preserve"> </w:t>
      </w:r>
      <w:r w:rsidRPr="00B740B4">
        <w:t xml:space="preserve">or </w:t>
      </w:r>
      <w:r w:rsidRPr="00B740B4">
        <w:rPr>
          <w:rFonts w:ascii="Arial" w:hAnsi="Arial" w:cs="Arial"/>
        </w:rPr>
        <w:t>שית</w:t>
      </w:r>
      <w:r w:rsidRPr="00B740B4">
        <w:t xml:space="preserve"> (</w:t>
      </w:r>
      <w:r w:rsidR="00934A11" w:rsidRPr="00B740B4">
        <w:t>“</w:t>
      </w:r>
      <w:r w:rsidRPr="00B740B4">
        <w:t>put,</w:t>
      </w:r>
      <w:r w:rsidR="00934A11" w:rsidRPr="00B740B4">
        <w:t>”</w:t>
      </w:r>
      <w:r w:rsidRPr="00B740B4">
        <w:t xml:space="preserve"> </w:t>
      </w:r>
      <w:r w:rsidR="00934A11" w:rsidRPr="00B740B4">
        <w:t>“</w:t>
      </w:r>
      <w:r w:rsidRPr="00B740B4">
        <w:t>set</w:t>
      </w:r>
      <w:r w:rsidR="00934A11" w:rsidRPr="00B740B4">
        <w:t>”</w:t>
      </w:r>
      <w:r w:rsidRPr="00B740B4">
        <w:t xml:space="preserve">) than to those of </w:t>
      </w:r>
      <w:r w:rsidRPr="00B740B4">
        <w:rPr>
          <w:rFonts w:ascii="Arial" w:hAnsi="Arial" w:cs="Arial"/>
        </w:rPr>
        <w:t>יהב</w:t>
      </w:r>
      <w:r w:rsidRPr="00B740B4">
        <w:t xml:space="preserve"> or </w:t>
      </w:r>
      <w:r w:rsidRPr="00B740B4">
        <w:rPr>
          <w:rFonts w:ascii="Arial" w:hAnsi="Arial" w:cs="Arial"/>
        </w:rPr>
        <w:t>חלק</w:t>
      </w:r>
      <w:r w:rsidRPr="00B740B4">
        <w:t xml:space="preserve"> (</w:t>
      </w:r>
      <w:r w:rsidR="00934A11" w:rsidRPr="00B740B4">
        <w:t>“</w:t>
      </w:r>
      <w:r w:rsidRPr="00B740B4">
        <w:t>give,</w:t>
      </w:r>
      <w:r w:rsidR="00934A11" w:rsidRPr="00B740B4">
        <w:t>”</w:t>
      </w:r>
      <w:r w:rsidRPr="00B740B4">
        <w:t xml:space="preserve"> </w:t>
      </w:r>
      <w:r w:rsidR="00934A11" w:rsidRPr="00B740B4">
        <w:t>“</w:t>
      </w:r>
      <w:r w:rsidRPr="00B740B4">
        <w:t>allocate</w:t>
      </w:r>
      <w:r w:rsidR="00934A11" w:rsidRPr="00B740B4">
        <w:t>”</w:t>
      </w:r>
      <w:r w:rsidRPr="00B740B4">
        <w:t>). The three references to God’s activity contribute to a series of developments and reversals of movement in Dan 1 as a whole, as the agents and subjects of the verbs change: Nebuchadnezzar . . . (v 1), the Lord . . . (v 2); so the king and the head of staff . . . (vv 2–7), but Daniel . . . (v 8), and God . . . (v 9) [relating to what precedes and to what follows]; again, the head of staff . . . (v 10), so Daniel and the guardian . . . (vv 11–16), and God . . . (v 17). . . . God’s giving thus plays a ke</w:t>
      </w:r>
      <w:r w:rsidR="00420FC0">
        <w:t xml:space="preserve">y role in the story’s unfolding, and </w:t>
      </w:r>
      <w:r w:rsidR="00765C93" w:rsidRPr="00B740B4">
        <w:t>“</w:t>
      </w:r>
      <w:r w:rsidR="00420FC0">
        <w:rPr>
          <w:rFonts w:eastAsiaTheme="minorHAnsi" w:cs="Palatino-Roman"/>
        </w:rPr>
        <w:t>w</w:t>
      </w:r>
      <w:r w:rsidR="00765C93" w:rsidRPr="00B740B4">
        <w:rPr>
          <w:rFonts w:eastAsiaTheme="minorHAnsi" w:cs="Palatino-Roman"/>
        </w:rPr>
        <w:t>hat started</w:t>
      </w:r>
      <w:r w:rsidR="00765C93" w:rsidRPr="00B740B4">
        <w:t xml:space="preserve"> </w:t>
      </w:r>
      <w:r w:rsidR="00765C93" w:rsidRPr="00B740B4">
        <w:rPr>
          <w:rFonts w:eastAsiaTheme="minorHAnsi" w:cs="Palatino-Roman"/>
        </w:rPr>
        <w:t>off as an invasion of Yahweh’s god-space actually became a</w:t>
      </w:r>
      <w:r w:rsidR="00765C93" w:rsidRPr="00B740B4">
        <w:t xml:space="preserve"> </w:t>
      </w:r>
      <w:r w:rsidR="00765C93" w:rsidRPr="00B740B4">
        <w:rPr>
          <w:rFonts w:eastAsiaTheme="minorHAnsi" w:cs="Palatino-Roman"/>
        </w:rPr>
        <w:t>clever strategy to invade Marduk’s own territory.”</w:t>
      </w:r>
      <w:r w:rsidR="00C837C5" w:rsidRPr="00B740B4">
        <w:rPr>
          <w:rStyle w:val="FootnoteReference"/>
          <w:rFonts w:eastAsiaTheme="minorHAnsi" w:cs="Palatino-Roman"/>
        </w:rPr>
        <w:footnoteReference w:id="261"/>
      </w:r>
    </w:p>
    <w:p w:rsidR="00E50028" w:rsidRPr="00B740B4" w:rsidRDefault="00B27480" w:rsidP="00E50028">
      <w:r w:rsidRPr="00B740B4">
        <w:t xml:space="preserve">Panel 1A begins by setting alongside each other the autonomous rulers of two independent realms, </w:t>
      </w:r>
      <w:r w:rsidR="00B76FFE" w:rsidRPr="00B740B4">
        <w:rPr>
          <w:i/>
          <w:lang w:val="en-GB"/>
        </w:rPr>
        <w:t>Yehoyaqim</w:t>
      </w:r>
      <w:r w:rsidR="00B76FFE" w:rsidRPr="00B740B4">
        <w:rPr>
          <w:i/>
        </w:rPr>
        <w:t xml:space="preserve"> king of Yehudah </w:t>
      </w:r>
      <w:r w:rsidR="00B76FFE" w:rsidRPr="00B740B4">
        <w:t>and</w:t>
      </w:r>
      <w:r w:rsidR="00B76FFE" w:rsidRPr="00B740B4">
        <w:rPr>
          <w:i/>
        </w:rPr>
        <w:t xml:space="preserve"> </w:t>
      </w:r>
      <w:r w:rsidR="00B76FFE" w:rsidRPr="00B740B4">
        <w:rPr>
          <w:i/>
          <w:lang w:val="en-GB"/>
        </w:rPr>
        <w:t>Nebukadne’</w:t>
      </w:r>
      <w:r w:rsidR="00B76FFE" w:rsidRPr="00B740B4">
        <w:rPr>
          <w:i/>
        </w:rPr>
        <w:t>ṣṣ</w:t>
      </w:r>
      <w:r w:rsidR="00B76FFE" w:rsidRPr="00B740B4">
        <w:rPr>
          <w:i/>
          <w:lang w:val="en-GB"/>
        </w:rPr>
        <w:t>ar</w:t>
      </w:r>
      <w:r w:rsidR="00B76FFE" w:rsidRPr="00B740B4">
        <w:t xml:space="preserve"> </w:t>
      </w:r>
      <w:r w:rsidR="00B76FFE" w:rsidRPr="00B740B4">
        <w:rPr>
          <w:i/>
        </w:rPr>
        <w:t>king of Babel</w:t>
      </w:r>
      <w:r w:rsidR="00E50028" w:rsidRPr="00B740B4">
        <w:t>. Really, Jehoiaq</w:t>
      </w:r>
      <w:r w:rsidR="00B76FFE" w:rsidRPr="00B740B4">
        <w:t xml:space="preserve">im was </w:t>
      </w:r>
      <w:r w:rsidR="00E50028" w:rsidRPr="00B740B4">
        <w:t xml:space="preserve">the </w:t>
      </w:r>
      <w:r w:rsidRPr="00B740B4">
        <w:t>pu</w:t>
      </w:r>
      <w:r w:rsidR="00E50028" w:rsidRPr="00B740B4">
        <w:t>ppet king of a puppet state, and</w:t>
      </w:r>
      <w:r w:rsidRPr="00B740B4">
        <w:t xml:space="preserve"> that historical fact </w:t>
      </w:r>
      <w:r w:rsidR="00B76FFE" w:rsidRPr="00B740B4">
        <w:t>coheres with the way the kings are no sooner named</w:t>
      </w:r>
      <w:r w:rsidRPr="00B740B4">
        <w:t xml:space="preserve"> than </w:t>
      </w:r>
      <w:r w:rsidR="00420FC0">
        <w:t xml:space="preserve">the subordination of </w:t>
      </w:r>
      <w:r w:rsidR="00E50028" w:rsidRPr="00B740B4">
        <w:t>Jehoiaq</w:t>
      </w:r>
      <w:r w:rsidR="00420FC0">
        <w:t>im</w:t>
      </w:r>
      <w:r w:rsidR="00B76FFE" w:rsidRPr="00B740B4">
        <w:t xml:space="preserve"> to Nebuchadnezzar</w:t>
      </w:r>
      <w:r w:rsidRPr="00B740B4">
        <w:t>, to God, and to the narrator becomes clear. The two verses reflect the straightforward Hebrew narrative style of books s</w:t>
      </w:r>
      <w:r w:rsidR="00E50028" w:rsidRPr="00B740B4">
        <w:t>uch as Kings and Chronicles. T</w:t>
      </w:r>
      <w:r w:rsidR="00B76FFE" w:rsidRPr="00B740B4">
        <w:t>heir fulsome repetitiveness (</w:t>
      </w:r>
      <w:r w:rsidR="00B76FFE" w:rsidRPr="00B740B4">
        <w:rPr>
          <w:i/>
          <w:lang w:val="en-GB"/>
        </w:rPr>
        <w:t>Yehoyaqim</w:t>
      </w:r>
      <w:r w:rsidR="00B76FFE" w:rsidRPr="00B740B4">
        <w:rPr>
          <w:i/>
        </w:rPr>
        <w:t xml:space="preserve"> king of Yehudah… </w:t>
      </w:r>
      <w:r w:rsidR="00B76FFE" w:rsidRPr="00B740B4">
        <w:rPr>
          <w:i/>
          <w:lang w:val="en-GB"/>
        </w:rPr>
        <w:t>Nebukadne’</w:t>
      </w:r>
      <w:r w:rsidR="00B76FFE" w:rsidRPr="00B740B4">
        <w:rPr>
          <w:i/>
        </w:rPr>
        <w:t>ṣṣ</w:t>
      </w:r>
      <w:r w:rsidR="00B76FFE" w:rsidRPr="00B740B4">
        <w:rPr>
          <w:i/>
          <w:lang w:val="en-GB"/>
        </w:rPr>
        <w:t>ar</w:t>
      </w:r>
      <w:r w:rsidR="00B76FFE" w:rsidRPr="00B740B4">
        <w:t xml:space="preserve"> </w:t>
      </w:r>
      <w:r w:rsidR="00B76FFE" w:rsidRPr="00B740B4">
        <w:rPr>
          <w:i/>
        </w:rPr>
        <w:t>king of Babel</w:t>
      </w:r>
      <w:r w:rsidR="00B76FFE" w:rsidRPr="00B740B4">
        <w:t xml:space="preserve">… </w:t>
      </w:r>
      <w:r w:rsidR="00B76FFE" w:rsidRPr="00B740B4">
        <w:rPr>
          <w:i/>
          <w:lang w:val="en-GB"/>
        </w:rPr>
        <w:t>Yehoyaqim</w:t>
      </w:r>
      <w:r w:rsidR="00B76FFE" w:rsidRPr="00B740B4">
        <w:rPr>
          <w:i/>
        </w:rPr>
        <w:t xml:space="preserve"> king of Yehudah</w:t>
      </w:r>
      <w:r w:rsidR="00B76FFE" w:rsidRPr="00B740B4">
        <w:t>) derives from that</w:t>
      </w:r>
      <w:r w:rsidRPr="00B740B4">
        <w:t xml:space="preserve"> style, but in this context its effect is to underline the momentous implications of the clash between imperial power and people of </w:t>
      </w:r>
      <w:r w:rsidR="00F832D2" w:rsidRPr="00B740B4">
        <w:t>God. Two kings and their reign</w:t>
      </w:r>
      <w:r w:rsidRPr="00B740B4">
        <w:t xml:space="preserve">s, widely separated by </w:t>
      </w:r>
      <w:r w:rsidR="00420FC0">
        <w:t xml:space="preserve">their </w:t>
      </w:r>
      <w:r w:rsidRPr="00B740B4">
        <w:t>geography and by their location in God’s purpose, are brought into harsh juxtaposition, Nebuchadnezzar moving aggressively west and then returning triumphantly east with his plunder.</w:t>
      </w:r>
      <w:r w:rsidR="00E50028" w:rsidRPr="00B740B4">
        <w:t xml:space="preserve"> Fifteen times he is referred to as king.</w:t>
      </w:r>
      <w:r w:rsidR="00E50028" w:rsidRPr="00B740B4">
        <w:rPr>
          <w:vertAlign w:val="superscript"/>
        </w:rPr>
        <w:footnoteReference w:id="262"/>
      </w:r>
      <w:r w:rsidR="00E50028" w:rsidRPr="00B740B4">
        <w:t xml:space="preserve"> </w:t>
      </w:r>
    </w:p>
    <w:p w:rsidR="00B27480" w:rsidRPr="00B740B4" w:rsidRDefault="00B27480" w:rsidP="00B27480">
      <w:r w:rsidRPr="00B740B4">
        <w:t>The movement and violence of the action</w:t>
      </w:r>
      <w:r w:rsidR="00E50028" w:rsidRPr="00B740B4">
        <w:t xml:space="preserve"> is conveyed by also making Nebuchad</w:t>
      </w:r>
      <w:r w:rsidRPr="00B740B4">
        <w:t xml:space="preserve">nezzar the subject of the four verbs </w:t>
      </w:r>
      <w:r w:rsidRPr="00B740B4">
        <w:rPr>
          <w:rFonts w:ascii="Arial" w:hAnsi="Arial" w:cs="Arial"/>
        </w:rPr>
        <w:t>בוא</w:t>
      </w:r>
      <w:r w:rsidRPr="00B740B4">
        <w:t xml:space="preserve">, </w:t>
      </w:r>
      <w:r w:rsidRPr="00B740B4">
        <w:rPr>
          <w:rFonts w:ascii="Arial" w:hAnsi="Arial" w:cs="Arial"/>
        </w:rPr>
        <w:t>צור</w:t>
      </w:r>
      <w:r w:rsidRPr="00B740B4">
        <w:t xml:space="preserve">, and </w:t>
      </w:r>
      <w:r w:rsidRPr="00B740B4">
        <w:rPr>
          <w:rFonts w:ascii="Arial" w:hAnsi="Arial" w:cs="Arial"/>
        </w:rPr>
        <w:t>הביא</w:t>
      </w:r>
      <w:r w:rsidR="00E50028" w:rsidRPr="00B740B4">
        <w:t xml:space="preserve"> (twice) (</w:t>
      </w:r>
      <w:r w:rsidRPr="00B740B4">
        <w:t>he</w:t>
      </w:r>
      <w:r w:rsidR="00E50028" w:rsidRPr="00B740B4">
        <w:t xml:space="preserve"> came, he blockaded, </w:t>
      </w:r>
      <w:r w:rsidR="00B76FFE" w:rsidRPr="00B740B4">
        <w:t>he brought</w:t>
      </w:r>
      <w:r w:rsidRPr="00B740B4">
        <w:t xml:space="preserve">); </w:t>
      </w:r>
      <w:r w:rsidRPr="00B740B4">
        <w:rPr>
          <w:rFonts w:ascii="Arial" w:hAnsi="Arial" w:cs="Arial"/>
        </w:rPr>
        <w:t>בוא</w:t>
      </w:r>
      <w:r w:rsidRPr="00B740B4">
        <w:t xml:space="preserve"> and </w:t>
      </w:r>
      <w:r w:rsidRPr="00B740B4">
        <w:rPr>
          <w:rFonts w:ascii="Arial" w:hAnsi="Arial" w:cs="Arial"/>
        </w:rPr>
        <w:t>הביא</w:t>
      </w:r>
      <w:r w:rsidRPr="00B740B4">
        <w:t xml:space="preserve"> stand at the center of each of the verses and</w:t>
      </w:r>
      <w:r w:rsidR="00E50028" w:rsidRPr="00B740B4">
        <w:t xml:space="preserve"> hold the unit together. Jehoiaq</w:t>
      </w:r>
      <w:r w:rsidRPr="00B740B4">
        <w:t>im, Judah, Jerusalem, and the temple articles appear only in t</w:t>
      </w:r>
      <w:r w:rsidR="00420FC0">
        <w:t>he opening dating phrase and the</w:t>
      </w:r>
      <w:r w:rsidRPr="00B740B4">
        <w:t xml:space="preserve">n as the direct or indirect object of the five verbs in the two verses. They are passive objects in the hands of Nebuchadnezzar, </w:t>
      </w:r>
      <w:r w:rsidR="00E50028" w:rsidRPr="00B740B4">
        <w:t xml:space="preserve">of </w:t>
      </w:r>
      <w:r w:rsidRPr="00B740B4">
        <w:t xml:space="preserve">the narrator—and </w:t>
      </w:r>
      <w:r w:rsidR="00E50028" w:rsidRPr="00B740B4">
        <w:t xml:space="preserve">of </w:t>
      </w:r>
      <w:r w:rsidRPr="00B740B4">
        <w:t>God, for he is the subject of the middle of the five verbs. The tension introduced by the refere</w:t>
      </w:r>
      <w:r w:rsidR="00E50028" w:rsidRPr="00B740B4">
        <w:t xml:space="preserve">nce to the Lord’s giving </w:t>
      </w:r>
      <w:r w:rsidR="00420FC0">
        <w:t xml:space="preserve">up </w:t>
      </w:r>
      <w:r w:rsidR="00E50028" w:rsidRPr="00B740B4">
        <w:t>Jehoiaq</w:t>
      </w:r>
      <w:r w:rsidR="00420FC0">
        <w:t xml:space="preserve">im </w:t>
      </w:r>
      <w:r w:rsidRPr="00B740B4">
        <w:t xml:space="preserve">is heightened by the further references to deity in v 2. The </w:t>
      </w:r>
      <w:r w:rsidRPr="00B740B4">
        <w:lastRenderedPageBreak/>
        <w:t xml:space="preserve">scandal of what is happening is conveyed by juxtaposing the phrase </w:t>
      </w:r>
      <w:r w:rsidRPr="00B740B4">
        <w:rPr>
          <w:rFonts w:ascii="Arial" w:hAnsi="Arial" w:cs="Arial"/>
        </w:rPr>
        <w:t>האלהים</w:t>
      </w:r>
      <w:r w:rsidRPr="00B740B4">
        <w:t xml:space="preserve"> </w:t>
      </w:r>
      <w:r w:rsidR="00B76FFE" w:rsidRPr="00B740B4">
        <w:rPr>
          <w:rFonts w:ascii="Arial" w:hAnsi="Arial" w:cs="Arial"/>
        </w:rPr>
        <w:t>בית</w:t>
      </w:r>
      <w:r w:rsidR="00B76FFE" w:rsidRPr="00B740B4">
        <w:t xml:space="preserve"> </w:t>
      </w:r>
      <w:r w:rsidR="00934A11" w:rsidRPr="00B740B4">
        <w:t>“</w:t>
      </w:r>
      <w:r w:rsidRPr="00B740B4">
        <w:t>the house of God</w:t>
      </w:r>
      <w:r w:rsidR="00934A11" w:rsidRPr="00B740B4">
        <w:t>”</w:t>
      </w:r>
      <w:r w:rsidRPr="00B740B4">
        <w:t xml:space="preserve"> both with the preceding reference to the Lord’s giving over, and with the following fulsome descriptions of the destiny of the temple articles, </w:t>
      </w:r>
      <w:r w:rsidRPr="00B740B4">
        <w:rPr>
          <w:rFonts w:ascii="Arial" w:hAnsi="Arial" w:cs="Arial"/>
        </w:rPr>
        <w:t>שנער</w:t>
      </w:r>
      <w:r w:rsidR="00B76FFE" w:rsidRPr="00B740B4">
        <w:t xml:space="preserve"> </w:t>
      </w:r>
      <w:r w:rsidR="00934A11" w:rsidRPr="00B740B4">
        <w:t>“</w:t>
      </w:r>
      <w:r w:rsidR="00B76FFE" w:rsidRPr="00B740B4">
        <w:t>Shinar,</w:t>
      </w:r>
      <w:r w:rsidR="00934A11" w:rsidRPr="00B740B4">
        <w:t>”</w:t>
      </w:r>
      <w:r w:rsidR="00B76FFE" w:rsidRPr="00B740B4">
        <w:t xml:space="preserve"> </w:t>
      </w:r>
      <w:r w:rsidRPr="00B740B4">
        <w:rPr>
          <w:rFonts w:ascii="Arial" w:hAnsi="Arial" w:cs="Arial"/>
        </w:rPr>
        <w:t>אלהיו</w:t>
      </w:r>
      <w:r w:rsidRPr="00B740B4">
        <w:t xml:space="preserve"> </w:t>
      </w:r>
      <w:r w:rsidR="00420FC0">
        <w:t xml:space="preserve"> </w:t>
      </w:r>
      <w:r w:rsidR="00420FC0" w:rsidRPr="00420FC0">
        <w:rPr>
          <w:rFonts w:ascii="Arial" w:hAnsi="Arial" w:cs="Arial"/>
        </w:rPr>
        <w:t>בית</w:t>
      </w:r>
      <w:r w:rsidR="00420FC0" w:rsidRPr="00420FC0">
        <w:t xml:space="preserve"> </w:t>
      </w:r>
      <w:r w:rsidR="00934A11" w:rsidRPr="00B740B4">
        <w:t>“</w:t>
      </w:r>
      <w:r w:rsidRPr="00B740B4">
        <w:t>his god’s house,</w:t>
      </w:r>
      <w:r w:rsidR="00934A11" w:rsidRPr="00B740B4">
        <w:t>”</w:t>
      </w:r>
      <w:r w:rsidR="00420FC0">
        <w:t xml:space="preserve"> and</w:t>
      </w:r>
      <w:r w:rsidRPr="00B740B4">
        <w:t xml:space="preserve"> </w:t>
      </w:r>
      <w:r w:rsidRPr="00B740B4">
        <w:rPr>
          <w:rFonts w:ascii="Arial" w:hAnsi="Arial" w:cs="Arial"/>
        </w:rPr>
        <w:t>אלהיו</w:t>
      </w:r>
      <w:r w:rsidR="00B76FFE" w:rsidRPr="00B740B4">
        <w:t xml:space="preserve"> </w:t>
      </w:r>
      <w:r w:rsidR="00B76FFE" w:rsidRPr="00B740B4">
        <w:rPr>
          <w:rFonts w:ascii="Arial" w:hAnsi="Arial" w:cs="Arial"/>
        </w:rPr>
        <w:t>אוצר</w:t>
      </w:r>
      <w:r w:rsidR="00B76FFE" w:rsidRPr="00B740B4">
        <w:t xml:space="preserve"> </w:t>
      </w:r>
      <w:r w:rsidR="00B76FFE" w:rsidRPr="00B740B4">
        <w:rPr>
          <w:rFonts w:ascii="Arial" w:hAnsi="Arial" w:cs="Arial"/>
        </w:rPr>
        <w:t>בית</w:t>
      </w:r>
      <w:r w:rsidR="00B76FFE" w:rsidRPr="00B740B4">
        <w:t xml:space="preserve"> </w:t>
      </w:r>
      <w:r w:rsidR="00934A11" w:rsidRPr="00B740B4">
        <w:t>“</w:t>
      </w:r>
      <w:r w:rsidRPr="00B740B4">
        <w:t>his god’s treasure house.</w:t>
      </w:r>
      <w:r w:rsidR="00934A11" w:rsidRPr="00B740B4">
        <w:t>”</w:t>
      </w:r>
      <w:r w:rsidRPr="00B740B4">
        <w:t xml:space="preserve"> In making its points, Daniel is characteristically careful in its c</w:t>
      </w:r>
      <w:r w:rsidR="00E50028" w:rsidRPr="00B740B4">
        <w:t>hoice of words and phrases, which</w:t>
      </w:r>
      <w:r w:rsidRPr="00B740B4">
        <w:t xml:space="preserve"> often involves fulsomeness and repetition rather than syntactical elegance.</w:t>
      </w:r>
    </w:p>
    <w:p w:rsidR="00B27480" w:rsidRPr="00B740B4" w:rsidRDefault="00B27480" w:rsidP="00B27480">
      <w:r w:rsidRPr="00B740B4">
        <w:t xml:space="preserve">Panel 2A (vv 3–7) takes up from panel 1A by reusing the verb </w:t>
      </w:r>
      <w:r w:rsidRPr="00B740B4">
        <w:rPr>
          <w:rFonts w:ascii="Arial" w:hAnsi="Arial" w:cs="Arial"/>
        </w:rPr>
        <w:t>הביא</w:t>
      </w:r>
      <w:r w:rsidR="000C74EC" w:rsidRPr="00B740B4">
        <w:t xml:space="preserve"> (</w:t>
      </w:r>
      <w:r w:rsidR="00934A11" w:rsidRPr="00B740B4">
        <w:t>“</w:t>
      </w:r>
      <w:r w:rsidR="000C74EC" w:rsidRPr="00B740B4">
        <w:t>he brought</w:t>
      </w:r>
      <w:r w:rsidR="00934A11" w:rsidRPr="00B740B4">
        <w:t>”</w:t>
      </w:r>
      <w:r w:rsidR="000C74EC" w:rsidRPr="00B740B4">
        <w:t>)</w:t>
      </w:r>
      <w:r w:rsidRPr="00B740B4">
        <w:t xml:space="preserve"> once more: there is one further geographical movement to record. With the transition to the </w:t>
      </w:r>
      <w:r w:rsidR="00594626" w:rsidRPr="00B740B4">
        <w:t xml:space="preserve">court </w:t>
      </w:r>
      <w:r w:rsidRPr="00B740B4">
        <w:t xml:space="preserve">tale the style becomes simpler (e.g., </w:t>
      </w:r>
      <w:r w:rsidR="00934A11" w:rsidRPr="00B740B4">
        <w:t>“</w:t>
      </w:r>
      <w:r w:rsidRPr="00B740B4">
        <w:t>the king</w:t>
      </w:r>
      <w:r w:rsidR="00934A11" w:rsidRPr="00B740B4">
        <w:t>”</w:t>
      </w:r>
      <w:r w:rsidRPr="00B740B4">
        <w:t xml:space="preserve"> or </w:t>
      </w:r>
      <w:r w:rsidR="00934A11" w:rsidRPr="00B740B4">
        <w:t>“</w:t>
      </w:r>
      <w:r w:rsidRPr="00B740B4">
        <w:t>Nebuchadnezzar,</w:t>
      </w:r>
      <w:r w:rsidR="00934A11" w:rsidRPr="00B740B4">
        <w:t>”</w:t>
      </w:r>
      <w:r w:rsidRPr="00B740B4">
        <w:t xml:space="preserve"> not both). It turns out that the repe</w:t>
      </w:r>
      <w:r w:rsidR="00E50028" w:rsidRPr="00B740B4">
        <w:t xml:space="preserve">tition of the ponderous </w:t>
      </w:r>
      <w:r w:rsidR="00934A11" w:rsidRPr="00B740B4">
        <w:t>“</w:t>
      </w:r>
      <w:r w:rsidR="00E50028" w:rsidRPr="00B740B4">
        <w:t>Jehoiaq</w:t>
      </w:r>
      <w:r w:rsidRPr="00B740B4">
        <w:t>im, king of Judah</w:t>
      </w:r>
      <w:r w:rsidR="00934A11" w:rsidRPr="00B740B4">
        <w:t>”</w:t>
      </w:r>
      <w:r w:rsidRPr="00B740B4">
        <w:t xml:space="preserve"> in v 2 constituted a curtain call. Now only one king appea</w:t>
      </w:r>
      <w:r w:rsidR="00E50028" w:rsidRPr="00B740B4">
        <w:t>rs, and panel 2A can assume it’</w:t>
      </w:r>
      <w:r w:rsidRPr="00B740B4">
        <w:t xml:space="preserve">s clear who </w:t>
      </w:r>
      <w:r w:rsidR="00934A11" w:rsidRPr="00B740B4">
        <w:t>“</w:t>
      </w:r>
      <w:r w:rsidRPr="00B740B4">
        <w:t>the king</w:t>
      </w:r>
      <w:r w:rsidR="00934A11" w:rsidRPr="00B740B4">
        <w:t>”</w:t>
      </w:r>
      <w:r w:rsidRPr="00B740B4">
        <w:t xml:space="preserve"> is (vv 3, 4, 5 three times). The portrait of the Israelites as the helpless victims of enemy power is again underlined by the syntax. Nebuchadnezzar and his lieutenant are the subject of a further series of forceful verbs, with the Israelites as their object: </w:t>
      </w:r>
      <w:r w:rsidRPr="00B740B4">
        <w:rPr>
          <w:rFonts w:ascii="Arial" w:hAnsi="Arial" w:cs="Arial"/>
        </w:rPr>
        <w:t>הביא</w:t>
      </w:r>
      <w:r w:rsidRPr="00B740B4">
        <w:t xml:space="preserve"> (v 3), </w:t>
      </w:r>
      <w:r w:rsidRPr="00B740B4">
        <w:rPr>
          <w:rFonts w:ascii="Arial" w:hAnsi="Arial" w:cs="Arial"/>
        </w:rPr>
        <w:t>למד</w:t>
      </w:r>
      <w:r w:rsidRPr="00B740B4">
        <w:t xml:space="preserve"> (v 4), </w:t>
      </w:r>
      <w:r w:rsidRPr="00B740B4">
        <w:rPr>
          <w:rFonts w:ascii="Arial" w:hAnsi="Arial" w:cs="Arial"/>
        </w:rPr>
        <w:t>מנה</w:t>
      </w:r>
      <w:r w:rsidRPr="00B740B4">
        <w:t xml:space="preserve"> (v 5—indirect obj</w:t>
      </w:r>
      <w:r w:rsidR="00E50028" w:rsidRPr="00B740B4">
        <w:t>ect</w:t>
      </w:r>
      <w:r w:rsidRPr="00B740B4">
        <w:t xml:space="preserve">), </w:t>
      </w:r>
      <w:r w:rsidRPr="00B740B4">
        <w:rPr>
          <w:rFonts w:ascii="Arial" w:hAnsi="Arial" w:cs="Arial"/>
        </w:rPr>
        <w:t>גדל</w:t>
      </w:r>
      <w:r w:rsidR="00420FC0">
        <w:t xml:space="preserve"> (v 5),</w:t>
      </w:r>
      <w:r w:rsidRPr="00B740B4">
        <w:t xml:space="preserve"> </w:t>
      </w:r>
      <w:r w:rsidRPr="00B740B4">
        <w:rPr>
          <w:rFonts w:ascii="Arial" w:hAnsi="Arial" w:cs="Arial"/>
        </w:rPr>
        <w:t>שים</w:t>
      </w:r>
      <w:r w:rsidR="000C74EC" w:rsidRPr="00B740B4">
        <w:t xml:space="preserve"> (v 7—indirect object): bring</w:t>
      </w:r>
      <w:r w:rsidRPr="00B740B4">
        <w:t xml:space="preserve"> them, teach them, allocate them, train them, name them.</w:t>
      </w:r>
      <w:r w:rsidR="00F165FA" w:rsidRPr="00B740B4">
        <w:t xml:space="preserve"> </w:t>
      </w:r>
    </w:p>
    <w:p w:rsidR="00B27480" w:rsidRPr="00B740B4" w:rsidRDefault="007E50DE" w:rsidP="00B27480">
      <w:r w:rsidRPr="00B740B4">
        <w:t>S</w:t>
      </w:r>
      <w:r w:rsidR="00B27480" w:rsidRPr="00B740B4">
        <w:t xml:space="preserve">ome </w:t>
      </w:r>
      <w:r w:rsidRPr="00B740B4">
        <w:t>of the inelegance in</w:t>
      </w:r>
      <w:r w:rsidR="00B27480" w:rsidRPr="00B740B4">
        <w:t xml:space="preserve"> the verses’ syntax (v 4b and the </w:t>
      </w:r>
      <w:r w:rsidR="00420FC0">
        <w:t xml:space="preserve">loose relationship of the </w:t>
      </w:r>
      <w:r w:rsidR="00B27480" w:rsidRPr="00B740B4">
        <w:t>two clause</w:t>
      </w:r>
      <w:r w:rsidR="00420FC0">
        <w:t xml:space="preserve">s in v 5b </w:t>
      </w:r>
      <w:r w:rsidRPr="00B740B4">
        <w:t>to their sentences) issues</w:t>
      </w:r>
      <w:r w:rsidR="00B27480" w:rsidRPr="00B740B4">
        <w:t xml:space="preserve"> because, though formally reported speech, vv 3–5 come alive in such a way that we almost hear the king’s actual words, catching the irony that he is heard prescribing </w:t>
      </w:r>
      <w:r w:rsidR="004F2AA3">
        <w:t xml:space="preserve">qualities from the exiles’ own </w:t>
      </w:r>
      <w:r w:rsidR="00A312C9">
        <w:t>s</w:t>
      </w:r>
      <w:r w:rsidR="00B27480" w:rsidRPr="00B740B4">
        <w:t>criptures for the young men he plans to reeducate. The pressure of their being swept into an alien environment is also suggested by the appearance of a series of Akkadian and Persian terms and names: Ashpenaz (OP),</w:t>
      </w:r>
      <w:r w:rsidRPr="00B740B4">
        <w:t xml:space="preserve"> chief of staff (ultimately Akkadian</w:t>
      </w:r>
      <w:r w:rsidR="00973FEA" w:rsidRPr="00B740B4">
        <w:t>), people of rank</w:t>
      </w:r>
      <w:r w:rsidR="00B27480" w:rsidRPr="00B740B4">
        <w:t xml:space="preserve"> (OP</w:t>
      </w:r>
      <w:r w:rsidR="000C74EC" w:rsidRPr="00B740B4">
        <w:t>), Kasdite</w:t>
      </w:r>
      <w:r w:rsidR="00B27480" w:rsidRPr="00B740B4">
        <w:t>, supplies (OP), and the four men’s own new names. In the context of these foreign-sounding expressions</w:t>
      </w:r>
      <w:r w:rsidR="000C74EC" w:rsidRPr="00B740B4">
        <w:t>,</w:t>
      </w:r>
      <w:r w:rsidR="00B27480" w:rsidRPr="00B740B4">
        <w:t xml:space="preserve"> v 4a stands out for its accumula</w:t>
      </w:r>
      <w:r w:rsidR="00420FC0">
        <w:t>tion of phraseology</w:t>
      </w:r>
      <w:r w:rsidR="00B27480" w:rsidRPr="00B740B4">
        <w:t xml:space="preserve"> from OT tradition, </w:t>
      </w:r>
      <w:r w:rsidRPr="00B740B4">
        <w:t xml:space="preserve">especially the string of </w:t>
      </w:r>
      <w:r w:rsidR="00B27480" w:rsidRPr="00B740B4">
        <w:t>terms</w:t>
      </w:r>
      <w:r w:rsidR="00A312C9">
        <w:t xml:space="preserve"> relating to learning as the s</w:t>
      </w:r>
      <w:r w:rsidRPr="00B740B4">
        <w:t>criptures speak of it</w:t>
      </w:r>
      <w:r w:rsidR="00B27480" w:rsidRPr="00B740B4">
        <w:t>. The</w:t>
      </w:r>
      <w:r w:rsidR="000C74EC" w:rsidRPr="00B740B4">
        <w:t xml:space="preserve">ir significance </w:t>
      </w:r>
      <w:r w:rsidR="00B27480" w:rsidRPr="00B740B4">
        <w:t xml:space="preserve">lies not so much in their individual meaning (otherwise </w:t>
      </w:r>
      <w:r w:rsidRPr="00B740B4">
        <w:t xml:space="preserve">the </w:t>
      </w:r>
      <w:r w:rsidR="00B27480" w:rsidRPr="00B740B4">
        <w:t xml:space="preserve">root </w:t>
      </w:r>
      <w:r w:rsidR="00B27480" w:rsidRPr="00B740B4">
        <w:rPr>
          <w:rFonts w:ascii="Arial" w:hAnsi="Arial" w:cs="Arial"/>
        </w:rPr>
        <w:t>ידע</w:t>
      </w:r>
      <w:r w:rsidR="00B27480" w:rsidRPr="00B740B4">
        <w:t xml:space="preserve"> </w:t>
      </w:r>
      <w:r w:rsidR="00934A11" w:rsidRPr="00B740B4">
        <w:t>“</w:t>
      </w:r>
      <w:r w:rsidR="00B27480" w:rsidRPr="00B740B4">
        <w:t>know</w:t>
      </w:r>
      <w:r w:rsidR="00934A11" w:rsidRPr="00B740B4">
        <w:t>”</w:t>
      </w:r>
      <w:r w:rsidR="00B27480" w:rsidRPr="00B740B4">
        <w:t xml:space="preserve"> would hardly appear three times) as in their cumulative effect set against the foreign terms; heaping up words of related meaning in</w:t>
      </w:r>
      <w:r w:rsidR="000C74EC" w:rsidRPr="00B740B4">
        <w:t xml:space="preserve"> this way is a further device in</w:t>
      </w:r>
      <w:r w:rsidR="00B27480" w:rsidRPr="00B740B4">
        <w:t xml:space="preserve"> Daniel (cf. 2:2</w:t>
      </w:r>
      <w:r w:rsidR="000C74EC" w:rsidRPr="00B740B4">
        <w:t>)</w:t>
      </w:r>
      <w:r w:rsidR="00B27480" w:rsidRPr="00B740B4">
        <w:t>. The pen-portrait of the Israelites (vv 3b–4a) set in the context of clauses that put great pressure on them (vv 3a, 4b–7) heightens the tension of the story suggested by panel 1A, yet also hints that things will turn out all right.</w:t>
      </w:r>
    </w:p>
    <w:p w:rsidR="00B27480" w:rsidRPr="00B740B4" w:rsidRDefault="00B27480" w:rsidP="00B27480">
      <w:r w:rsidRPr="00B740B4">
        <w:t xml:space="preserve">The dual theme of panel 3A is stated by the repeated key verbs </w:t>
      </w:r>
      <w:r w:rsidRPr="00B740B4">
        <w:rPr>
          <w:rFonts w:ascii="Arial" w:hAnsi="Arial" w:cs="Arial"/>
        </w:rPr>
        <w:t>גאל</w:t>
      </w:r>
      <w:r w:rsidRPr="00B740B4">
        <w:t xml:space="preserve"> </w:t>
      </w:r>
      <w:r w:rsidR="00934A11" w:rsidRPr="00B740B4">
        <w:t>“</w:t>
      </w:r>
      <w:r w:rsidRPr="00B740B4">
        <w:t>defile</w:t>
      </w:r>
      <w:r w:rsidR="00934A11" w:rsidRPr="00B740B4">
        <w:t>”</w:t>
      </w:r>
      <w:r w:rsidRPr="00B740B4">
        <w:t xml:space="preserve"> (twice in v 8, at the beginning of panel 3[i]A) and </w:t>
      </w:r>
      <w:r w:rsidR="006D7923" w:rsidRPr="00B740B4">
        <w:rPr>
          <w:rFonts w:ascii="Arial" w:hAnsi="Arial" w:cs="Arial"/>
        </w:rPr>
        <w:t>נסה</w:t>
      </w:r>
      <w:r w:rsidR="006D7923" w:rsidRPr="00B740B4">
        <w:t xml:space="preserve"> </w:t>
      </w:r>
      <w:r w:rsidR="00934A11" w:rsidRPr="00B740B4">
        <w:t>“</w:t>
      </w:r>
      <w:r w:rsidRPr="00B740B4">
        <w:t>test</w:t>
      </w:r>
      <w:r w:rsidR="00934A11" w:rsidRPr="00B740B4">
        <w:t>”</w:t>
      </w:r>
      <w:r w:rsidRPr="00B740B4">
        <w:t xml:space="preserve"> (twice nearer the close of panel 3[ii]A, at the beginning and end of the speech in vv 12–13). But first, panel 3A, like panel 2A, links with the preceding panel by repeating a verb, </w:t>
      </w:r>
      <w:r w:rsidRPr="00B740B4">
        <w:rPr>
          <w:rFonts w:ascii="Arial" w:hAnsi="Arial" w:cs="Arial"/>
        </w:rPr>
        <w:t>וישם</w:t>
      </w:r>
      <w:r w:rsidRPr="00B740B4">
        <w:t xml:space="preserve"> </w:t>
      </w:r>
      <w:r w:rsidR="00934A11" w:rsidRPr="00B740B4">
        <w:t>“</w:t>
      </w:r>
      <w:r w:rsidRPr="00B740B4">
        <w:t>he determined.</w:t>
      </w:r>
      <w:r w:rsidR="00934A11" w:rsidRPr="00B740B4">
        <w:t>”</w:t>
      </w:r>
      <w:r w:rsidRPr="00B740B4">
        <w:t xml:space="preserve"> It is not the custom of Hebrew narrative to mark an important transition by means of a clearly adversative conjunction; </w:t>
      </w:r>
      <w:r w:rsidRPr="00B740B4">
        <w:rPr>
          <w:i/>
        </w:rPr>
        <w:t>waw</w:t>
      </w:r>
      <w:r w:rsidRPr="00B740B4">
        <w:t xml:space="preserve"> generally does both for </w:t>
      </w:r>
      <w:r w:rsidR="00934A11" w:rsidRPr="00B740B4">
        <w:t>“</w:t>
      </w:r>
      <w:r w:rsidRPr="00B740B4">
        <w:t>and</w:t>
      </w:r>
      <w:r w:rsidR="00934A11" w:rsidRPr="00B740B4">
        <w:t>”</w:t>
      </w:r>
      <w:r w:rsidRPr="00B740B4">
        <w:t xml:space="preserve"> and for </w:t>
      </w:r>
      <w:r w:rsidR="00934A11" w:rsidRPr="00B740B4">
        <w:t>“</w:t>
      </w:r>
      <w:r w:rsidRPr="00B740B4">
        <w:t>but.</w:t>
      </w:r>
      <w:r w:rsidR="00934A11" w:rsidRPr="00B740B4">
        <w:t>”</w:t>
      </w:r>
      <w:r w:rsidRPr="00B740B4">
        <w:t xml:space="preserve"> So no disjunction is advertised by the </w:t>
      </w:r>
      <w:r w:rsidRPr="00B740B4">
        <w:rPr>
          <w:i/>
        </w:rPr>
        <w:t>waw</w:t>
      </w:r>
      <w:r w:rsidRPr="00B740B4">
        <w:t>. Then the verb to which it is linked simply repeats the one that had appeared twice in the previous verse; again, no disjunction is overtly indicated. It transpires, however, that the subject of the verb has changed, and so has its meaning. The reappearance of the verb with a different nuance is th</w:t>
      </w:r>
      <w:r w:rsidR="00420FC0">
        <w:t xml:space="preserve">e more effective after its repetition </w:t>
      </w:r>
      <w:r w:rsidRPr="00B740B4">
        <w:t xml:space="preserve">within v 7 itself (cf. the three appearances of </w:t>
      </w:r>
      <w:r w:rsidRPr="00B740B4">
        <w:rPr>
          <w:rFonts w:ascii="Arial" w:hAnsi="Arial" w:cs="Arial"/>
        </w:rPr>
        <w:t>הביא</w:t>
      </w:r>
      <w:r w:rsidR="000C74EC" w:rsidRPr="00B740B4">
        <w:t xml:space="preserve"> </w:t>
      </w:r>
      <w:r w:rsidR="00934A11" w:rsidRPr="00B740B4">
        <w:t>“</w:t>
      </w:r>
      <w:r w:rsidR="000C74EC" w:rsidRPr="00B740B4">
        <w:t>bring</w:t>
      </w:r>
      <w:r w:rsidR="00934A11" w:rsidRPr="00B740B4">
        <w:t>”</w:t>
      </w:r>
      <w:r w:rsidRPr="00B740B4">
        <w:t xml:space="preserve"> in vv 2–3; also subseque</w:t>
      </w:r>
      <w:r w:rsidR="00420FC0">
        <w:t xml:space="preserve">nt pointed repetitions of words, </w:t>
      </w:r>
      <w:r w:rsidRPr="00B740B4">
        <w:t>often in different con</w:t>
      </w:r>
      <w:r w:rsidR="00420FC0">
        <w:t xml:space="preserve">texts or with different nuances, </w:t>
      </w:r>
      <w:r w:rsidRPr="00B740B4">
        <w:t>in 2:13, 16, 18 [</w:t>
      </w:r>
      <w:r w:rsidRPr="00B740B4">
        <w:rPr>
          <w:rFonts w:ascii="Arial" w:hAnsi="Arial" w:cs="Arial"/>
        </w:rPr>
        <w:t>בעא</w:t>
      </w:r>
      <w:r w:rsidRPr="00B740B4">
        <w:t xml:space="preserve">, </w:t>
      </w:r>
      <w:r w:rsidR="00934A11" w:rsidRPr="00B740B4">
        <w:t>“</w:t>
      </w:r>
      <w:r w:rsidRPr="00B740B4">
        <w:t>seek/ask</w:t>
      </w:r>
      <w:r w:rsidR="00934A11" w:rsidRPr="00B740B4">
        <w:t>”</w:t>
      </w:r>
      <w:r w:rsidRPr="00B740B4">
        <w:t>]; 2:16, 24 [</w:t>
      </w:r>
      <w:r w:rsidRPr="00B740B4">
        <w:rPr>
          <w:rFonts w:ascii="Arial" w:hAnsi="Arial" w:cs="Arial"/>
        </w:rPr>
        <w:t>לל</w:t>
      </w:r>
      <w:r w:rsidR="000C74EC" w:rsidRPr="00B740B4">
        <w:rPr>
          <w:rFonts w:ascii="Arial" w:hAnsi="Arial" w:cs="Arial"/>
        </w:rPr>
        <w:t>ע</w:t>
      </w:r>
      <w:r w:rsidRPr="00B740B4">
        <w:t xml:space="preserve">, </w:t>
      </w:r>
      <w:r w:rsidR="00934A11" w:rsidRPr="00B740B4">
        <w:t>“</w:t>
      </w:r>
      <w:r w:rsidRPr="00B740B4">
        <w:t>go</w:t>
      </w:r>
      <w:r w:rsidR="00934A11" w:rsidRPr="00B740B4">
        <w:t>”</w:t>
      </w:r>
      <w:r w:rsidRPr="00B740B4">
        <w:t>; 2:17, 24 [</w:t>
      </w:r>
      <w:r w:rsidRPr="00B740B4">
        <w:rPr>
          <w:rFonts w:ascii="Arial" w:hAnsi="Arial" w:cs="Arial"/>
        </w:rPr>
        <w:t>אזל</w:t>
      </w:r>
      <w:r w:rsidRPr="00B740B4">
        <w:t xml:space="preserve">, </w:t>
      </w:r>
      <w:r w:rsidR="00934A11" w:rsidRPr="00B740B4">
        <w:t>“</w:t>
      </w:r>
      <w:r w:rsidRPr="00B740B4">
        <w:t>go</w:t>
      </w:r>
      <w:r w:rsidR="00934A11" w:rsidRPr="00B740B4">
        <w:t>”</w:t>
      </w:r>
      <w:r w:rsidRPr="00B740B4">
        <w:t>]). With v 8, for the first time in the book an Israelite becomes the subject of a main verb. Daniel seizes the initiative from the Babylo</w:t>
      </w:r>
      <w:r w:rsidR="000C74EC" w:rsidRPr="00B740B4">
        <w:t>nians, and the story begins the</w:t>
      </w:r>
      <w:r w:rsidRPr="00B740B4">
        <w:t xml:space="preserve"> reversal of movem</w:t>
      </w:r>
      <w:r w:rsidR="000C74EC" w:rsidRPr="00B740B4">
        <w:t>ent that characterizes chap.</w:t>
      </w:r>
      <w:r w:rsidR="001B2642" w:rsidRPr="00B740B4">
        <w:t xml:space="preserve"> </w:t>
      </w:r>
      <w:r w:rsidRPr="00B740B4">
        <w:t xml:space="preserve">1 and the book as a whole. </w:t>
      </w:r>
      <w:r w:rsidR="00934A11" w:rsidRPr="00B740B4">
        <w:t>“</w:t>
      </w:r>
      <w:r w:rsidR="00F165FA" w:rsidRPr="00B740B4">
        <w:t>Determined on names</w:t>
      </w:r>
      <w:r w:rsidR="00934A11" w:rsidRPr="00B740B4">
        <w:t>”</w:t>
      </w:r>
      <w:r w:rsidR="00F165FA" w:rsidRPr="00B740B4">
        <w:t xml:space="preserve"> (</w:t>
      </w:r>
      <w:r w:rsidR="00AF422C">
        <w:t>v</w:t>
      </w:r>
      <w:r w:rsidR="00F165FA" w:rsidRPr="00B740B4">
        <w:t xml:space="preserve"> 7) was not the usual way to refer to naming, but the repeated use of this expression has prepared the way for a third use of the verb with a rather different sense, by antanaclasis.</w:t>
      </w:r>
      <w:r w:rsidR="00F165FA" w:rsidRPr="00B740B4">
        <w:rPr>
          <w:rStyle w:val="FootnoteReference"/>
        </w:rPr>
        <w:footnoteReference w:id="263"/>
      </w:r>
      <w:r w:rsidR="00F165FA" w:rsidRPr="00B740B4">
        <w:t xml:space="preserve"> </w:t>
      </w:r>
      <w:r w:rsidRPr="00B740B4">
        <w:t xml:space="preserve">Daniel is still the object of the verb </w:t>
      </w:r>
      <w:r w:rsidRPr="00B740B4">
        <w:rPr>
          <w:rFonts w:ascii="Arial" w:hAnsi="Arial" w:cs="Arial"/>
        </w:rPr>
        <w:t>נתן</w:t>
      </w:r>
      <w:r w:rsidRPr="00B740B4">
        <w:t xml:space="preserve">, God being the subject and the Babylonians the indirect object (v 9, cf. v 2), but there is nothing aggressive or threatening about this </w:t>
      </w:r>
      <w:r w:rsidRPr="00B740B4">
        <w:lastRenderedPageBreak/>
        <w:t xml:space="preserve">giving/making. The initiative of God has Daniel as the grammatical object, but it is Ashpenaz who is now the object of manipulation by Daniel, </w:t>
      </w:r>
      <w:r w:rsidR="00F165FA" w:rsidRPr="00B740B4">
        <w:t xml:space="preserve">by </w:t>
      </w:r>
      <w:r w:rsidRPr="00B740B4">
        <w:t xml:space="preserve">the narrator, and </w:t>
      </w:r>
      <w:r w:rsidR="00F165FA" w:rsidRPr="00B740B4">
        <w:t xml:space="preserve">by </w:t>
      </w:r>
      <w:r w:rsidRPr="00B740B4">
        <w:t>God.</w:t>
      </w:r>
    </w:p>
    <w:p w:rsidR="00CE609E" w:rsidRDefault="00B27480" w:rsidP="00B27480">
      <w:r w:rsidRPr="00B740B4">
        <w:t>The earlier scenes have been all action and have moved quickly. The central scene slows the action down and builds up the suspense, reporting on motivation, reflection, and feelings as well as action (vv</w:t>
      </w:r>
      <w:r w:rsidR="000C74EC" w:rsidRPr="00B740B4">
        <w:t xml:space="preserve"> 8, 9, 10), and relating </w:t>
      </w:r>
      <w:r w:rsidRPr="00B740B4">
        <w:t>conversations rather than reporting speech indirec</w:t>
      </w:r>
      <w:r w:rsidR="000C74EC" w:rsidRPr="00B740B4">
        <w:t>tly (vv 10–13). The test</w:t>
      </w:r>
      <w:r w:rsidRPr="00B740B4">
        <w:t xml:space="preserve"> and the associated move from Ashpena</w:t>
      </w:r>
      <w:r w:rsidR="000C74EC" w:rsidRPr="00B740B4">
        <w:t xml:space="preserve">z to the guardian also </w:t>
      </w:r>
      <w:r w:rsidRPr="00B740B4">
        <w:t>slow the action down. Whereas the rest of Dan 1 gives priority to plot rather than to characterization, here it suits the plot to allow Daniel and Ashpenaz to come alive</w:t>
      </w:r>
      <w:r w:rsidR="000C74EC" w:rsidRPr="00B740B4">
        <w:t>, as we hear</w:t>
      </w:r>
      <w:r w:rsidRPr="00B740B4">
        <w:t xml:space="preserve"> of their conflicting inner feelings expressed in their outward exchange. The story becomes not merely a lead-in to chaps. 2–7 but a story in its own right.</w:t>
      </w:r>
      <w:r w:rsidR="001B2642" w:rsidRPr="00B740B4">
        <w:rPr>
          <w:rStyle w:val="FootnoteReference"/>
        </w:rPr>
        <w:footnoteReference w:id="264"/>
      </w:r>
      <w:r w:rsidRPr="00B740B4">
        <w:t xml:space="preserve"> </w:t>
      </w:r>
    </w:p>
    <w:p w:rsidR="0025210D" w:rsidRPr="00B740B4" w:rsidRDefault="00CE609E" w:rsidP="00B27480">
      <w:r>
        <w:t>Although the story</w:t>
      </w:r>
      <w:r w:rsidR="00B27480" w:rsidRPr="00B740B4">
        <w:t xml:space="preserve"> slows down, much is happening in these few verses. Daniel’s determined action contrasts with that of Ashpenaz (v 8), and God’s involvement (v 9) suggests that the story is on t</w:t>
      </w:r>
      <w:r w:rsidR="000C74EC" w:rsidRPr="00B740B4">
        <w:t>he way to a quick resolution. Ye</w:t>
      </w:r>
      <w:r>
        <w:t>t the development it relates</w:t>
      </w:r>
      <w:r w:rsidR="00B27480" w:rsidRPr="00B740B4">
        <w:t xml:space="preserve"> turns out to have been a false dawn</w:t>
      </w:r>
      <w:r>
        <w:t>,</w:t>
      </w:r>
      <w:r w:rsidR="00B27480" w:rsidRPr="00B740B4">
        <w:t xml:space="preserve"> and the story </w:t>
      </w:r>
      <w:r>
        <w:t xml:space="preserve">now </w:t>
      </w:r>
      <w:r w:rsidR="00B27480" w:rsidRPr="00B740B4">
        <w:t>threatens to collapse; suspense is heightened (v 10). In turn, the threat dissolves as Daniel survives the test of v 10 by offering the test described in vv 11–14.</w:t>
      </w:r>
      <w:r w:rsidR="00373807" w:rsidRPr="00B740B4">
        <w:t xml:space="preserve"> The official</w:t>
      </w:r>
      <w:r w:rsidR="00B27480" w:rsidRPr="00B740B4">
        <w:t>’s goodwill has hinted that a resolution should be possible, and Daniel’s proposal of a te</w:t>
      </w:r>
      <w:r w:rsidR="00F165FA" w:rsidRPr="00B740B4">
        <w:t xml:space="preserve">st period takes up this hint. Daniel’s accepting </w:t>
      </w:r>
      <w:r w:rsidR="00B27480" w:rsidRPr="00B740B4">
        <w:t>the risk involved in such a test is impressively (under)stated i</w:t>
      </w:r>
      <w:r w:rsidR="0025210D" w:rsidRPr="00B740B4">
        <w:t>n v 13b. Brave words modestly expressed</w:t>
      </w:r>
      <w:r w:rsidR="00B27480" w:rsidRPr="00B740B4">
        <w:t xml:space="preserve"> are a feature of the trial stories in Daniel (cf. 3:17–18; also 6:10 </w:t>
      </w:r>
      <w:r w:rsidR="003F14FD" w:rsidRPr="00B740B4">
        <w:t xml:space="preserve">[11] </w:t>
      </w:r>
      <w:r w:rsidR="00B27480" w:rsidRPr="00B740B4">
        <w:t>and the total absence of wor</w:t>
      </w:r>
      <w:r w:rsidR="0025210D" w:rsidRPr="00B740B4">
        <w:t>ds on Daniel’s part in 6:10–17</w:t>
      </w:r>
      <w:r w:rsidR="003F14FD" w:rsidRPr="00B740B4">
        <w:t xml:space="preserve"> [11-18]</w:t>
      </w:r>
      <w:r w:rsidR="0025210D" w:rsidRPr="00B740B4">
        <w:t>); they contrast</w:t>
      </w:r>
      <w:r w:rsidR="00B27480" w:rsidRPr="00B740B4">
        <w:t xml:space="preserve"> with the generally explicit and expansive style of dialogue and prayers. </w:t>
      </w:r>
    </w:p>
    <w:p w:rsidR="00B27480" w:rsidRPr="00B740B4" w:rsidRDefault="00B27480" w:rsidP="00B27480">
      <w:r w:rsidRPr="00B740B4">
        <w:t>The shorter closing panels of the denouement, vv 15–21, substantially resolve the tension set up by the longer opening ones. Each takes up motifs from the corresponding opening panel; little that is formally new is introduced. Thus vv 15–16 naturally follow on from vv 8–14: v 15 takes up the language of vv 13–14 (at the end of the ten days, their appearance, look, the young men who eat the king’s supplies), or reverses it (</w:t>
      </w:r>
      <w:r w:rsidRPr="00B740B4">
        <w:rPr>
          <w:i/>
        </w:rPr>
        <w:t>good</w:t>
      </w:r>
      <w:r w:rsidRPr="00B740B4">
        <w:t xml:space="preserve"> for </w:t>
      </w:r>
      <w:r w:rsidRPr="00B740B4">
        <w:rPr>
          <w:i/>
        </w:rPr>
        <w:t>grim</w:t>
      </w:r>
      <w:r w:rsidRPr="00B740B4">
        <w:t>), or goes beyond it (their bodies look better-built), while v 16 follows on from v 15 but takes up the language of vv 8–12 (the guardian, their supplies and the wine they were to drink, give them vegetarian food) or goes b</w:t>
      </w:r>
      <w:r w:rsidR="00CE609E">
        <w:t>eyond it (continued to take off</w:t>
      </w:r>
      <w:r w:rsidRPr="00B740B4">
        <w:t>). We were prepared f</w:t>
      </w:r>
      <w:r w:rsidR="00F165FA" w:rsidRPr="00B740B4">
        <w:t>or the test to be successful, but</w:t>
      </w:r>
      <w:r w:rsidRPr="00B740B4">
        <w:t xml:space="preserve"> panel 3ii comes to a climax in v 15 with the test achieving more than w</w:t>
      </w:r>
      <w:r w:rsidR="00CE609E">
        <w:t>e expected. Perhaps panel 3i ha</w:t>
      </w:r>
      <w:r w:rsidRPr="00B740B4">
        <w:t>s the same</w:t>
      </w:r>
      <w:r w:rsidR="00CE609E">
        <w:t xml:space="preserve"> implication</w:t>
      </w:r>
      <w:r w:rsidRPr="00B740B4">
        <w:t>: v 16 may refer to the guardian’s imposing the vegetarian diet on the other young men! (but see n. 16.a). The resolution in panel 3B (vv 15–16) is thus simpler and shorter than the statement in panel 3A (vv 8–14); the heart of the story lies in Daniel’s determination to avoid defilement, and his bold handling of his masters.</w:t>
      </w:r>
    </w:p>
    <w:p w:rsidR="00D12B0C" w:rsidRDefault="00B27480" w:rsidP="00B27480">
      <w:r w:rsidRPr="00B740B4">
        <w:t>The resolution in panel 2B (vv 17–20), in contrast, is almost as long as the statement in panel 2A (vv 3–7); it dominat</w:t>
      </w:r>
      <w:r w:rsidR="00D12B0C">
        <w:t>es vv 15–21 as a whole. It doesn’</w:t>
      </w:r>
      <w:r w:rsidRPr="00B740B4">
        <w:t>t follow directly from vv 15–16 but begins resumptively (v 17) by recalling us to vv 3–7 in an asyndetic noun phrase (</w:t>
      </w:r>
      <w:r w:rsidR="00934A11" w:rsidRPr="00B740B4">
        <w:t>“</w:t>
      </w:r>
      <w:r w:rsidRPr="00B740B4">
        <w:t>Now those four young men: God gave them . . .</w:t>
      </w:r>
      <w:r w:rsidR="00934A11" w:rsidRPr="00B740B4">
        <w:t>”</w:t>
      </w:r>
      <w:r w:rsidRPr="00B740B4">
        <w:t xml:space="preserve">). This reference to God’s involvement, held back from its </w:t>
      </w:r>
      <w:r w:rsidR="00934A11" w:rsidRPr="00B740B4">
        <w:t>“</w:t>
      </w:r>
      <w:r w:rsidRPr="00B740B4">
        <w:t>natural</w:t>
      </w:r>
      <w:r w:rsidR="00934A11" w:rsidRPr="00B740B4">
        <w:t>”</w:t>
      </w:r>
      <w:r w:rsidRPr="00B740B4">
        <w:t xml:space="preserve"> place in v 4, emphasizes the impo</w:t>
      </w:r>
      <w:r w:rsidR="00D12B0C">
        <w:t>rtance of panel 2B. V</w:t>
      </w:r>
      <w:r w:rsidRPr="00B740B4">
        <w:t xml:space="preserve"> 17 </w:t>
      </w:r>
      <w:r w:rsidR="00D12B0C">
        <w:t xml:space="preserve">is not explicit on whether it </w:t>
      </w:r>
      <w:r w:rsidRPr="00B740B4">
        <w:t>refers to God’</w:t>
      </w:r>
      <w:r w:rsidR="00F165FA" w:rsidRPr="00B740B4">
        <w:t>s original gift of insight</w:t>
      </w:r>
      <w:r w:rsidRPr="00B740B4">
        <w:t>, which lay behind v 4, to his gift evidenced in the result of their trai</w:t>
      </w:r>
      <w:r w:rsidR="00D12B0C">
        <w:t>ning, or to both; it</w:t>
      </w:r>
      <w:r w:rsidRPr="00B740B4">
        <w:t xml:space="preserve">s concern is to clarify a different point, namely that God (not Nebuchadnezzar or Babylon) is the </w:t>
      </w:r>
      <w:r w:rsidR="00F165FA" w:rsidRPr="00B740B4">
        <w:t>source of insight</w:t>
      </w:r>
      <w:r w:rsidRPr="00B740B4">
        <w:t xml:space="preserve">, whenever it comes. </w:t>
      </w:r>
    </w:p>
    <w:p w:rsidR="00B27480" w:rsidRPr="00B740B4" w:rsidRDefault="00B27480" w:rsidP="00B27480">
      <w:r w:rsidRPr="00B740B4">
        <w:t xml:space="preserve">After </w:t>
      </w:r>
      <w:r w:rsidR="00F165FA" w:rsidRPr="00B740B4">
        <w:t>this opening, vv 18–19a work, like vv 15–16</w:t>
      </w:r>
      <w:r w:rsidRPr="00B740B4">
        <w:t>, by taking phrases from corresponding earlier verses (at the e</w:t>
      </w:r>
      <w:r w:rsidR="0025210D" w:rsidRPr="00B740B4">
        <w:t>nd, the king said, bring</w:t>
      </w:r>
      <w:r w:rsidRPr="00B740B4">
        <w:t>, the chief/head of the palace staff, before the king/Nebuchadnezzar) (v 18), and by using terms that go beyond these</w:t>
      </w:r>
      <w:r w:rsidR="00C51E9F" w:rsidRPr="00B740B4">
        <w:t xml:space="preserve"> expressions</w:t>
      </w:r>
      <w:r w:rsidRPr="00B740B4">
        <w:t>, to show that the four did not merely survive their training but triumphed in it (v 19a). In turn vv 19b–20, like v 16, go on from immediate event to further conseque</w:t>
      </w:r>
      <w:r w:rsidR="0025210D" w:rsidRPr="00B740B4">
        <w:t xml:space="preserve">nces. Once more these </w:t>
      </w:r>
      <w:r w:rsidR="00D12B0C">
        <w:t xml:space="preserve">consequences </w:t>
      </w:r>
      <w:r w:rsidR="0025210D" w:rsidRPr="00B740B4">
        <w:t xml:space="preserve">are </w:t>
      </w:r>
      <w:r w:rsidRPr="00B740B4">
        <w:t xml:space="preserve">stated </w:t>
      </w:r>
      <w:r w:rsidR="0025210D" w:rsidRPr="00B740B4">
        <w:t>first in terms taking</w:t>
      </w:r>
      <w:r w:rsidRPr="00B740B4">
        <w:t xml:space="preserve"> up words from panel </w:t>
      </w:r>
      <w:r w:rsidR="0025210D" w:rsidRPr="00B740B4">
        <w:t>2A (v 19b), then in terms utilizing</w:t>
      </w:r>
      <w:r w:rsidRPr="00B740B4">
        <w:t xml:space="preserve"> new expressions </w:t>
      </w:r>
      <w:r w:rsidR="0025210D" w:rsidRPr="00B740B4">
        <w:t>which indicate</w:t>
      </w:r>
      <w:r w:rsidRPr="00B740B4">
        <w:t xml:space="preserve"> that results again exceeded expectations (v 20). Yet again, careful choice of expression is combine</w:t>
      </w:r>
      <w:r w:rsidR="0025210D" w:rsidRPr="00B740B4">
        <w:t xml:space="preserve">d with </w:t>
      </w:r>
      <w:r w:rsidRPr="00B740B4">
        <w:lastRenderedPageBreak/>
        <w:t xml:space="preserve">syntactical inelegance: </w:t>
      </w:r>
      <w:r w:rsidRPr="00B740B4">
        <w:rPr>
          <w:rFonts w:ascii="Arial" w:hAnsi="Arial" w:cs="Arial"/>
        </w:rPr>
        <w:t>בינה</w:t>
      </w:r>
      <w:r w:rsidRPr="00B740B4">
        <w:t xml:space="preserve"> </w:t>
      </w:r>
      <w:r w:rsidR="0025210D" w:rsidRPr="00B740B4">
        <w:rPr>
          <w:rFonts w:ascii="Arial" w:hAnsi="Arial" w:cs="Arial"/>
        </w:rPr>
        <w:t>חכמת</w:t>
      </w:r>
      <w:r w:rsidR="0025210D" w:rsidRPr="00B740B4">
        <w:t xml:space="preserve"> </w:t>
      </w:r>
      <w:r w:rsidR="00934A11" w:rsidRPr="00B740B4">
        <w:t>“</w:t>
      </w:r>
      <w:r w:rsidR="0025210D" w:rsidRPr="00B740B4">
        <w:t>insightful learning</w:t>
      </w:r>
      <w:r w:rsidR="00934A11" w:rsidRPr="00B740B4">
        <w:t>”</w:t>
      </w:r>
      <w:r w:rsidR="0025210D" w:rsidRPr="00B740B4">
        <w:t xml:space="preserve"> is an od</w:t>
      </w:r>
      <w:r w:rsidRPr="00B740B4">
        <w:t xml:space="preserve">d construct phrase, </w:t>
      </w:r>
      <w:r w:rsidRPr="00B740B4">
        <w:rPr>
          <w:rFonts w:ascii="Arial" w:hAnsi="Arial" w:cs="Arial"/>
        </w:rPr>
        <w:t>האשפים</w:t>
      </w:r>
      <w:r w:rsidRPr="00B740B4">
        <w:t xml:space="preserve"> </w:t>
      </w:r>
      <w:r w:rsidR="0025210D" w:rsidRPr="00B740B4">
        <w:rPr>
          <w:rFonts w:ascii="Arial" w:hAnsi="Arial" w:cs="Arial"/>
        </w:rPr>
        <w:t>החרטמים</w:t>
      </w:r>
      <w:r w:rsidR="0025210D" w:rsidRPr="00B740B4">
        <w:t xml:space="preserve"> </w:t>
      </w:r>
      <w:r w:rsidR="00934A11" w:rsidRPr="00B740B4">
        <w:t>“</w:t>
      </w:r>
      <w:r w:rsidRPr="00B740B4">
        <w:t>the diviners, the chanters</w:t>
      </w:r>
      <w:r w:rsidR="00934A11" w:rsidRPr="00B740B4">
        <w:t>”</w:t>
      </w:r>
      <w:r w:rsidRPr="00B740B4">
        <w:t xml:space="preserve"> is asyndetic.</w:t>
      </w:r>
    </w:p>
    <w:p w:rsidR="00B27480" w:rsidRPr="00B740B4" w:rsidRDefault="00B27480" w:rsidP="00B27480">
      <w:r w:rsidRPr="00B740B4">
        <w:t>Panel 3D (v 21) in turn briefly closes off (in part) the questions raised in panel 3A by alluding to the m</w:t>
      </w:r>
      <w:r w:rsidR="00C51E9F" w:rsidRPr="00B740B4">
        <w:t xml:space="preserve">oment when </w:t>
      </w:r>
      <w:r w:rsidRPr="00B740B4">
        <w:t xml:space="preserve">people and temple articles </w:t>
      </w:r>
      <w:r w:rsidR="00C51E9F" w:rsidRPr="00B740B4">
        <w:t xml:space="preserve">would be able </w:t>
      </w:r>
      <w:r w:rsidRPr="00B740B4">
        <w:t>to return to Jerusalem (see 2 Chr 36:20–23; Ezra 1:7–11). Thus the chapter opens with Nebuchadnezzar but closes with Cyrus, opens with the beginning of the exile but closes with the beginning of the return, and shows how Daniel links the two.</w:t>
      </w:r>
    </w:p>
    <w:p w:rsidR="00B27480" w:rsidRPr="00B740B4" w:rsidRDefault="00B27480" w:rsidP="00B27480">
      <w:pPr>
        <w:pStyle w:val="Heading3"/>
      </w:pPr>
      <w:r w:rsidRPr="00B740B4">
        <w:t>Setting</w:t>
      </w:r>
    </w:p>
    <w:p w:rsidR="00F12EC0" w:rsidRPr="00B740B4" w:rsidRDefault="00F12EC0" w:rsidP="00F12EC0"/>
    <w:p w:rsidR="000679CC" w:rsidRPr="00B740B4" w:rsidRDefault="00352F48" w:rsidP="00454A28">
      <w:r w:rsidRPr="00B740B4">
        <w:t>The story brackets the tough realities of the fall of Jerusalem and the life of exile.</w:t>
      </w:r>
      <w:r w:rsidRPr="00B740B4">
        <w:rPr>
          <w:vertAlign w:val="superscript"/>
        </w:rPr>
        <w:footnoteReference w:id="265"/>
      </w:r>
      <w:r w:rsidRPr="00B740B4">
        <w:t xml:space="preserve"> It</w:t>
      </w:r>
      <w:r w:rsidR="00B27480" w:rsidRPr="00B740B4">
        <w:t>s motifs and concer</w:t>
      </w:r>
      <w:r w:rsidRPr="00B740B4">
        <w:t xml:space="preserve">ns point </w:t>
      </w:r>
      <w:r w:rsidR="002D4FFF" w:rsidRPr="00B740B4">
        <w:t xml:space="preserve">towards </w:t>
      </w:r>
      <w:r w:rsidRPr="00B740B4">
        <w:t xml:space="preserve">a setting when exile has become dispersion, </w:t>
      </w:r>
      <w:r w:rsidR="00594626" w:rsidRPr="00B740B4">
        <w:t>where Judahite and foreigner</w:t>
      </w:r>
      <w:r w:rsidR="00B27480" w:rsidRPr="00B740B4">
        <w:t xml:space="preserve"> could live together, </w:t>
      </w:r>
      <w:r w:rsidRPr="00B740B4">
        <w:t xml:space="preserve">and </w:t>
      </w:r>
      <w:r w:rsidR="00B27480" w:rsidRPr="00B740B4">
        <w:t>where the question of s</w:t>
      </w:r>
      <w:r w:rsidR="00DF45DD" w:rsidRPr="00B740B4">
        <w:t>ervice in a foreign court could be</w:t>
      </w:r>
      <w:r w:rsidRPr="00B740B4">
        <w:t xml:space="preserve"> significant</w:t>
      </w:r>
      <w:r w:rsidR="00B27480" w:rsidRPr="00B740B4">
        <w:t xml:space="preserve"> (cf. Nehemiah)</w:t>
      </w:r>
      <w:r w:rsidR="00D12B0C">
        <w:t xml:space="preserve">. </w:t>
      </w:r>
      <w:r w:rsidR="00EE6739" w:rsidRPr="00EE6739">
        <w:t>“Emotionally, Ezekiel never left Palestine,” but this story is told by and for people who have had to do so.</w:t>
      </w:r>
      <w:r w:rsidR="00EE6739" w:rsidRPr="00EE6739">
        <w:rPr>
          <w:vertAlign w:val="superscript"/>
        </w:rPr>
        <w:footnoteReference w:id="266"/>
      </w:r>
      <w:r w:rsidR="00EE6739">
        <w:t xml:space="preserve"> Admittedly,</w:t>
      </w:r>
      <w:r w:rsidR="00D12B0C">
        <w:t xml:space="preserve"> one can</w:t>
      </w:r>
      <w:r w:rsidRPr="00B740B4">
        <w:t>not</w:t>
      </w:r>
      <w:r w:rsidR="00D12B0C">
        <w:t xml:space="preserve"> </w:t>
      </w:r>
      <w:r w:rsidR="00EE6739">
        <w:t>read the positive aspect to its</w:t>
      </w:r>
      <w:r w:rsidRPr="00B740B4">
        <w:t xml:space="preserve"> portrayal too unequivocally. It is also a setting</w:t>
      </w:r>
      <w:r w:rsidR="00B27480" w:rsidRPr="00B740B4">
        <w:t xml:space="preserve"> where the tension between that possi</w:t>
      </w:r>
      <w:r w:rsidR="00594626" w:rsidRPr="00B740B4">
        <w:t>bility and the demands of Judahite</w:t>
      </w:r>
      <w:r w:rsidR="00B27480" w:rsidRPr="00B740B4">
        <w:t xml:space="preserve"> faith would be a pressing religious question.</w:t>
      </w:r>
      <w:r w:rsidR="001B2642" w:rsidRPr="00B740B4">
        <w:rPr>
          <w:rStyle w:val="FootnoteReference"/>
        </w:rPr>
        <w:footnoteReference w:id="267"/>
      </w:r>
      <w:r w:rsidR="00B27480" w:rsidRPr="00B740B4">
        <w:t xml:space="preserve"> </w:t>
      </w:r>
    </w:p>
    <w:p w:rsidR="00454A28" w:rsidRPr="00B740B4" w:rsidRDefault="00B27480" w:rsidP="000679CC">
      <w:r w:rsidRPr="00B740B4">
        <w:t xml:space="preserve">The story </w:t>
      </w:r>
      <w:r w:rsidR="00D12B0C">
        <w:t xml:space="preserve">would speak to </w:t>
      </w:r>
      <w:r w:rsidRPr="00B740B4">
        <w:t xml:space="preserve">the aspirations and concerns of </w:t>
      </w:r>
      <w:r w:rsidR="00C51E9F" w:rsidRPr="00B740B4">
        <w:t xml:space="preserve">people in the eastern dispersion </w:t>
      </w:r>
      <w:r w:rsidR="00454A28" w:rsidRPr="00B740B4">
        <w:t>with</w:t>
      </w:r>
      <w:r w:rsidR="00C51E9F" w:rsidRPr="00B740B4">
        <w:t xml:space="preserve"> ability and drive who would have been leaders back in Judah, who might hope </w:t>
      </w:r>
      <w:r w:rsidR="001F5F04" w:rsidRPr="00B740B4">
        <w:t>to succeed in their foreign</w:t>
      </w:r>
      <w:r w:rsidRPr="00B740B4">
        <w:t xml:space="preserve"> environment but </w:t>
      </w:r>
      <w:r w:rsidR="00454A28" w:rsidRPr="00B740B4">
        <w:t xml:space="preserve">were </w:t>
      </w:r>
      <w:r w:rsidRPr="00B740B4">
        <w:t>aware of their calling to remain faithful to</w:t>
      </w:r>
      <w:r w:rsidR="001F5F04" w:rsidRPr="00B740B4">
        <w:t xml:space="preserve"> their Judahite identity</w:t>
      </w:r>
      <w:r w:rsidR="009A2BAF" w:rsidRPr="00B740B4">
        <w:t>.</w:t>
      </w:r>
      <w:r w:rsidR="001B2642" w:rsidRPr="00B740B4">
        <w:rPr>
          <w:rStyle w:val="FootnoteReference"/>
        </w:rPr>
        <w:footnoteReference w:id="268"/>
      </w:r>
      <w:r w:rsidRPr="00B740B4">
        <w:t xml:space="preserve"> </w:t>
      </w:r>
      <w:r w:rsidR="000679CC" w:rsidRPr="00B740B4">
        <w:t xml:space="preserve">For the most part the Judahites who were exiled to Babylon were not ordinary people; </w:t>
      </w:r>
      <w:r w:rsidR="00934A11" w:rsidRPr="00B740B4">
        <w:t>“</w:t>
      </w:r>
      <w:r w:rsidR="000679CC" w:rsidRPr="00B740B4">
        <w:t>the peasants had been left behind in Judah.</w:t>
      </w:r>
      <w:r w:rsidR="00934A11" w:rsidRPr="00B740B4">
        <w:t>”</w:t>
      </w:r>
      <w:r w:rsidR="000679CC" w:rsidRPr="00B740B4">
        <w:rPr>
          <w:vertAlign w:val="superscript"/>
        </w:rPr>
        <w:footnoteReference w:id="269"/>
      </w:r>
      <w:r w:rsidR="000679CC" w:rsidRPr="00B740B4">
        <w:t xml:space="preserve"> They were members of the royal family and the palace staff, priests, and pro</w:t>
      </w:r>
      <w:r w:rsidR="00D12B0C">
        <w:t>phets, even though</w:t>
      </w:r>
      <w:r w:rsidR="000679CC" w:rsidRPr="00B740B4">
        <w:t xml:space="preserve"> in this foreign environment </w:t>
      </w:r>
      <w:r w:rsidR="00934A11" w:rsidRPr="00B740B4">
        <w:t>“</w:t>
      </w:r>
      <w:r w:rsidR="000679CC" w:rsidRPr="00B740B4">
        <w:t>these are the dreams of ‘little people’ about how they can win back some power and influence their own and others' destinies.</w:t>
      </w:r>
      <w:r w:rsidR="00934A11" w:rsidRPr="00B740B4">
        <w:t>”</w:t>
      </w:r>
      <w:r w:rsidR="000679CC" w:rsidRPr="00B740B4">
        <w:rPr>
          <w:vertAlign w:val="superscript"/>
        </w:rPr>
        <w:footnoteReference w:id="270"/>
      </w:r>
      <w:r w:rsidR="000679CC" w:rsidRPr="00B740B4">
        <w:t xml:space="preserve"> So the challenges in the book concern the prospects and pressures of people who belong to leadership groups rather than ordinary people.</w:t>
      </w:r>
      <w:r w:rsidR="005F0878" w:rsidRPr="00B740B4">
        <w:rPr>
          <w:rStyle w:val="FootnoteReference"/>
        </w:rPr>
        <w:footnoteReference w:id="271"/>
      </w:r>
      <w:r w:rsidR="000679CC" w:rsidRPr="00B740B4">
        <w:t xml:space="preserve"> Nevertheless</w:t>
      </w:r>
      <w:r w:rsidR="00454A28" w:rsidRPr="00B740B4">
        <w:t xml:space="preserve"> the fact that the stor</w:t>
      </w:r>
      <w:r w:rsidR="00DF45DD" w:rsidRPr="00B740B4">
        <w:t>ies are about life at court need</w:t>
      </w:r>
      <w:r w:rsidR="00454A28" w:rsidRPr="00B740B4">
        <w:t xml:space="preserve"> not mean they were </w:t>
      </w:r>
      <w:r w:rsidR="000679CC" w:rsidRPr="00B740B4">
        <w:t xml:space="preserve">simply </w:t>
      </w:r>
      <w:r w:rsidR="00454A28" w:rsidRPr="00B740B4">
        <w:t>composed by or for people at court, and their non-realistic and hyperbolic form may make it less</w:t>
      </w:r>
      <w:r w:rsidR="004473A0" w:rsidRPr="00B740B4">
        <w:t xml:space="preserve"> </w:t>
      </w:r>
      <w:r w:rsidR="00454A28" w:rsidRPr="00B740B4">
        <w:t>l</w:t>
      </w:r>
      <w:r w:rsidR="004473A0" w:rsidRPr="00B740B4">
        <w:t>ikely</w:t>
      </w:r>
      <w:r w:rsidR="00DF45DD" w:rsidRPr="00B740B4">
        <w:t xml:space="preserve">. </w:t>
      </w:r>
      <w:r w:rsidR="00D12B0C">
        <w:t>The stories</w:t>
      </w:r>
      <w:r w:rsidR="00E426DF" w:rsidRPr="00B740B4">
        <w:t xml:space="preserve"> have often been enjoyed by </w:t>
      </w:r>
      <w:r w:rsidR="00454A28" w:rsidRPr="00B740B4">
        <w:t>ordinary people</w:t>
      </w:r>
      <w:r w:rsidR="00E426DF" w:rsidRPr="00B740B4">
        <w:t xml:space="preserve"> </w:t>
      </w:r>
      <w:r w:rsidR="004473A0" w:rsidRPr="00B740B4">
        <w:t>from a distance</w:t>
      </w:r>
      <w:r w:rsidR="00454A28" w:rsidRPr="00B740B4">
        <w:t xml:space="preserve">, </w:t>
      </w:r>
      <w:r w:rsidR="00E426DF" w:rsidRPr="00B740B4">
        <w:t xml:space="preserve">and have functioned to bolster </w:t>
      </w:r>
      <w:r w:rsidR="00454A28" w:rsidRPr="00B740B4">
        <w:t>their trust in their God</w:t>
      </w:r>
      <w:r w:rsidR="00DF45DD" w:rsidRPr="00B740B4">
        <w:t>, their faithfulness to God, and their hope in God</w:t>
      </w:r>
      <w:r w:rsidR="00454A28" w:rsidRPr="00B740B4">
        <w:t>.</w:t>
      </w:r>
      <w:r w:rsidR="00E426DF" w:rsidRPr="00B740B4">
        <w:t xml:space="preserve"> It’s easy to imagine</w:t>
      </w:r>
      <w:r w:rsidR="00D12B0C">
        <w:t xml:space="preserve"> that they were also designed to tha</w:t>
      </w:r>
      <w:r w:rsidR="00E426DF" w:rsidRPr="00B740B4">
        <w:t>t end.</w:t>
      </w:r>
      <w:r w:rsidR="00454A28" w:rsidRPr="00B740B4">
        <w:rPr>
          <w:vertAlign w:val="superscript"/>
        </w:rPr>
        <w:footnoteReference w:id="272"/>
      </w:r>
      <w:r w:rsidR="00E426DF" w:rsidRPr="00B740B4">
        <w:t xml:space="preserve"> </w:t>
      </w:r>
    </w:p>
    <w:p w:rsidR="00B27480" w:rsidRPr="00B740B4" w:rsidRDefault="00DF45DD" w:rsidP="00B27480">
      <w:r w:rsidRPr="00B740B4">
        <w:t>T</w:t>
      </w:r>
      <w:r w:rsidR="00D12B0C">
        <w:t xml:space="preserve">he closing verse </w:t>
      </w:r>
      <w:r w:rsidR="00B27480" w:rsidRPr="00B740B4">
        <w:t>presupposes the Pers</w:t>
      </w:r>
      <w:r w:rsidR="00454A28" w:rsidRPr="00B740B4">
        <w:t xml:space="preserve">ian period and the chapter </w:t>
      </w:r>
      <w:r w:rsidR="00B27480" w:rsidRPr="00B740B4">
        <w:t>makes key</w:t>
      </w:r>
      <w:r w:rsidRPr="00B740B4">
        <w:t xml:space="preserve"> use of Persian words. It</w:t>
      </w:r>
      <w:r w:rsidR="00B27480" w:rsidRPr="00B740B4">
        <w:t xml:space="preserve"> was evidently composed not before the Persian period. There are no specific </w:t>
      </w:r>
      <w:r w:rsidR="00713FAA" w:rsidRPr="00B740B4">
        <w:t xml:space="preserve">pointers to the </w:t>
      </w:r>
      <w:r w:rsidR="00B27480" w:rsidRPr="00B740B4">
        <w:t>Greek period, b</w:t>
      </w:r>
      <w:r w:rsidR="00713FAA" w:rsidRPr="00B740B4">
        <w:t>ut neither can this be excluded;</w:t>
      </w:r>
      <w:r w:rsidR="00AC6A86" w:rsidRPr="00B740B4">
        <w:rPr>
          <w:rStyle w:val="FootnoteReference"/>
        </w:rPr>
        <w:footnoteReference w:id="273"/>
      </w:r>
      <w:r w:rsidR="00B27480" w:rsidRPr="00B740B4">
        <w:t xml:space="preserve"> Persi</w:t>
      </w:r>
      <w:r w:rsidR="00713FAA" w:rsidRPr="00B740B4">
        <w:t>an culture continued to be significant then, and</w:t>
      </w:r>
      <w:r w:rsidR="00B27480" w:rsidRPr="00B740B4">
        <w:t xml:space="preserve"> the period saw a revival of cuneiform learning in Babylon.</w:t>
      </w:r>
      <w:r w:rsidR="001B2642" w:rsidRPr="00B740B4">
        <w:rPr>
          <w:rStyle w:val="FootnoteReference"/>
        </w:rPr>
        <w:footnoteReference w:id="274"/>
      </w:r>
      <w:r w:rsidR="00454A28" w:rsidRPr="00B740B4">
        <w:t xml:space="preserve"> </w:t>
      </w:r>
      <w:r w:rsidR="00713FAA" w:rsidRPr="00B740B4">
        <w:t>While the acceptance of pagan names does not clash with a second-century date, as this practice was not controversial even then, and t</w:t>
      </w:r>
      <w:r w:rsidR="00B27480" w:rsidRPr="00B740B4">
        <w:t>he concern with assimilation to pagan practices and with dietary defilement could fit that period,</w:t>
      </w:r>
      <w:r w:rsidR="001B2642" w:rsidRPr="00B740B4">
        <w:rPr>
          <w:rStyle w:val="FootnoteReference"/>
        </w:rPr>
        <w:footnoteReference w:id="275"/>
      </w:r>
      <w:r w:rsidR="00713FAA" w:rsidRPr="00B740B4">
        <w:t xml:space="preserve"> it does so no </w:t>
      </w:r>
      <w:r w:rsidR="00713FAA" w:rsidRPr="00B740B4">
        <w:lastRenderedPageBreak/>
        <w:t xml:space="preserve">better than </w:t>
      </w:r>
      <w:r w:rsidR="00B27480" w:rsidRPr="00B740B4">
        <w:t>other time</w:t>
      </w:r>
      <w:r w:rsidR="00713FAA" w:rsidRPr="00B740B4">
        <w:t>s</w:t>
      </w:r>
      <w:r w:rsidR="00B27480" w:rsidRPr="00B740B4">
        <w:t xml:space="preserve"> from the exile onward</w:t>
      </w:r>
      <w:r w:rsidR="00454A28" w:rsidRPr="00B740B4">
        <w:t xml:space="preserve">, and there are no concrete pointers to a second-century date. The </w:t>
      </w:r>
      <w:r w:rsidR="00B27480" w:rsidRPr="00B740B4">
        <w:t>openness to serving in the pagan court, to learning from pagan culture, and to finding favor with t</w:t>
      </w:r>
      <w:r w:rsidR="00454A28" w:rsidRPr="00B740B4">
        <w:t>he imperial authorities, and the</w:t>
      </w:r>
      <w:r w:rsidR="00B27480" w:rsidRPr="00B740B4">
        <w:t xml:space="preserve"> lack of reference to</w:t>
      </w:r>
      <w:r w:rsidR="00713FAA" w:rsidRPr="00B740B4">
        <w:t xml:space="preserve"> persecution, do not suggest a story</w:t>
      </w:r>
      <w:r w:rsidR="00B27480" w:rsidRPr="00B740B4">
        <w:t xml:space="preserve"> written with second-century Jerusalem in mind. </w:t>
      </w:r>
      <w:r w:rsidR="00934A11" w:rsidRPr="00B740B4">
        <w:t>“</w:t>
      </w:r>
      <w:r w:rsidR="00B27480" w:rsidRPr="00B740B4">
        <w:t>The issue is not persecution but the search for a viable life-style amid competing political and religious claims</w:t>
      </w:r>
      <w:r w:rsidR="00934A11" w:rsidRPr="00B740B4">
        <w:t>”</w:t>
      </w:r>
      <w:r w:rsidR="00713FAA" w:rsidRPr="00B740B4">
        <w:t>; further, the stories in Daniel concern themselves with the problems of the individual, whereas the visions focus on the c</w:t>
      </w:r>
      <w:r w:rsidR="00AC6A86" w:rsidRPr="00B740B4">
        <w:t>orporate experience and crisis.</w:t>
      </w:r>
      <w:r w:rsidR="001B2642" w:rsidRPr="00B740B4">
        <w:rPr>
          <w:rStyle w:val="FootnoteReference"/>
        </w:rPr>
        <w:footnoteReference w:id="276"/>
      </w:r>
    </w:p>
    <w:p w:rsidR="0053547A" w:rsidRPr="00B740B4" w:rsidRDefault="00B27480" w:rsidP="0053547A">
      <w:r w:rsidRPr="00B740B4">
        <w:t>The story has a setting in the actual book of Daniel; indeed, it provides the setting for it, almost constituting an anticipatory midrash on it</w:t>
      </w:r>
      <w:r w:rsidR="0021234F" w:rsidRPr="00B740B4">
        <w:t>.</w:t>
      </w:r>
      <w:r w:rsidR="0021234F" w:rsidRPr="00B740B4">
        <w:rPr>
          <w:rStyle w:val="FootnoteReference"/>
        </w:rPr>
        <w:footnoteReference w:id="277"/>
      </w:r>
      <w:r w:rsidR="0053547A" w:rsidRPr="00B740B4">
        <w:t xml:space="preserve"> </w:t>
      </w:r>
      <w:r w:rsidR="00B67445">
        <w:t xml:space="preserve">It introduces the three characters who </w:t>
      </w:r>
      <w:r w:rsidR="00D25EE9">
        <w:t xml:space="preserve">will appear through the stories, </w:t>
      </w:r>
      <w:r w:rsidR="00B67445">
        <w:t>Daniel and his friends, the king, and God. It is hardly nec</w:t>
      </w:r>
      <w:r w:rsidR="00D25EE9">
        <w:t>essary to determine who</w:t>
      </w:r>
      <w:r w:rsidR="00B67445">
        <w:t xml:space="preserve"> is the central character. It may be useful to see them as fulfilling the roles of protagonist, antagonist, and helper.</w:t>
      </w:r>
      <w:r w:rsidR="00D25EE9">
        <w:t xml:space="preserve"> </w:t>
      </w:r>
      <w:r w:rsidR="0053547A" w:rsidRPr="00B740B4">
        <w:t>While each of the stories is self-contained and can be read on its own, unlike the Joseph story whose episodes belong more integrally in the conte</w:t>
      </w:r>
      <w:r w:rsidR="00D12B0C">
        <w:t xml:space="preserve">xt of the whole, the stories </w:t>
      </w:r>
      <w:r w:rsidR="0053547A" w:rsidRPr="00B740B4">
        <w:t>link in various ways.</w:t>
      </w:r>
      <w:r w:rsidR="00086BFE">
        <w:rPr>
          <w:rStyle w:val="FootnoteReference"/>
        </w:rPr>
        <w:footnoteReference w:id="278"/>
      </w:r>
      <w:r w:rsidR="0053547A" w:rsidRPr="00B740B4">
        <w:t xml:space="preserve"> There is some forward movement in </w:t>
      </w:r>
      <w:r w:rsidR="008617CA">
        <w:t xml:space="preserve">chaps. 1—4 and in </w:t>
      </w:r>
      <w:r w:rsidR="0053547A" w:rsidRPr="00B740B4">
        <w:t>chap</w:t>
      </w:r>
      <w:r w:rsidR="008617CA">
        <w:t>s. 1—6,</w:t>
      </w:r>
      <w:r w:rsidR="0053547A" w:rsidRPr="00B740B4">
        <w:t xml:space="preserve"> and some spiral movement in chaps. 2—7. </w:t>
      </w:r>
    </w:p>
    <w:p w:rsidR="00B27480" w:rsidRPr="00B740B4" w:rsidRDefault="00B27480" w:rsidP="00B27480">
      <w:r w:rsidRPr="00B740B4">
        <w:t>Panel 1 sets the book in the context of the seventy years of exile covered by the sequence of stories and visions</w:t>
      </w:r>
      <w:r w:rsidR="00B67445">
        <w:t xml:space="preserve">, from the Babylonian kings via </w:t>
      </w:r>
      <w:r w:rsidRPr="00B740B4">
        <w:t>Darius the Mede to Cyrus the Persian.</w:t>
      </w:r>
      <w:r w:rsidR="00B67445" w:rsidRPr="00B67445">
        <w:rPr>
          <w:vertAlign w:val="superscript"/>
        </w:rPr>
        <w:footnoteReference w:id="279"/>
      </w:r>
      <w:r w:rsidRPr="00B740B4">
        <w:t xml:space="preserve"> </w:t>
      </w:r>
      <w:r w:rsidR="0053547A" w:rsidRPr="00B740B4">
        <w:t>Throughout the period of the empires, the people of God lives in a tricky threeway relationship, with God and with the imperial power. That relationship works harmoniously in Dan 1</w:t>
      </w:r>
      <w:r w:rsidR="00B67445">
        <w:t>,</w:t>
      </w:r>
      <w:r w:rsidR="0053547A" w:rsidRPr="00B740B4">
        <w:t xml:space="preserve"> but succeeding chapters will portray it involving tension and conflict,</w:t>
      </w:r>
      <w:r w:rsidR="008617CA">
        <w:t xml:space="preserve"> </w:t>
      </w:r>
      <w:r w:rsidR="0053547A" w:rsidRPr="00B740B4">
        <w:t>but also reconciliation.</w:t>
      </w:r>
      <w:r w:rsidR="00B67445">
        <w:t xml:space="preserve"> It</w:t>
      </w:r>
      <w:r w:rsidRPr="00B740B4">
        <w:t xml:space="preserve"> introduces Shinar,</w:t>
      </w:r>
      <w:r w:rsidR="00713FAA" w:rsidRPr="00B740B4">
        <w:t xml:space="preserve"> the home of idolatry (Zech 5; </w:t>
      </w:r>
      <w:r w:rsidRPr="00B740B4">
        <w:t>cf. chap. 3) and the location of the</w:t>
      </w:r>
      <w:r w:rsidR="00713FAA" w:rsidRPr="00B740B4">
        <w:t xml:space="preserve"> proud owner of Babel (Gen 11; </w:t>
      </w:r>
      <w:r w:rsidRPr="00B740B4">
        <w:t>cf. chap. 4), explains how articles from the Jerusalem temple came to be available for Belshazzar’s idolatrous revelry (chap. 5), and lays the foundation for considering when Jeremiah’s promise of Jerusalem’s restoration would be fulfilled (chap. 9). For t</w:t>
      </w:r>
      <w:r w:rsidR="00713FAA" w:rsidRPr="00B740B4">
        <w:t>he self-understanding of what is often</w:t>
      </w:r>
      <w:r w:rsidRPr="00B740B4">
        <w:t xml:space="preserve"> call</w:t>
      </w:r>
      <w:r w:rsidR="00713FAA" w:rsidRPr="00B740B4">
        <w:t>ed</w:t>
      </w:r>
      <w:r w:rsidRPr="00B740B4">
        <w:t xml:space="preserve"> the postexilic period, the experience of exile continued to shape the questions that faith had to address. Daniel thus begins from the moment when that exile began, and in anticipation looks to the moment when the seventy years </w:t>
      </w:r>
      <w:r w:rsidR="00934A11" w:rsidRPr="00B740B4">
        <w:t>“</w:t>
      </w:r>
      <w:r w:rsidRPr="00B740B4">
        <w:t>ended.</w:t>
      </w:r>
      <w:r w:rsidR="00934A11" w:rsidRPr="00B740B4">
        <w:t>”</w:t>
      </w:r>
      <w:r w:rsidRPr="00B740B4">
        <w:t xml:space="preserve"> The whole period is set within the sovereignty of God.</w:t>
      </w:r>
      <w:r w:rsidR="00A66DB4" w:rsidRPr="00B740B4">
        <w:rPr>
          <w:rStyle w:val="FootnoteReference"/>
        </w:rPr>
        <w:footnoteReference w:id="280"/>
      </w:r>
    </w:p>
    <w:p w:rsidR="00B27480" w:rsidRPr="00B740B4" w:rsidRDefault="00B27480" w:rsidP="00B27480">
      <w:r w:rsidRPr="00B740B4">
        <w:t>Panel 2 explains how the central figures in the book came to be serving in the palace of Babylon, sometimes using Babylonian names, sometimes Israelite ones, ass</w:t>
      </w:r>
      <w:r w:rsidR="00F03450" w:rsidRPr="00B740B4">
        <w:t>oc</w:t>
      </w:r>
      <w:r w:rsidR="0085498A" w:rsidRPr="00B740B4">
        <w:t>iated with the Babylonian adviser</w:t>
      </w:r>
      <w:r w:rsidR="00B67445">
        <w:t>s but possessing insight</w:t>
      </w:r>
      <w:r w:rsidRPr="00B740B4">
        <w:t xml:space="preserve"> far more impressive than theirs, and how Daniel in particular gained his expertise in visions and dreams. As men of discernment (</w:t>
      </w:r>
      <w:r w:rsidRPr="00B740B4">
        <w:rPr>
          <w:rFonts w:ascii="Arial" w:hAnsi="Arial" w:cs="Arial"/>
        </w:rPr>
        <w:t>משכילים</w:t>
      </w:r>
      <w:r w:rsidR="00622223" w:rsidRPr="00B740B4">
        <w:t>, v 4, c</w:t>
      </w:r>
      <w:r w:rsidR="00B67445">
        <w:t>f. v 17), they embody the insight</w:t>
      </w:r>
      <w:r w:rsidR="00622223" w:rsidRPr="00B740B4">
        <w:t xml:space="preserve"> that will characterize the </w:t>
      </w:r>
      <w:r w:rsidRPr="00B740B4">
        <w:t xml:space="preserve">discerning teachers of the time of final </w:t>
      </w:r>
      <w:r w:rsidR="00622223" w:rsidRPr="00B740B4">
        <w:t xml:space="preserve">pressure (11:33, 35; 12:3, 10), though there the participle </w:t>
      </w:r>
      <w:r w:rsidR="0053547A" w:rsidRPr="00B740B4">
        <w:rPr>
          <w:rFonts w:ascii="Arial" w:hAnsi="Arial" w:cs="Arial"/>
        </w:rPr>
        <w:t>משכילים</w:t>
      </w:r>
      <w:r w:rsidR="0053547A" w:rsidRPr="00B740B4">
        <w:t xml:space="preserve"> </w:t>
      </w:r>
      <w:r w:rsidR="00622223" w:rsidRPr="00B740B4">
        <w:t xml:space="preserve">will have become a quasi-noun to describe a group of teachers within the community rather than one quasi-adjective among a number of descriptions. </w:t>
      </w:r>
      <w:r w:rsidR="00B67445">
        <w:t>P</w:t>
      </w:r>
      <w:r w:rsidRPr="00B740B4">
        <w:t xml:space="preserve">anel </w:t>
      </w:r>
      <w:r w:rsidR="00B67445">
        <w:t xml:space="preserve">2 </w:t>
      </w:r>
      <w:r w:rsidRPr="00B740B4">
        <w:t>holds the four young men together yet gives Daniel special prominence, and thus answers questions raised by the way they function largely separately in later stories. Like panel 1B (v 21), panel 2B (vv 17–20) looks beyond the occasion of the immediately following stories: v 17 applies to the book as a whole, vv 18–19a describes the end of their training, vv 19b–20 refers to their position at court through the rest of Nebuchadnezzar’s reign.</w:t>
      </w:r>
    </w:p>
    <w:p w:rsidR="00B27480" w:rsidRDefault="00B27480" w:rsidP="00B27480">
      <w:r w:rsidRPr="00B740B4">
        <w:lastRenderedPageBreak/>
        <w:t>As panel 3 contains</w:t>
      </w:r>
      <w:r w:rsidR="00F12EC0" w:rsidRPr="00B740B4">
        <w:t xml:space="preserve"> the material that makes chap.</w:t>
      </w:r>
      <w:r w:rsidRPr="00B740B4">
        <w:t xml:space="preserve"> 1 a story in its own right, it relates less explicitly to the other stories in the book, though Daniel’s insis</w:t>
      </w:r>
      <w:r w:rsidR="00B67445">
        <w:t>tence on avoiding defilement while</w:t>
      </w:r>
      <w:r w:rsidRPr="00B740B4">
        <w:t xml:space="preserve"> serving in the pagan court answers a question possibly raised by chaps. 2, 4, and 5, while his willingness to stand up to the test in order to maintain his faithfulness introduces the theme of chaps. 3 and 6. The story’s central question, then, is </w:t>
      </w:r>
      <w:r w:rsidR="00934A11" w:rsidRPr="00B740B4">
        <w:t>“</w:t>
      </w:r>
      <w:r w:rsidRPr="00B740B4">
        <w:t>How could these four famous young men have gained such success in the pagan court, without being tainted by it?</w:t>
      </w:r>
      <w:r w:rsidR="00934A11" w:rsidRPr="00B740B4">
        <w:t>”</w:t>
      </w:r>
      <w:r w:rsidRPr="00B740B4">
        <w:t xml:space="preserve"> </w:t>
      </w:r>
      <w:r w:rsidR="0053547A" w:rsidRPr="00B740B4">
        <w:t xml:space="preserve">And the chapter as a whole </w:t>
      </w:r>
      <w:r w:rsidRPr="00B740B4">
        <w:t>endorses the lifestyle of the</w:t>
      </w:r>
      <w:r w:rsidR="0021234F" w:rsidRPr="00B740B4">
        <w:t xml:space="preserve"> </w:t>
      </w:r>
      <w:r w:rsidR="00A66DB4" w:rsidRPr="00B740B4">
        <w:t>smart royal courtier</w:t>
      </w:r>
      <w:r w:rsidR="0021234F" w:rsidRPr="00B740B4">
        <w:rPr>
          <w:rStyle w:val="FootnoteReference"/>
        </w:rPr>
        <w:footnoteReference w:id="281"/>
      </w:r>
      <w:r w:rsidR="0021234F" w:rsidRPr="00B740B4">
        <w:t xml:space="preserve"> </w:t>
      </w:r>
      <w:r w:rsidRPr="00B740B4">
        <w:t>yet assures us that Daniel and his friends in exile gained success in a way</w:t>
      </w:r>
      <w:r w:rsidR="0053547A" w:rsidRPr="00B740B4">
        <w:t xml:space="preserve"> that avoided losing holiness. T</w:t>
      </w:r>
      <w:r w:rsidRPr="00B740B4">
        <w:t>hey proved that holiness was the source of health, and t</w:t>
      </w:r>
      <w:r w:rsidR="00B67445">
        <w:t>hat God was the source of discernment</w:t>
      </w:r>
      <w:r w:rsidRPr="00B740B4">
        <w:t xml:space="preserve"> and the power behind history.</w:t>
      </w:r>
    </w:p>
    <w:p w:rsidR="00B27480" w:rsidRPr="00B740B4" w:rsidRDefault="00B27480" w:rsidP="002736C0">
      <w:pPr>
        <w:pStyle w:val="Heading2"/>
        <w:ind w:left="2160" w:hanging="2160"/>
      </w:pPr>
      <w:r w:rsidRPr="00B740B4">
        <w:t>Comment</w:t>
      </w:r>
    </w:p>
    <w:p w:rsidR="00B27480" w:rsidRPr="00B740B4" w:rsidRDefault="00B27480" w:rsidP="00B27480">
      <w:r w:rsidRPr="00B740B4">
        <w:rPr>
          <w:b/>
        </w:rPr>
        <w:t>1–2</w:t>
      </w:r>
      <w:r w:rsidRPr="00B740B4">
        <w:t xml:space="preserve"> Virtually every word parallels ear</w:t>
      </w:r>
      <w:r w:rsidR="00382316" w:rsidRPr="00B740B4">
        <w:t>lier material: see esp. 2 Chr 36</w:t>
      </w:r>
      <w:r w:rsidRPr="00B740B4">
        <w:t xml:space="preserve">:6–7; Jer 20:4–5; 39:1; 46:2; also 2 Chr 35:19 (for </w:t>
      </w:r>
      <w:r w:rsidRPr="00B740B4">
        <w:rPr>
          <w:rFonts w:ascii="Arial" w:hAnsi="Arial" w:cs="Arial"/>
        </w:rPr>
        <w:t>מלכות</w:t>
      </w:r>
      <w:r w:rsidRPr="00B740B4">
        <w:t xml:space="preserve">, </w:t>
      </w:r>
      <w:r w:rsidR="00934A11" w:rsidRPr="00B740B4">
        <w:t>“</w:t>
      </w:r>
      <w:r w:rsidRPr="00B740B4">
        <w:t>reign,</w:t>
      </w:r>
      <w:r w:rsidR="00934A11" w:rsidRPr="00B740B4">
        <w:t>”</w:t>
      </w:r>
      <w:r w:rsidRPr="00B740B4">
        <w:t xml:space="preserve"> a favorite word in Chron</w:t>
      </w:r>
      <w:r w:rsidR="001623CB">
        <w:t>icles and Daniel); Gen 12:1–9 and</w:t>
      </w:r>
      <w:r w:rsidRPr="00B740B4">
        <w:t xml:space="preserve"> Zech 5:5–11 (for Shinar).</w:t>
      </w:r>
      <w:r w:rsidR="0072115E" w:rsidRPr="00B740B4">
        <w:rPr>
          <w:rStyle w:val="FootnoteReference"/>
        </w:rPr>
        <w:footnoteReference w:id="282"/>
      </w:r>
      <w:r w:rsidRPr="00B740B4">
        <w:t xml:space="preserve"> Daniel replaces the name </w:t>
      </w:r>
      <w:r w:rsidRPr="00B740B4">
        <w:rPr>
          <w:i/>
        </w:rPr>
        <w:t>Yahweh</w:t>
      </w:r>
      <w:r w:rsidRPr="00B740B4">
        <w:t xml:space="preserve"> in Jeremiah and Chronicles by </w:t>
      </w:r>
      <w:r w:rsidRPr="00B740B4">
        <w:rPr>
          <w:rFonts w:ascii="Arial" w:hAnsi="Arial" w:cs="Arial"/>
        </w:rPr>
        <w:t>אדני</w:t>
      </w:r>
      <w:r w:rsidRPr="00B740B4">
        <w:t xml:space="preserve"> </w:t>
      </w:r>
      <w:r w:rsidR="00934A11" w:rsidRPr="00B740B4">
        <w:t>“</w:t>
      </w:r>
      <w:r w:rsidRPr="00B740B4">
        <w:t>the Lord</w:t>
      </w:r>
      <w:r w:rsidR="00934A11" w:rsidRPr="00B740B4">
        <w:t>”</w:t>
      </w:r>
      <w:r w:rsidRPr="00B740B4">
        <w:t xml:space="preserve"> and </w:t>
      </w:r>
      <w:r w:rsidRPr="00B740B4">
        <w:rPr>
          <w:rFonts w:ascii="Arial" w:hAnsi="Arial" w:cs="Arial"/>
        </w:rPr>
        <w:t>האלהים</w:t>
      </w:r>
      <w:r w:rsidR="003F2038" w:rsidRPr="00B740B4">
        <w:t xml:space="preserve"> </w:t>
      </w:r>
      <w:r w:rsidR="00934A11" w:rsidRPr="00B740B4">
        <w:t>“</w:t>
      </w:r>
      <w:r w:rsidR="003F2038" w:rsidRPr="00B740B4">
        <w:t>God.</w:t>
      </w:r>
      <w:r w:rsidR="00934A11" w:rsidRPr="00B740B4">
        <w:t>”</w:t>
      </w:r>
      <w:r w:rsidR="003F2038" w:rsidRPr="00B740B4">
        <w:t xml:space="preserve"> The replacement</w:t>
      </w:r>
      <w:r w:rsidR="00382316" w:rsidRPr="00B740B4">
        <w:t xml:space="preserve"> </w:t>
      </w:r>
      <w:r w:rsidRPr="00B740B4">
        <w:t>may issue from reverence, but the effect is al</w:t>
      </w:r>
      <w:r w:rsidR="00382316" w:rsidRPr="00B740B4">
        <w:t>so to undermine any hint that Yahweh</w:t>
      </w:r>
      <w:r w:rsidRPr="00B740B4">
        <w:t xml:space="preserve"> is merely Israel’s national God and the temple </w:t>
      </w:r>
      <w:r w:rsidR="001623CB">
        <w:t xml:space="preserve">is </w:t>
      </w:r>
      <w:r w:rsidR="00382316" w:rsidRPr="00B740B4">
        <w:t>merely Israel’</w:t>
      </w:r>
      <w:r w:rsidRPr="00B740B4">
        <w:t>s nat</w:t>
      </w:r>
      <w:r w:rsidR="006252D9" w:rsidRPr="00B740B4">
        <w:t xml:space="preserve">ional shrine, </w:t>
      </w:r>
      <w:r w:rsidR="001623CB">
        <w:t xml:space="preserve">just </w:t>
      </w:r>
      <w:r w:rsidR="006252D9" w:rsidRPr="00B740B4">
        <w:t>as Babylon has it</w:t>
      </w:r>
      <w:r w:rsidR="00382316" w:rsidRPr="00B740B4">
        <w:t>s gods and shrines. Rather, t</w:t>
      </w:r>
      <w:r w:rsidRPr="00B740B4">
        <w:t xml:space="preserve">he titles </w:t>
      </w:r>
      <w:r w:rsidR="00934A11" w:rsidRPr="00B740B4">
        <w:t>“</w:t>
      </w:r>
      <w:r w:rsidRPr="00B740B4">
        <w:t>the Lord</w:t>
      </w:r>
      <w:r w:rsidR="00934A11" w:rsidRPr="00B740B4">
        <w:t>”</w:t>
      </w:r>
      <w:r w:rsidRPr="00B740B4">
        <w:t xml:space="preserve"> and </w:t>
      </w:r>
      <w:r w:rsidR="00934A11" w:rsidRPr="00B740B4">
        <w:t>“</w:t>
      </w:r>
      <w:r w:rsidRPr="00B740B4">
        <w:t>God</w:t>
      </w:r>
      <w:r w:rsidR="00934A11" w:rsidRPr="00B740B4">
        <w:t>”</w:t>
      </w:r>
      <w:r w:rsidRPr="00B740B4">
        <w:t xml:space="preserve"> </w:t>
      </w:r>
      <w:r w:rsidR="00382316" w:rsidRPr="00B740B4">
        <w:t xml:space="preserve">with their </w:t>
      </w:r>
      <w:r w:rsidRPr="00B740B4">
        <w:t>absolute implications</w:t>
      </w:r>
      <w:r w:rsidR="001623CB">
        <w:t xml:space="preserve"> belong only to Yahweh; </w:t>
      </w:r>
      <w:r w:rsidRPr="00B740B4">
        <w:t xml:space="preserve">the </w:t>
      </w:r>
      <w:r w:rsidR="001623CB">
        <w:t>exile happened by the act of this</w:t>
      </w:r>
      <w:r w:rsidRPr="00B740B4">
        <w:t xml:space="preserve"> sovereign God who is also Israel’s God, not Nebuchadnezzar’s</w:t>
      </w:r>
      <w:r w:rsidR="00622F9D" w:rsidRPr="00B740B4">
        <w:t>.</w:t>
      </w:r>
      <w:r w:rsidR="00622F9D" w:rsidRPr="00B740B4">
        <w:rPr>
          <w:rStyle w:val="FootnoteReference"/>
        </w:rPr>
        <w:footnoteReference w:id="283"/>
      </w:r>
      <w:r w:rsidRPr="00B740B4">
        <w:t xml:space="preserve"> </w:t>
      </w:r>
    </w:p>
    <w:p w:rsidR="006421DF" w:rsidRDefault="001C7BA9" w:rsidP="006421DF">
      <w:r w:rsidRPr="00B740B4">
        <w:t>Babylonian records (</w:t>
      </w:r>
      <w:r w:rsidR="00934A11" w:rsidRPr="00B740B4">
        <w:t>“</w:t>
      </w:r>
      <w:r w:rsidR="00B27480" w:rsidRPr="00B740B4">
        <w:t>The Babylonian Chronicle</w:t>
      </w:r>
      <w:r w:rsidR="008B142D">
        <w:t>s</w:t>
      </w:r>
      <w:r w:rsidR="00934A11" w:rsidRPr="00B740B4">
        <w:t>”</w:t>
      </w:r>
      <w:r w:rsidRPr="00B740B4">
        <w:t>)</w:t>
      </w:r>
      <w:r w:rsidR="008B142D">
        <w:rPr>
          <w:rStyle w:val="FootnoteReference"/>
        </w:rPr>
        <w:footnoteReference w:id="284"/>
      </w:r>
      <w:r w:rsidRPr="00B740B4">
        <w:t xml:space="preserve"> indicate</w:t>
      </w:r>
      <w:r w:rsidR="003F2038" w:rsidRPr="00B740B4">
        <w:t xml:space="preserve"> that Jehoiaq</w:t>
      </w:r>
      <w:r w:rsidR="00B27480" w:rsidRPr="00B740B4">
        <w:t>im’s reign saw several aggressive visits</w:t>
      </w:r>
      <w:r w:rsidR="00382316" w:rsidRPr="00B740B4">
        <w:t xml:space="preserve"> to Syria/Palestine by Nebuchadnezzar</w:t>
      </w:r>
      <w:r w:rsidR="00B27480" w:rsidRPr="00B740B4">
        <w:t>.</w:t>
      </w:r>
      <w:r w:rsidR="006252D9" w:rsidRPr="00B740B4">
        <w:rPr>
          <w:rStyle w:val="FootnoteReference"/>
        </w:rPr>
        <w:footnoteReference w:id="285"/>
      </w:r>
      <w:r w:rsidR="00B27480" w:rsidRPr="00B740B4">
        <w:t xml:space="preserve"> Neither biblical nor extrabibli</w:t>
      </w:r>
      <w:r w:rsidR="003F2038" w:rsidRPr="00B740B4">
        <w:t>cal sources require that Jehoiaq</w:t>
      </w:r>
      <w:r w:rsidR="00B27480" w:rsidRPr="00B740B4">
        <w:t xml:space="preserve">im </w:t>
      </w:r>
      <w:r w:rsidR="003F2038" w:rsidRPr="00B740B4">
        <w:t>was himself</w:t>
      </w:r>
      <w:r w:rsidR="00382316" w:rsidRPr="00B740B4">
        <w:t xml:space="preserve"> taken to Babylon, and e</w:t>
      </w:r>
      <w:r w:rsidR="00B27480" w:rsidRPr="00B740B4">
        <w:t>xtrabibli</w:t>
      </w:r>
      <w:r w:rsidR="008B142D">
        <w:t xml:space="preserve">cal sources do not </w:t>
      </w:r>
      <w:r w:rsidR="00B27480" w:rsidRPr="00B740B4">
        <w:t>refer to a siege of Jerusalem</w:t>
      </w:r>
      <w:r w:rsidR="00382316" w:rsidRPr="00B740B4">
        <w:t xml:space="preserve"> in his time</w:t>
      </w:r>
      <w:r w:rsidR="00B27480" w:rsidRPr="00B740B4">
        <w:t>. Nebuchadnezzar is perhaps cal</w:t>
      </w:r>
      <w:r w:rsidR="008B142D">
        <w:t xml:space="preserve">led king proleptically in v </w:t>
      </w:r>
      <w:r w:rsidR="00B27480" w:rsidRPr="00B740B4">
        <w:t>1, as in Jer 46:2.</w:t>
      </w:r>
      <w:r w:rsidR="00382316" w:rsidRPr="00B740B4">
        <w:t xml:space="preserve"> The invasion is presumably the one</w:t>
      </w:r>
      <w:r w:rsidR="00B27480" w:rsidRPr="00B740B4">
        <w:t xml:space="preserve"> referred to in Jer 25, Jeremiah’s </w:t>
      </w:r>
      <w:r w:rsidR="00934A11" w:rsidRPr="00B740B4">
        <w:t>“</w:t>
      </w:r>
      <w:r w:rsidR="00B27480" w:rsidRPr="00B740B4">
        <w:t>seventy years</w:t>
      </w:r>
      <w:r w:rsidR="00934A11" w:rsidRPr="00B740B4">
        <w:t>”</w:t>
      </w:r>
      <w:r w:rsidR="00B27480" w:rsidRPr="00B740B4">
        <w:t xml:space="preserve"> prophecy</w:t>
      </w:r>
      <w:r w:rsidR="004B65EA" w:rsidRPr="00B740B4">
        <w:t xml:space="preserve"> which will be take up in Dan 9</w:t>
      </w:r>
      <w:r w:rsidR="00B27480" w:rsidRPr="00B740B4">
        <w:t xml:space="preserve">, though the date </w:t>
      </w:r>
      <w:r w:rsidR="00382316" w:rsidRPr="00B740B4">
        <w:t xml:space="preserve">given </w:t>
      </w:r>
      <w:r w:rsidR="004B65EA" w:rsidRPr="00B740B4">
        <w:t>there is Jehoiaq</w:t>
      </w:r>
      <w:r w:rsidR="00B27480" w:rsidRPr="00B740B4">
        <w:t>im’s fourth year. The one-year difference arises with other OT dates through the use of different methods of reckoning</w:t>
      </w:r>
      <w:r w:rsidR="00382316" w:rsidRPr="00B740B4">
        <w:t>,</w:t>
      </w:r>
      <w:r w:rsidR="006252D9" w:rsidRPr="00B740B4">
        <w:rPr>
          <w:rStyle w:val="FootnoteReference"/>
        </w:rPr>
        <w:footnoteReference w:id="286"/>
      </w:r>
      <w:r w:rsidR="00382316" w:rsidRPr="00B740B4">
        <w:t xml:space="preserve"> whereby t</w:t>
      </w:r>
      <w:r w:rsidR="00B27480" w:rsidRPr="00B740B4">
        <w:t>he years of a king’s reign can be counted from the new year before his accession, from the accession itse</w:t>
      </w:r>
      <w:r w:rsidR="008B142D">
        <w:t>lf, or from the next new year; t</w:t>
      </w:r>
      <w:r w:rsidR="00B27480" w:rsidRPr="00B740B4">
        <w:t xml:space="preserve">he fall of Jerusalem can </w:t>
      </w:r>
      <w:r w:rsidR="00382316" w:rsidRPr="00B740B4">
        <w:t xml:space="preserve">thus </w:t>
      </w:r>
      <w:r w:rsidR="00B27480" w:rsidRPr="00B740B4">
        <w:t>be dated in Nebuchadnezzar’s eighteenth year (3:1 OG; 4:</w:t>
      </w:r>
      <w:r w:rsidR="002B6994" w:rsidRPr="00B740B4">
        <w:t>4 [</w:t>
      </w:r>
      <w:r w:rsidR="00B27480" w:rsidRPr="00B740B4">
        <w:t>1</w:t>
      </w:r>
      <w:r w:rsidR="002B6994" w:rsidRPr="00B740B4">
        <w:t>]</w:t>
      </w:r>
      <w:r w:rsidR="00B27480" w:rsidRPr="00B740B4">
        <w:t xml:space="preserve"> OG; Jer 52:29) or in his nineteenth (2 Kgs 25:8; Jer 52:12). Here, however, the difference may mean that the date is not i</w:t>
      </w:r>
      <w:r w:rsidR="008B142D">
        <w:t xml:space="preserve">ntended as a precise one (and vv </w:t>
      </w:r>
      <w:r w:rsidR="00B27480" w:rsidRPr="00B740B4">
        <w:t>1–2 may be conflating accounts of the subjugations of Je</w:t>
      </w:r>
      <w:r w:rsidR="00382316" w:rsidRPr="00B740B4">
        <w:t>rusalem and the exiles of Judahite</w:t>
      </w:r>
      <w:r w:rsidR="00B27480" w:rsidRPr="00B740B4">
        <w:t>s). Danielic dates cluster in the firs</w:t>
      </w:r>
      <w:r w:rsidR="008858F3" w:rsidRPr="00B740B4">
        <w:t>t three years of a king’s reign</w:t>
      </w:r>
      <w:r w:rsidR="00B27480" w:rsidRPr="00B740B4">
        <w:t>,</w:t>
      </w:r>
      <w:r w:rsidR="006252D9" w:rsidRPr="00B740B4">
        <w:rPr>
          <w:rStyle w:val="FootnoteReference"/>
        </w:rPr>
        <w:footnoteReference w:id="287"/>
      </w:r>
      <w:r w:rsidR="00B27480" w:rsidRPr="00B740B4">
        <w:t xml:space="preserve"> and perhaps affirm God’s Lordship at ke</w:t>
      </w:r>
      <w:r w:rsidR="008858F3" w:rsidRPr="00B740B4">
        <w:t xml:space="preserve">y transition points in history, with </w:t>
      </w:r>
      <w:r w:rsidR="00934A11" w:rsidRPr="00B740B4">
        <w:t>“</w:t>
      </w:r>
      <w:r w:rsidR="008858F3" w:rsidRPr="00B740B4">
        <w:t>first</w:t>
      </w:r>
      <w:r w:rsidR="00934A11" w:rsidRPr="00B740B4">
        <w:t>”</w:t>
      </w:r>
      <w:r w:rsidR="008858F3" w:rsidRPr="00B740B4">
        <w:t xml:space="preserve"> or </w:t>
      </w:r>
      <w:r w:rsidR="00934A11" w:rsidRPr="00B740B4">
        <w:t>“</w:t>
      </w:r>
      <w:r w:rsidR="008858F3" w:rsidRPr="00B740B4">
        <w:t>third</w:t>
      </w:r>
      <w:r w:rsidR="00934A11" w:rsidRPr="00B740B4">
        <w:t>”</w:t>
      </w:r>
      <w:r w:rsidR="008858F3" w:rsidRPr="00B740B4">
        <w:t xml:space="preserve"> </w:t>
      </w:r>
      <w:r w:rsidR="00B27480" w:rsidRPr="00B740B4">
        <w:t>be</w:t>
      </w:r>
      <w:r w:rsidR="008858F3" w:rsidRPr="00B740B4">
        <w:t>ing simply</w:t>
      </w:r>
      <w:r w:rsidR="00B27480" w:rsidRPr="00B740B4">
        <w:t xml:space="preserve"> concrete ways of saying </w:t>
      </w:r>
      <w:r w:rsidR="00934A11" w:rsidRPr="00B740B4">
        <w:t>“</w:t>
      </w:r>
      <w:r w:rsidR="00B27480" w:rsidRPr="00B740B4">
        <w:t>at the beginning</w:t>
      </w:r>
      <w:r w:rsidR="00934A11" w:rsidRPr="00B740B4">
        <w:t>”</w:t>
      </w:r>
      <w:r w:rsidR="00B27480" w:rsidRPr="00B740B4">
        <w:t xml:space="preserve"> or</w:t>
      </w:r>
      <w:r w:rsidR="0021234F" w:rsidRPr="00B740B4">
        <w:t xml:space="preserve"> </w:t>
      </w:r>
      <w:r w:rsidR="00934A11" w:rsidRPr="00B740B4">
        <w:t>“</w:t>
      </w:r>
      <w:r w:rsidR="0021234F" w:rsidRPr="00B740B4">
        <w:t>not long after the beginning</w:t>
      </w:r>
      <w:r w:rsidR="00B27480" w:rsidRPr="00B740B4">
        <w:t>.</w:t>
      </w:r>
      <w:r w:rsidR="00934A11" w:rsidRPr="00B740B4">
        <w:t>”</w:t>
      </w:r>
      <w:r w:rsidR="0021234F" w:rsidRPr="00B740B4">
        <w:rPr>
          <w:rStyle w:val="FootnoteReference"/>
        </w:rPr>
        <w:footnoteReference w:id="288"/>
      </w:r>
      <w:r w:rsidR="008858F3" w:rsidRPr="00B740B4">
        <w:t xml:space="preserve"> A</w:t>
      </w:r>
      <w:r w:rsidR="00B27480" w:rsidRPr="00B740B4">
        <w:t xml:space="preserve"> date </w:t>
      </w:r>
      <w:r w:rsidR="008B142D">
        <w:t>can</w:t>
      </w:r>
      <w:r w:rsidR="008858F3" w:rsidRPr="00B740B4">
        <w:t xml:space="preserve"> make</w:t>
      </w:r>
      <w:r w:rsidR="00B27480" w:rsidRPr="00B740B4">
        <w:t xml:space="preserve"> a more</w:t>
      </w:r>
      <w:r w:rsidR="008858F3" w:rsidRPr="00B740B4">
        <w:t xml:space="preserve"> than merely historical point.</w:t>
      </w:r>
      <w:r w:rsidR="001D7800" w:rsidRPr="00B740B4">
        <w:rPr>
          <w:rStyle w:val="FootnoteReference"/>
        </w:rPr>
        <w:footnoteReference w:id="289"/>
      </w:r>
      <w:r w:rsidR="008858F3" w:rsidRPr="00B740B4">
        <w:t xml:space="preserve"> One one hand, t</w:t>
      </w:r>
      <w:r w:rsidR="00B27480" w:rsidRPr="00B740B4">
        <w:t xml:space="preserve">he OG dates just mentioned </w:t>
      </w:r>
      <w:r w:rsidR="008B142D">
        <w:t xml:space="preserve">will </w:t>
      </w:r>
      <w:r w:rsidR="00B27480" w:rsidRPr="00B740B4">
        <w:t xml:space="preserve">invite the reader to recall </w:t>
      </w:r>
      <w:r w:rsidR="008858F3" w:rsidRPr="00B740B4">
        <w:t>that the image-maker of chap.</w:t>
      </w:r>
      <w:r w:rsidR="00B27480" w:rsidRPr="00B740B4">
        <w:t xml:space="preserve"> 3, subjec</w:t>
      </w:r>
      <w:r w:rsidR="008858F3" w:rsidRPr="00B740B4">
        <w:t>ted to God’s judgment in chap.</w:t>
      </w:r>
      <w:r w:rsidR="00B27480" w:rsidRPr="00B740B4">
        <w:t xml:space="preserve">  4, is the man who </w:t>
      </w:r>
      <w:r w:rsidR="00B27480" w:rsidRPr="00B740B4">
        <w:lastRenderedPageBreak/>
        <w:t>destroyed</w:t>
      </w:r>
      <w:r w:rsidR="008858F3" w:rsidRPr="00B740B4">
        <w:t xml:space="preserve"> and pillaged the temple in 587,</w:t>
      </w:r>
      <w:r w:rsidR="0021234F" w:rsidRPr="00B740B4">
        <w:rPr>
          <w:rStyle w:val="FootnoteReference"/>
        </w:rPr>
        <w:footnoteReference w:id="290"/>
      </w:r>
      <w:r w:rsidR="008B142D">
        <w:t xml:space="preserve"> while</w:t>
      </w:r>
      <w:r w:rsidR="008858F3" w:rsidRPr="00B740B4">
        <w:t xml:space="preserve"> on the other,</w:t>
      </w:r>
      <w:r w:rsidR="00B27480" w:rsidRPr="00B740B4">
        <w:t xml:space="preserve"> MT</w:t>
      </w:r>
      <w:r w:rsidR="008858F3" w:rsidRPr="00B740B4">
        <w:t>’s</w:t>
      </w:r>
      <w:r w:rsidR="00B27480" w:rsidRPr="00B740B4">
        <w:t xml:space="preserve"> chronological note opens the book with the beginn</w:t>
      </w:r>
      <w:r w:rsidR="008858F3" w:rsidRPr="00B740B4">
        <w:t>ing of Jeremiah’s seventy years.</w:t>
      </w:r>
      <w:r w:rsidR="0021234F" w:rsidRPr="00B740B4">
        <w:rPr>
          <w:rStyle w:val="FootnoteReference"/>
        </w:rPr>
        <w:footnoteReference w:id="291"/>
      </w:r>
      <w:r w:rsidR="008858F3" w:rsidRPr="00B740B4">
        <w:t xml:space="preserve"> Their</w:t>
      </w:r>
      <w:r w:rsidR="00B27480" w:rsidRPr="00B740B4">
        <w:t xml:space="preserve"> literal end comes at the chapter’s close (v 21;</w:t>
      </w:r>
      <w:r w:rsidR="008858F3" w:rsidRPr="00B740B4">
        <w:t xml:space="preserve"> cf. 2 Chr 36:20–23), but </w:t>
      </w:r>
      <w:r w:rsidR="00B27480" w:rsidRPr="00B740B4">
        <w:t xml:space="preserve">in another sense </w:t>
      </w:r>
      <w:r w:rsidR="008858F3" w:rsidRPr="00B740B4">
        <w:t>they continue</w:t>
      </w:r>
      <w:r w:rsidR="00B27480" w:rsidRPr="00B740B4">
        <w:t xml:space="preserve"> through the period the book as a whol</w:t>
      </w:r>
      <w:r w:rsidR="008858F3" w:rsidRPr="00B740B4">
        <w:t>e is concerned with (cf. chap.  9). MT’s note</w:t>
      </w:r>
      <w:r w:rsidR="00B27480" w:rsidRPr="00B740B4">
        <w:t xml:space="preserve"> also sets the four young men among the first of the exiles, the elite, the</w:t>
      </w:r>
      <w:r w:rsidR="008858F3" w:rsidRPr="00B740B4">
        <w:t xml:space="preserve"> good figs of Jer 24.</w:t>
      </w:r>
      <w:r w:rsidR="008858F3" w:rsidRPr="00B740B4">
        <w:rPr>
          <w:rStyle w:val="FootnoteReference"/>
        </w:rPr>
        <w:footnoteReference w:id="292"/>
      </w:r>
    </w:p>
    <w:p w:rsidR="00EB7844" w:rsidRPr="006421DF" w:rsidRDefault="00B27480" w:rsidP="006421DF">
      <w:r w:rsidRPr="00B740B4">
        <w:t xml:space="preserve">For the temple </w:t>
      </w:r>
      <w:r w:rsidR="00934A11" w:rsidRPr="00B740B4">
        <w:t>“</w:t>
      </w:r>
      <w:r w:rsidRPr="00B740B4">
        <w:t>ar</w:t>
      </w:r>
      <w:r w:rsidR="00CB5131" w:rsidRPr="00B740B4">
        <w:t>ticles</w:t>
      </w:r>
      <w:r w:rsidR="00934A11" w:rsidRPr="00B740B4">
        <w:t>”</w:t>
      </w:r>
      <w:r w:rsidR="007A1DFC" w:rsidRPr="00B740B4">
        <w:t xml:space="preserve"> </w:t>
      </w:r>
      <w:r w:rsidR="00CB5131" w:rsidRPr="00B740B4">
        <w:t>(</w:t>
      </w:r>
      <w:r w:rsidR="00AF422C">
        <w:t>v</w:t>
      </w:r>
      <w:r w:rsidR="00CB5131" w:rsidRPr="00B740B4">
        <w:t xml:space="preserve"> 2), </w:t>
      </w:r>
      <w:r w:rsidR="007A1DFC" w:rsidRPr="00B740B4">
        <w:t>see 2 Chr 36:7, 10, 18, and</w:t>
      </w:r>
      <w:r w:rsidRPr="00B740B4">
        <w:t xml:space="preserve"> lists related to 587 in Jer 52:17–23 and to 537 in Ezra 1:9–11. </w:t>
      </w:r>
      <w:r w:rsidR="002736C0">
        <w:t>The reference to them</w:t>
      </w:r>
      <w:r w:rsidR="006421DF">
        <w:t>, coming at the beginning of the book,</w:t>
      </w:r>
      <w:r w:rsidR="002736C0">
        <w:t xml:space="preserve"> is the first indicator of a concern with the temple and its worship that runs through both stories and visions in Daniel</w:t>
      </w:r>
      <w:r w:rsidR="002736C0" w:rsidRPr="006421DF">
        <w:t xml:space="preserve">. </w:t>
      </w:r>
      <w:r w:rsidR="006421DF">
        <w:rPr>
          <w:rFonts w:eastAsiaTheme="minorHAnsi" w:cs="AJensonPro-Lt"/>
        </w:rPr>
        <w:t xml:space="preserve">This is going to be “a book about the conflict </w:t>
      </w:r>
      <w:r w:rsidR="006421DF" w:rsidRPr="006421DF">
        <w:rPr>
          <w:rFonts w:eastAsiaTheme="minorHAnsi" w:cs="AJensonPro-Lt"/>
        </w:rPr>
        <w:t>between true worship of the true God, represe</w:t>
      </w:r>
      <w:r w:rsidR="006421DF">
        <w:rPr>
          <w:rFonts w:eastAsiaTheme="minorHAnsi" w:cs="AJensonPro-Lt"/>
        </w:rPr>
        <w:t xml:space="preserve">nted by the Temple vessels, and </w:t>
      </w:r>
      <w:r w:rsidR="006421DF" w:rsidRPr="006421DF">
        <w:rPr>
          <w:rFonts w:eastAsiaTheme="minorHAnsi" w:cs="AJensonPro-Lt"/>
        </w:rPr>
        <w:t>false worship of a false god, represented by Nebuchadnezzar’s temple and god</w:t>
      </w:r>
      <w:r w:rsidR="006421DF">
        <w:rPr>
          <w:rFonts w:eastAsiaTheme="minorHAnsi" w:cs="AJensonPro-Lt"/>
        </w:rPr>
        <w:t>.”</w:t>
      </w:r>
      <w:r w:rsidR="006421DF" w:rsidRPr="006421DF">
        <w:rPr>
          <w:rFonts w:eastAsiaTheme="minorHAnsi" w:cs="AJensonPro-Lt"/>
          <w:vertAlign w:val="superscript"/>
        </w:rPr>
        <w:footnoteReference w:id="293"/>
      </w:r>
      <w:r w:rsidR="008B142D">
        <w:rPr>
          <w:rFonts w:eastAsiaTheme="minorHAnsi" w:cs="AJensonPro-Lt"/>
        </w:rPr>
        <w:t xml:space="preserve"> </w:t>
      </w:r>
      <w:r w:rsidRPr="006421DF">
        <w:t xml:space="preserve">Many </w:t>
      </w:r>
      <w:r w:rsidR="004B65EA" w:rsidRPr="006421DF">
        <w:t>of the articles</w:t>
      </w:r>
      <w:r w:rsidR="004B65EA" w:rsidRPr="00B740B4">
        <w:t xml:space="preserve"> </w:t>
      </w:r>
      <w:r w:rsidRPr="00B740B4">
        <w:t xml:space="preserve">were made of precious metals (cf. Dan 5:2–3) and would be worthwhile plunder; </w:t>
      </w:r>
      <w:r w:rsidR="007A1DFC" w:rsidRPr="00B740B4">
        <w:t xml:space="preserve">thus </w:t>
      </w:r>
      <w:r w:rsidRPr="00B740B4">
        <w:t xml:space="preserve">the </w:t>
      </w:r>
      <w:r w:rsidR="007A1DFC" w:rsidRPr="00B740B4">
        <w:t>Babylonian Chronicle refer</w:t>
      </w:r>
      <w:r w:rsidRPr="00B740B4">
        <w:t>s to tribu</w:t>
      </w:r>
      <w:r w:rsidR="007A1DFC" w:rsidRPr="00B740B4">
        <w:t>te</w:t>
      </w:r>
      <w:r w:rsidRPr="00B740B4">
        <w:t xml:space="preserve">. They are also of religious significance, being the Jerusalem temple’s nearest thing </w:t>
      </w:r>
      <w:r w:rsidR="007A1DFC" w:rsidRPr="00B740B4">
        <w:t>to images. Removing them is therefore</w:t>
      </w:r>
      <w:r w:rsidRPr="00B740B4">
        <w:t xml:space="preserve"> a sign of the victory of Nebuchadnezzar and his god over the Israelite king and his god. Wars were fought i</w:t>
      </w:r>
      <w:r w:rsidR="007A1DFC" w:rsidRPr="00B740B4">
        <w:t xml:space="preserve">n a god’s name and plunder consequently </w:t>
      </w:r>
      <w:r w:rsidRPr="00B740B4">
        <w:t>belonged to him. T</w:t>
      </w:r>
      <w:r w:rsidR="004B65EA" w:rsidRPr="00B740B4">
        <w:t>he temple articles are his spoil</w:t>
      </w:r>
      <w:r w:rsidRPr="00B740B4">
        <w:t>. They are taboo and are put i</w:t>
      </w:r>
      <w:r w:rsidR="007A1DFC" w:rsidRPr="00B740B4">
        <w:t xml:space="preserve">nto the </w:t>
      </w:r>
      <w:r w:rsidR="00934A11" w:rsidRPr="00B740B4">
        <w:t>“</w:t>
      </w:r>
      <w:r w:rsidR="007A1DFC" w:rsidRPr="00B740B4">
        <w:t>treasury</w:t>
      </w:r>
      <w:r w:rsidR="00934A11" w:rsidRPr="00B740B4">
        <w:t>”</w:t>
      </w:r>
      <w:r w:rsidR="007A1DFC" w:rsidRPr="00B740B4">
        <w:t xml:space="preserve"> that belongs</w:t>
      </w:r>
      <w:r w:rsidRPr="00B740B4">
        <w:t xml:space="preserve"> t</w:t>
      </w:r>
      <w:r w:rsidR="007A1DFC" w:rsidRPr="00B740B4">
        <w:t>o a temple for this purpose: see</w:t>
      </w:r>
      <w:r w:rsidRPr="00B740B4">
        <w:t xml:space="preserve"> 2 Chr 5:1, referring back to 1 Chr 18:11 (also Josh 6:19, 24), and more specifically 2 Chr 36:18; Isa 39:2, 4; 45:3; though according to 2 Chr 36:7, Nebuchadnezzar took the articles to his </w:t>
      </w:r>
      <w:r w:rsidRPr="00B740B4">
        <w:rPr>
          <w:rFonts w:ascii="Arial" w:hAnsi="Arial" w:cs="Arial"/>
        </w:rPr>
        <w:t>היכל</w:t>
      </w:r>
      <w:r w:rsidRPr="00B740B4">
        <w:t xml:space="preserve"> (</w:t>
      </w:r>
      <w:r w:rsidR="00934A11" w:rsidRPr="00B740B4">
        <w:t>“</w:t>
      </w:r>
      <w:r w:rsidRPr="00B740B4">
        <w:t>palace</w:t>
      </w:r>
      <w:r w:rsidR="00934A11" w:rsidRPr="00B740B4">
        <w:t>”</w:t>
      </w:r>
      <w:r w:rsidRPr="00B740B4">
        <w:t>?).</w:t>
      </w:r>
      <w:r w:rsidR="004B65EA" w:rsidRPr="00B740B4">
        <w:t xml:space="preserve"> </w:t>
      </w:r>
      <w:r w:rsidR="00EB7844" w:rsidRPr="00B740B4">
        <w:t>Temples were fortresses, treasuries, and museums as well as sanctuaries.</w:t>
      </w:r>
      <w:r w:rsidR="00EB7844" w:rsidRPr="00B740B4">
        <w:rPr>
          <w:rStyle w:val="FootnoteReference"/>
        </w:rPr>
        <w:footnoteReference w:id="294"/>
      </w:r>
    </w:p>
    <w:p w:rsidR="0049445D" w:rsidRPr="00B740B4" w:rsidRDefault="00B27480" w:rsidP="0049445D">
      <w:r w:rsidRPr="00B740B4">
        <w:rPr>
          <w:i/>
        </w:rPr>
        <w:t>Shinar</w:t>
      </w:r>
      <w:r w:rsidRPr="00B740B4">
        <w:t xml:space="preserve"> as a term for Babylonia, the southeastern part of modern Iraq, is an archaism in the OT (e.g., Gen 10:10; 11:2; 14:1, 9; then only Josh 7:21; Isa 11:11; Zech 5:11) and outside it (corresponding to Šanhara in se</w:t>
      </w:r>
      <w:r w:rsidR="006252D9" w:rsidRPr="00B740B4">
        <w:t>cond-millennium cuneiform texts.</w:t>
      </w:r>
      <w:r w:rsidR="006252D9" w:rsidRPr="00B740B4">
        <w:rPr>
          <w:rStyle w:val="FootnoteReference"/>
        </w:rPr>
        <w:footnoteReference w:id="295"/>
      </w:r>
      <w:r w:rsidRPr="00B740B4">
        <w:t xml:space="preserve"> In the OT, the name especially suggests a place of false religion, self-will, and self-aggrandizement (Gen 11:1–9; Zech 5:11). </w:t>
      </w:r>
      <w:r w:rsidR="00934A11" w:rsidRPr="00B740B4">
        <w:t>“</w:t>
      </w:r>
      <w:r w:rsidRPr="00B740B4">
        <w:t>His god</w:t>
      </w:r>
      <w:r w:rsidR="00934A11" w:rsidRPr="00B740B4">
        <w:t>”</w:t>
      </w:r>
      <w:r w:rsidR="002B6994" w:rsidRPr="00B740B4">
        <w:t xml:space="preserve"> is probably Marduk/Bel (cf. 4:8 [5</w:t>
      </w:r>
      <w:r w:rsidR="005E7F8E">
        <w:t>]; Bel and the Snake</w:t>
      </w:r>
      <w:r w:rsidRPr="00B740B4">
        <w:t xml:space="preserve">; Jer 50:2; 51:44), less </w:t>
      </w:r>
      <w:r w:rsidR="007A1DFC" w:rsidRPr="00B740B4">
        <w:t xml:space="preserve">likely Nabu (cf. </w:t>
      </w:r>
      <w:r w:rsidR="00934A11" w:rsidRPr="00B740B4">
        <w:t>“</w:t>
      </w:r>
      <w:r w:rsidR="004B65EA" w:rsidRPr="00B740B4">
        <w:t>Nebuchadnezzar</w:t>
      </w:r>
      <w:r w:rsidR="00934A11" w:rsidRPr="00B740B4">
        <w:t>”</w:t>
      </w:r>
      <w:r w:rsidRPr="00B740B4">
        <w:t xml:space="preserve">). Both </w:t>
      </w:r>
      <w:r w:rsidR="007A1DFC" w:rsidRPr="00B740B4">
        <w:t xml:space="preserve">gods </w:t>
      </w:r>
      <w:r w:rsidRPr="00B740B4">
        <w:t>appear in Isa 46:1, but Nebuchadnezzar’s inscriptions refer most to Marduk, Nabu being his father’s god.</w:t>
      </w:r>
    </w:p>
    <w:p w:rsidR="00B27480" w:rsidRDefault="00B27480" w:rsidP="00B27480">
      <w:r w:rsidRPr="00B740B4">
        <w:rPr>
          <w:b/>
        </w:rPr>
        <w:t>3–5</w:t>
      </w:r>
      <w:r w:rsidRPr="00B740B4">
        <w:t xml:space="preserve"> Taking young </w:t>
      </w:r>
      <w:r w:rsidR="009A0A83" w:rsidRPr="00B740B4">
        <w:t>members of the leadership class</w:t>
      </w:r>
      <w:r w:rsidRPr="00B740B4">
        <w:t xml:space="preserve"> to Babylon might have various objects: to bring home Judah’s vassal status </w:t>
      </w:r>
      <w:r w:rsidR="00AE2A2A" w:rsidRPr="00B740B4">
        <w:t>in re</w:t>
      </w:r>
      <w:r w:rsidRPr="00B740B4">
        <w:t>l</w:t>
      </w:r>
      <w:r w:rsidR="00AE2A2A" w:rsidRPr="00B740B4">
        <w:t>a</w:t>
      </w:r>
      <w:r w:rsidRPr="00B740B4">
        <w:t>tion to Babylon (not t</w:t>
      </w:r>
      <w:r w:rsidR="004B65EA" w:rsidRPr="00B740B4">
        <w:t>o Egypt, whom Judah had courted</w:t>
      </w:r>
      <w:r w:rsidR="007A1DFC" w:rsidRPr="00B740B4">
        <w:t>), to discourage it</w:t>
      </w:r>
      <w:r w:rsidRPr="00B740B4">
        <w:t xml:space="preserve"> from</w:t>
      </w:r>
      <w:r w:rsidR="007A1DFC" w:rsidRPr="00B740B4">
        <w:t xml:space="preserve"> rebelling, to Babylon-ize its</w:t>
      </w:r>
      <w:r w:rsidRPr="00B740B4">
        <w:t xml:space="preserve"> future leadership, to add to the manpower of temple and palace. Educating them in Babylonian learning and giving them a place in the court presumably has the latter aims in mind;</w:t>
      </w:r>
      <w:r w:rsidR="0044596B" w:rsidRPr="00B740B4">
        <w:rPr>
          <w:rStyle w:val="FootnoteReference"/>
        </w:rPr>
        <w:footnoteReference w:id="296"/>
      </w:r>
      <w:r w:rsidRPr="00B740B4">
        <w:t xml:space="preserve"> the effe</w:t>
      </w:r>
      <w:r w:rsidR="00B70614">
        <w:t xml:space="preserve">ctive contribution they will </w:t>
      </w:r>
      <w:r w:rsidRPr="00B740B4">
        <w:t xml:space="preserve">offer in the court, however, </w:t>
      </w:r>
      <w:r w:rsidR="000679CC" w:rsidRPr="00B740B4">
        <w:t>turn</w:t>
      </w:r>
      <w:r w:rsidR="00B70614">
        <w:t>s</w:t>
      </w:r>
      <w:r w:rsidR="000679CC" w:rsidRPr="00B740B4">
        <w:t xml:space="preserve"> out to go</w:t>
      </w:r>
      <w:r w:rsidRPr="00B740B4">
        <w:t xml:space="preserve"> beyond what Nebuchadnezzar would be expecting.</w:t>
      </w:r>
    </w:p>
    <w:p w:rsidR="00CB671D" w:rsidRPr="00B740B4" w:rsidRDefault="00CB671D" w:rsidP="00B27480">
      <w:r>
        <w:t>While the OT sugges</w:t>
      </w:r>
      <w:r w:rsidR="00B70614">
        <w:t xml:space="preserve">ts that the Judahites taken </w:t>
      </w:r>
      <w:r>
        <w:t xml:space="preserve">to Babylonia were the significant people such as members of the administration, priests, and prophets, </w:t>
      </w:r>
      <w:r w:rsidR="00B70614">
        <w:t xml:space="preserve">nevertheless </w:t>
      </w:r>
      <w:r>
        <w:t>Judahites in Babylonia were not well off.</w:t>
      </w:r>
      <w:r w:rsidR="000C5AC6">
        <w:rPr>
          <w:rStyle w:val="FootnoteReference"/>
        </w:rPr>
        <w:footnoteReference w:id="297"/>
      </w:r>
      <w:r>
        <w:t xml:space="preserve"> They were a little like graduates from Asian countries coming to the United States and finding that </w:t>
      </w:r>
      <w:r>
        <w:lastRenderedPageBreak/>
        <w:t>their qualifi</w:t>
      </w:r>
      <w:r w:rsidR="00B70614">
        <w:t>cations were not recognized</w:t>
      </w:r>
      <w:r>
        <w:t xml:space="preserve">. </w:t>
      </w:r>
      <w:r w:rsidR="000C5AC6">
        <w:t>For most people, then, the stori</w:t>
      </w:r>
      <w:r w:rsidR="00B70614">
        <w:t>es might express</w:t>
      </w:r>
      <w:r w:rsidR="000C5AC6">
        <w:t xml:space="preserve"> how they wish things could be.</w:t>
      </w:r>
    </w:p>
    <w:p w:rsidR="00CB5131" w:rsidRPr="00B740B4" w:rsidRDefault="00B27480" w:rsidP="00B27480">
      <w:r w:rsidRPr="00B740B4">
        <w:t>The young men are to be Israelites</w:t>
      </w:r>
      <w:r w:rsidRPr="00B740B4">
        <w:rPr>
          <w:i/>
        </w:rPr>
        <w:t>:</w:t>
      </w:r>
      <w:r w:rsidRPr="00B740B4">
        <w:t xml:space="preserve"> </w:t>
      </w:r>
      <w:r w:rsidR="00E426DF" w:rsidRPr="00B740B4">
        <w:t xml:space="preserve">the qualification </w:t>
      </w:r>
      <w:r w:rsidR="00934A11" w:rsidRPr="00B740B4">
        <w:t>“</w:t>
      </w:r>
      <w:r w:rsidR="00E426DF" w:rsidRPr="00B740B4">
        <w:t>some of the royal family</w:t>
      </w:r>
      <w:r w:rsidR="00934A11" w:rsidRPr="00B740B4">
        <w:t>”</w:t>
      </w:r>
      <w:r w:rsidR="00E426DF" w:rsidRPr="00B740B4">
        <w:t xml:space="preserve"> requires them to be genealog</w:t>
      </w:r>
      <w:r w:rsidR="00B70614">
        <w:t>ically Judahite (cf. v 6), so</w:t>
      </w:r>
      <w:r w:rsidR="00E426DF" w:rsidRPr="00B740B4">
        <w:t xml:space="preserve"> </w:t>
      </w:r>
      <w:r w:rsidR="00E426DF" w:rsidRPr="00B740B4">
        <w:rPr>
          <w:i/>
        </w:rPr>
        <w:t>Israelite</w:t>
      </w:r>
      <w:r w:rsidRPr="00B740B4">
        <w:t xml:space="preserve"> is </w:t>
      </w:r>
      <w:r w:rsidR="00E426DF" w:rsidRPr="00B740B4">
        <w:t xml:space="preserve">being </w:t>
      </w:r>
      <w:r w:rsidRPr="00B740B4">
        <w:t xml:space="preserve">used in the theological sense, to mean </w:t>
      </w:r>
      <w:r w:rsidR="00934A11" w:rsidRPr="00B740B4">
        <w:t>“</w:t>
      </w:r>
      <w:r w:rsidRPr="00B740B4">
        <w:t>members of Yahweh’s peo</w:t>
      </w:r>
      <w:r w:rsidR="007A1DFC" w:rsidRPr="00B740B4">
        <w:t>ple</w:t>
      </w:r>
      <w:r w:rsidR="00934A11" w:rsidRPr="00B740B4">
        <w:t>”</w:t>
      </w:r>
      <w:r w:rsidR="007A1DFC" w:rsidRPr="00B740B4">
        <w:t xml:space="preserve"> (as in Chr</w:t>
      </w:r>
      <w:r w:rsidR="00B70614">
        <w:t>onicles</w:t>
      </w:r>
      <w:r w:rsidR="007A1DFC" w:rsidRPr="00B740B4">
        <w:t xml:space="preserve">, </w:t>
      </w:r>
      <w:r w:rsidR="00E426DF" w:rsidRPr="00B740B4">
        <w:t xml:space="preserve">Ezra, </w:t>
      </w:r>
      <w:r w:rsidR="00B70614">
        <w:t xml:space="preserve">and </w:t>
      </w:r>
      <w:r w:rsidR="00E426DF" w:rsidRPr="00B740B4">
        <w:t>Neh</w:t>
      </w:r>
      <w:r w:rsidR="00B70614">
        <w:t>emiah</w:t>
      </w:r>
      <w:r w:rsidR="00E426DF" w:rsidRPr="00B740B4">
        <w:t>)</w:t>
      </w:r>
      <w:r w:rsidRPr="00B740B4">
        <w:t xml:space="preserve">. </w:t>
      </w:r>
      <w:r w:rsidR="00B70614">
        <w:t>T</w:t>
      </w:r>
      <w:r w:rsidR="009A0A83" w:rsidRPr="00B740B4">
        <w:t xml:space="preserve">hey are </w:t>
      </w:r>
      <w:r w:rsidR="00934A11" w:rsidRPr="00B740B4">
        <w:t>“</w:t>
      </w:r>
      <w:r w:rsidR="009A0A83" w:rsidRPr="00B740B4">
        <w:t>the flower of Jewish youth.</w:t>
      </w:r>
      <w:r w:rsidR="00934A11" w:rsidRPr="00B740B4">
        <w:t>”</w:t>
      </w:r>
      <w:r w:rsidR="009A0A83" w:rsidRPr="00B740B4">
        <w:rPr>
          <w:rStyle w:val="FootnoteReference"/>
        </w:rPr>
        <w:footnoteReference w:id="298"/>
      </w:r>
      <w:r w:rsidR="009A0A83" w:rsidRPr="00B740B4">
        <w:t xml:space="preserve"> </w:t>
      </w:r>
      <w:r w:rsidRPr="00B740B4">
        <w:t>As thei</w:t>
      </w:r>
      <w:r w:rsidR="00B70614">
        <w:t>r royal background should</w:t>
      </w:r>
      <w:r w:rsidRPr="00B740B4">
        <w:t xml:space="preserve"> imply, they are to be such as will have already received some education to prepare them for political life. </w:t>
      </w:r>
    </w:p>
    <w:p w:rsidR="00B27480" w:rsidRPr="00B740B4" w:rsidRDefault="00B27480" w:rsidP="00B27480">
      <w:r w:rsidRPr="00B740B4">
        <w:t xml:space="preserve">Four substantially synonymous terms are used to describe what this education should have given them (v 4): </w:t>
      </w:r>
      <w:r w:rsidRPr="00B740B4">
        <w:rPr>
          <w:rFonts w:ascii="Arial" w:hAnsi="Arial" w:cs="Arial"/>
        </w:rPr>
        <w:t>השכיל</w:t>
      </w:r>
      <w:r w:rsidRPr="00B740B4">
        <w:t xml:space="preserve"> </w:t>
      </w:r>
      <w:r w:rsidR="00934A11" w:rsidRPr="00B740B4">
        <w:t>“</w:t>
      </w:r>
      <w:r w:rsidRPr="00B740B4">
        <w:t>give attention to,</w:t>
      </w:r>
      <w:r w:rsidR="00934A11" w:rsidRPr="00B740B4">
        <w:t>”</w:t>
      </w:r>
      <w:r w:rsidRPr="00B740B4">
        <w:t xml:space="preserve"> </w:t>
      </w:r>
      <w:r w:rsidR="00934A11" w:rsidRPr="00B740B4">
        <w:t>“</w:t>
      </w:r>
      <w:r w:rsidRPr="00B740B4">
        <w:t>have insight,</w:t>
      </w:r>
      <w:r w:rsidR="00934A11" w:rsidRPr="00B740B4">
        <w:t>”</w:t>
      </w:r>
      <w:r w:rsidRPr="00B740B4">
        <w:t xml:space="preserve"> </w:t>
      </w:r>
      <w:r w:rsidR="00934A11" w:rsidRPr="00B740B4">
        <w:t>“</w:t>
      </w:r>
      <w:r w:rsidRPr="00B740B4">
        <w:t>teach</w:t>
      </w:r>
      <w:r w:rsidR="00934A11" w:rsidRPr="00B740B4">
        <w:t>”</w:t>
      </w:r>
      <w:r w:rsidRPr="00B740B4">
        <w:t xml:space="preserve">; </w:t>
      </w:r>
      <w:r w:rsidRPr="00B740B4">
        <w:rPr>
          <w:rFonts w:ascii="Arial" w:hAnsi="Arial" w:cs="Arial"/>
        </w:rPr>
        <w:t>חכם</w:t>
      </w:r>
      <w:r w:rsidRPr="00B740B4">
        <w:t xml:space="preserve"> </w:t>
      </w:r>
      <w:r w:rsidR="00934A11" w:rsidRPr="00B740B4">
        <w:t>“</w:t>
      </w:r>
      <w:r w:rsidRPr="00B740B4">
        <w:t xml:space="preserve">be </w:t>
      </w:r>
      <w:r w:rsidR="007A1DFC" w:rsidRPr="00B740B4">
        <w:t xml:space="preserve"> smart,</w:t>
      </w:r>
      <w:r w:rsidR="00934A11" w:rsidRPr="00B740B4">
        <w:t>”</w:t>
      </w:r>
      <w:r w:rsidR="007A1DFC" w:rsidRPr="00B740B4">
        <w:t xml:space="preserve"> </w:t>
      </w:r>
      <w:r w:rsidR="00934A11" w:rsidRPr="00B740B4">
        <w:t>“</w:t>
      </w:r>
      <w:r w:rsidR="007A1DFC" w:rsidRPr="00B740B4">
        <w:t xml:space="preserve">be </w:t>
      </w:r>
      <w:r w:rsidR="00B70614">
        <w:t>insightful</w:t>
      </w:r>
      <w:r w:rsidRPr="00B740B4">
        <w:t>,</w:t>
      </w:r>
      <w:r w:rsidR="00934A11" w:rsidRPr="00B740B4">
        <w:t>”</w:t>
      </w:r>
      <w:r w:rsidRPr="00B740B4">
        <w:t xml:space="preserve"> </w:t>
      </w:r>
      <w:r w:rsidR="00934A11" w:rsidRPr="00B740B4">
        <w:t>“</w:t>
      </w:r>
      <w:r w:rsidRPr="00B740B4">
        <w:t>understand</w:t>
      </w:r>
      <w:r w:rsidR="00934A11" w:rsidRPr="00B740B4">
        <w:t>”</w:t>
      </w:r>
      <w:r w:rsidRPr="00B740B4">
        <w:t xml:space="preserve">; </w:t>
      </w:r>
      <w:r w:rsidRPr="00B740B4">
        <w:rPr>
          <w:rFonts w:ascii="Arial" w:hAnsi="Arial" w:cs="Arial"/>
        </w:rPr>
        <w:t>ידע</w:t>
      </w:r>
      <w:r w:rsidRPr="00B740B4">
        <w:t xml:space="preserve"> </w:t>
      </w:r>
      <w:r w:rsidR="00934A11" w:rsidRPr="00B740B4">
        <w:t>“</w:t>
      </w:r>
      <w:r w:rsidRPr="00B740B4">
        <w:t>know,</w:t>
      </w:r>
      <w:r w:rsidR="00934A11" w:rsidRPr="00B740B4">
        <w:t>”</w:t>
      </w:r>
      <w:r w:rsidRPr="00B740B4">
        <w:t xml:space="preserve"> </w:t>
      </w:r>
      <w:r w:rsidR="00934A11" w:rsidRPr="00B740B4">
        <w:t>“</w:t>
      </w:r>
      <w:r w:rsidRPr="00B740B4">
        <w:t>acknowledge,</w:t>
      </w:r>
      <w:r w:rsidR="00934A11" w:rsidRPr="00B740B4">
        <w:t>”</w:t>
      </w:r>
      <w:r w:rsidRPr="00B740B4">
        <w:t xml:space="preserve"> </w:t>
      </w:r>
      <w:r w:rsidR="00934A11" w:rsidRPr="00B740B4">
        <w:t>“</w:t>
      </w:r>
      <w:r w:rsidRPr="00B740B4">
        <w:t>be skilled</w:t>
      </w:r>
      <w:r w:rsidR="00934A11" w:rsidRPr="00B740B4">
        <w:t>”</w:t>
      </w:r>
      <w:r w:rsidRPr="00B740B4">
        <w:t xml:space="preserve">; and </w:t>
      </w:r>
      <w:r w:rsidRPr="00B740B4">
        <w:rPr>
          <w:rFonts w:ascii="Arial" w:hAnsi="Arial" w:cs="Arial"/>
        </w:rPr>
        <w:t>בין</w:t>
      </w:r>
      <w:r w:rsidRPr="00B740B4">
        <w:t xml:space="preserve"> </w:t>
      </w:r>
      <w:r w:rsidR="00934A11" w:rsidRPr="00B740B4">
        <w:t>“</w:t>
      </w:r>
      <w:r w:rsidRPr="00B740B4">
        <w:t>observe,</w:t>
      </w:r>
      <w:r w:rsidR="00934A11" w:rsidRPr="00B740B4">
        <w:t>”</w:t>
      </w:r>
      <w:r w:rsidRPr="00B740B4">
        <w:t xml:space="preserve"> </w:t>
      </w:r>
      <w:r w:rsidR="00934A11" w:rsidRPr="00B740B4">
        <w:t>“</w:t>
      </w:r>
      <w:r w:rsidRPr="00B740B4">
        <w:t>discern,</w:t>
      </w:r>
      <w:r w:rsidR="00934A11" w:rsidRPr="00B740B4">
        <w:t>”</w:t>
      </w:r>
      <w:r w:rsidRPr="00B740B4">
        <w:t xml:space="preserve"> </w:t>
      </w:r>
      <w:r w:rsidR="00934A11" w:rsidRPr="00B740B4">
        <w:t>“</w:t>
      </w:r>
      <w:r w:rsidRPr="00B740B4">
        <w:t>perceive</w:t>
      </w:r>
      <w:r w:rsidR="007A1DFC" w:rsidRPr="00B740B4">
        <w:t>.</w:t>
      </w:r>
      <w:r w:rsidR="00934A11" w:rsidRPr="00B740B4">
        <w:t>”</w:t>
      </w:r>
      <w:r w:rsidR="009A0A83" w:rsidRPr="00B740B4">
        <w:t xml:space="preserve"> I</w:t>
      </w:r>
      <w:r w:rsidRPr="00B740B4">
        <w:t>n Daniel the second of these roots, t</w:t>
      </w:r>
      <w:r w:rsidR="00E426DF" w:rsidRPr="00B740B4">
        <w:t>he OT’s most common term for</w:t>
      </w:r>
      <w:r w:rsidRPr="00B740B4">
        <w:t xml:space="preserve"> </w:t>
      </w:r>
      <w:r w:rsidR="007A1DFC" w:rsidRPr="00B740B4">
        <w:t>smartness</w:t>
      </w:r>
      <w:r w:rsidR="00B70614">
        <w:t xml:space="preserve"> (“</w:t>
      </w:r>
      <w:r w:rsidRPr="00B740B4">
        <w:t>w</w:t>
      </w:r>
      <w:r w:rsidR="0021234F" w:rsidRPr="00B740B4">
        <w:t>isdom</w:t>
      </w:r>
      <w:r w:rsidR="00B70614">
        <w:t>”)</w:t>
      </w:r>
      <w:r w:rsidR="0021234F" w:rsidRPr="00B740B4">
        <w:t>, comes only in chaps. 1–6</w:t>
      </w:r>
      <w:r w:rsidRPr="00B740B4">
        <w:t>.</w:t>
      </w:r>
      <w:r w:rsidR="0021234F" w:rsidRPr="00B740B4">
        <w:rPr>
          <w:rStyle w:val="FootnoteReference"/>
        </w:rPr>
        <w:footnoteReference w:id="299"/>
      </w:r>
      <w:r w:rsidRPr="00B740B4">
        <w:t xml:space="preserve"> T</w:t>
      </w:r>
      <w:r w:rsidR="00195715" w:rsidRPr="00B740B4">
        <w:t>he description recalls</w:t>
      </w:r>
      <w:r w:rsidRPr="00B740B4">
        <w:t xml:space="preserve"> that of Joseph in Gen 41:33, 39. In combination</w:t>
      </w:r>
      <w:r w:rsidR="00195715" w:rsidRPr="00B740B4">
        <w:t>,</w:t>
      </w:r>
      <w:r w:rsidRPr="00B740B4">
        <w:t xml:space="preserve"> the four terms convey an impression of young men well-versed in the practical learning embodied in a book such as Proverbs. While such learning is not overtly directed to the education of palace and court, it would naturally be the special province of the king and others responsible for state affairs, and it is embodied above all in the royal figure of Solomon. In the Mesopotamian court, one may compare the role of Ahiqar as counselor, and his Proverbs-like teaching</w:t>
      </w:r>
      <w:r w:rsidR="00195715" w:rsidRPr="00B740B4">
        <w:t>.</w:t>
      </w:r>
      <w:r w:rsidR="00195715" w:rsidRPr="00B740B4">
        <w:rPr>
          <w:rStyle w:val="FootnoteReference"/>
        </w:rPr>
        <w:footnoteReference w:id="300"/>
      </w:r>
      <w:r w:rsidRPr="00B740B4">
        <w:t xml:space="preserve"> The terms are also later bro</w:t>
      </w:r>
      <w:r w:rsidR="00195715" w:rsidRPr="00B740B4">
        <w:t>ught into connection with super</w:t>
      </w:r>
      <w:r w:rsidRPr="00B740B4">
        <w:t>natu</w:t>
      </w:r>
      <w:r w:rsidR="00B70614">
        <w:t>rally endowed, revelatory discernment</w:t>
      </w:r>
      <w:r w:rsidRPr="00B740B4">
        <w:t>, and in thi</w:t>
      </w:r>
      <w:r w:rsidR="005A72FF" w:rsidRPr="00B740B4">
        <w:t xml:space="preserve">s context education in the </w:t>
      </w:r>
      <w:r w:rsidRPr="00B740B4">
        <w:t xml:space="preserve">learning </w:t>
      </w:r>
      <w:r w:rsidR="005A72FF" w:rsidRPr="00B740B4">
        <w:t xml:space="preserve">of the Kasdites </w:t>
      </w:r>
      <w:r w:rsidRPr="00B740B4">
        <w:t>presumably refers not merely t</w:t>
      </w:r>
      <w:r w:rsidR="005A72FF" w:rsidRPr="00B740B4">
        <w:t xml:space="preserve">o the </w:t>
      </w:r>
      <w:r w:rsidR="009378A8" w:rsidRPr="00B740B4">
        <w:t>language of Babylon</w:t>
      </w:r>
      <w:r w:rsidRPr="00B740B4">
        <w:t>, a dialect of Akkadian (thou</w:t>
      </w:r>
      <w:r w:rsidR="005A72FF" w:rsidRPr="00B740B4">
        <w:t xml:space="preserve">gh they would also need </w:t>
      </w:r>
      <w:r w:rsidRPr="00B740B4">
        <w:t>that</w:t>
      </w:r>
      <w:r w:rsidR="005A72FF" w:rsidRPr="00B740B4">
        <w:t xml:space="preserve"> knowledge</w:t>
      </w:r>
      <w:r w:rsidRPr="00B740B4">
        <w:t>),</w:t>
      </w:r>
      <w:r w:rsidR="00865663" w:rsidRPr="00B740B4">
        <w:rPr>
          <w:rStyle w:val="FootnoteReference"/>
        </w:rPr>
        <w:footnoteReference w:id="301"/>
      </w:r>
      <w:r w:rsidRPr="00B740B4">
        <w:t xml:space="preserve"> but </w:t>
      </w:r>
      <w:r w:rsidR="005A72FF" w:rsidRPr="00B740B4">
        <w:t xml:space="preserve">also </w:t>
      </w:r>
      <w:r w:rsidRPr="00B740B4">
        <w:t>to the script and contents of the cuneiform text</w:t>
      </w:r>
      <w:r w:rsidR="005A72FF" w:rsidRPr="00B740B4">
        <w:t>s preserved among the Kasdite</w:t>
      </w:r>
      <w:r w:rsidR="0085498A" w:rsidRPr="00B740B4">
        <w:t xml:space="preserve"> scholar</w:t>
      </w:r>
      <w:r w:rsidR="00B70614">
        <w:t>s</w:t>
      </w:r>
      <w:r w:rsidRPr="00B740B4">
        <w:t xml:space="preserve"> which formed the basis of their work as court counselors (cf. the recurrence of </w:t>
      </w:r>
      <w:r w:rsidR="006D7923" w:rsidRPr="00B740B4">
        <w:rPr>
          <w:rFonts w:ascii="Arial" w:hAnsi="Arial" w:cs="Arial"/>
        </w:rPr>
        <w:t>ספר</w:t>
      </w:r>
      <w:r w:rsidR="006D7923" w:rsidRPr="00B740B4">
        <w:t xml:space="preserve"> </w:t>
      </w:r>
      <w:r w:rsidR="00934A11" w:rsidRPr="00B740B4">
        <w:t>“</w:t>
      </w:r>
      <w:r w:rsidRPr="00B740B4">
        <w:t>literature</w:t>
      </w:r>
      <w:r w:rsidR="00934A11" w:rsidRPr="00B740B4">
        <w:t>”</w:t>
      </w:r>
      <w:r w:rsidRPr="00B740B4">
        <w:t xml:space="preserve"> in v 17).</w:t>
      </w:r>
      <w:r w:rsidR="00EA7B99" w:rsidRPr="00B740B4">
        <w:rPr>
          <w:rStyle w:val="FootnoteReference"/>
        </w:rPr>
        <w:footnoteReference w:id="302"/>
      </w:r>
    </w:p>
    <w:p w:rsidR="00B27480" w:rsidRPr="00B740B4" w:rsidRDefault="005A72FF" w:rsidP="00B27480">
      <w:r w:rsidRPr="00B740B4">
        <w:t>The Kasdites</w:t>
      </w:r>
      <w:r w:rsidR="00B27480" w:rsidRPr="00B740B4">
        <w:t xml:space="preserve"> </w:t>
      </w:r>
      <w:r w:rsidRPr="00B740B4">
        <w:t xml:space="preserve">or Kaldites </w:t>
      </w:r>
      <w:r w:rsidR="00986C78" w:rsidRPr="00B740B4">
        <w:t>(the switch from</w:t>
      </w:r>
      <w:r w:rsidR="00986C78" w:rsidRPr="00B740B4">
        <w:rPr>
          <w:i/>
        </w:rPr>
        <w:t xml:space="preserve"> ś </w:t>
      </w:r>
      <w:r w:rsidR="00986C78" w:rsidRPr="00B740B4">
        <w:t>to</w:t>
      </w:r>
      <w:r w:rsidR="00986C78" w:rsidRPr="00B740B4">
        <w:rPr>
          <w:i/>
        </w:rPr>
        <w:t xml:space="preserve"> l </w:t>
      </w:r>
      <w:r w:rsidR="00986C78" w:rsidRPr="00B740B4">
        <w:t xml:space="preserve">sometimes happens in Akkadian) </w:t>
      </w:r>
      <w:r w:rsidR="00B27480" w:rsidRPr="00B740B4">
        <w:t>were a people from southern Babylonia to whom Nebuchadnezzar’s</w:t>
      </w:r>
      <w:r w:rsidR="00E426DF" w:rsidRPr="00B740B4">
        <w:t xml:space="preserve"> father Nabopolassar belonged. They were </w:t>
      </w:r>
      <w:r w:rsidR="00B27480" w:rsidRPr="00B740B4">
        <w:t>the ruling caste in</w:t>
      </w:r>
      <w:r w:rsidR="00E426DF" w:rsidRPr="00B740B4">
        <w:t xml:space="preserve"> Babylonia in the sixth century</w:t>
      </w:r>
      <w:r w:rsidR="00B27480" w:rsidRPr="00B740B4">
        <w:t>. In the OT, howev</w:t>
      </w:r>
      <w:r w:rsidR="00E426DF" w:rsidRPr="00B740B4">
        <w:t xml:space="preserve">er, </w:t>
      </w:r>
      <w:r w:rsidR="00934A11" w:rsidRPr="00B740B4">
        <w:t>“</w:t>
      </w:r>
      <w:r w:rsidR="00E426DF" w:rsidRPr="00B740B4">
        <w:t>Kasdites</w:t>
      </w:r>
      <w:r w:rsidR="00934A11" w:rsidRPr="00B740B4">
        <w:t>”</w:t>
      </w:r>
      <w:r w:rsidR="00B27480" w:rsidRPr="00B740B4">
        <w:t xml:space="preserve"> is the regular word for the people of Babylonia in general, though it was not used with this meaning by the Babylonians themselves. In Daniel, it also refers specifically to the Babylonian </w:t>
      </w:r>
      <w:r w:rsidR="0085498A" w:rsidRPr="00B740B4">
        <w:t>scholars</w:t>
      </w:r>
      <w:r w:rsidR="00B27480" w:rsidRPr="00B740B4">
        <w:t>, though again the word was not used with this meani</w:t>
      </w:r>
      <w:r w:rsidRPr="00B740B4">
        <w:t>ng by the Babylonians</w:t>
      </w:r>
      <w:r w:rsidR="00B27480" w:rsidRPr="00B740B4">
        <w:t>; outside the OT, it first appears in Herodotus</w:t>
      </w:r>
      <w:r w:rsidR="00B24F98">
        <w:t xml:space="preserve">, </w:t>
      </w:r>
      <w:r w:rsidR="00B24F98">
        <w:rPr>
          <w:i/>
        </w:rPr>
        <w:t>Histories</w:t>
      </w:r>
      <w:r w:rsidR="00B27480" w:rsidRPr="00B740B4">
        <w:t xml:space="preserve"> 1:181–83. Given </w:t>
      </w:r>
      <w:r w:rsidRPr="00B740B4">
        <w:t>the OT’s idiosy</w:t>
      </w:r>
      <w:r w:rsidR="00E426DF" w:rsidRPr="00B740B4">
        <w:t>ncratic use of the term</w:t>
      </w:r>
      <w:r w:rsidRPr="00B740B4">
        <w:t>, it might easily have been</w:t>
      </w:r>
      <w:r w:rsidR="00E426DF" w:rsidRPr="00B740B4">
        <w:t xml:space="preserve"> used in this way among Judahites even in the sixth century, as well as</w:t>
      </w:r>
      <w:r w:rsidR="00B27480" w:rsidRPr="00B740B4">
        <w:t xml:space="preserve"> in the Persian period (cf. v 21). Strabo 16.1.6 (first century </w:t>
      </w:r>
      <w:r w:rsidR="008461D5" w:rsidRPr="00B740B4">
        <w:t>BC</w:t>
      </w:r>
      <w:r w:rsidR="00B27480" w:rsidRPr="00B740B4">
        <w:t xml:space="preserve">) uses the term both to refer to the </w:t>
      </w:r>
      <w:r w:rsidR="0085498A" w:rsidRPr="00B740B4">
        <w:t>scholars</w:t>
      </w:r>
      <w:r w:rsidR="00B70614">
        <w:t xml:space="preserve"> and to an ethnic group,</w:t>
      </w:r>
      <w:r w:rsidR="00B27480" w:rsidRPr="00B740B4">
        <w:t xml:space="preserve"> its original sense. There is no reason to infer from usage such as Daniel’s</w:t>
      </w:r>
      <w:r w:rsidRPr="00B740B4">
        <w:t xml:space="preserve"> and Strabo’s that the </w:t>
      </w:r>
      <w:r w:rsidR="0085498A" w:rsidRPr="00B740B4">
        <w:t>scholar</w:t>
      </w:r>
      <w:r w:rsidRPr="00B740B4">
        <w:t>s were Kasdite/Kaldite</w:t>
      </w:r>
      <w:r w:rsidR="00B27480" w:rsidRPr="00B740B4">
        <w:t xml:space="preserve"> by race.</w:t>
      </w:r>
      <w:r w:rsidR="0021234F" w:rsidRPr="00B740B4">
        <w:rPr>
          <w:rStyle w:val="FootnoteReference"/>
        </w:rPr>
        <w:footnoteReference w:id="303"/>
      </w:r>
    </w:p>
    <w:p w:rsidR="00B27480" w:rsidRPr="00B740B4" w:rsidRDefault="00B27480" w:rsidP="00B27480">
      <w:r w:rsidRPr="00B740B4">
        <w:t xml:space="preserve">The Babylonian </w:t>
      </w:r>
      <w:r w:rsidR="0085498A" w:rsidRPr="00B740B4">
        <w:t>scholars</w:t>
      </w:r>
      <w:r w:rsidRPr="00B740B4">
        <w:t xml:space="preserve"> combined many of the</w:t>
      </w:r>
      <w:r w:rsidR="005A72FF" w:rsidRPr="00B740B4">
        <w:t xml:space="preserve"> functions fulfilled by counselors</w:t>
      </w:r>
      <w:r w:rsidRPr="00B740B4">
        <w:t>, prophets, and priests in Israel, though they are</w:t>
      </w:r>
      <w:r w:rsidR="005A72FF" w:rsidRPr="00B740B4">
        <w:t xml:space="preserve"> to be distinguished from ministers</w:t>
      </w:r>
      <w:r w:rsidRPr="00B740B4">
        <w:t xml:space="preserve"> who were more especially conce</w:t>
      </w:r>
      <w:r w:rsidR="002736C0">
        <w:t>rned with the temple and its worship</w:t>
      </w:r>
      <w:r w:rsidRPr="00B740B4">
        <w:t>. They were the guardians of the sacred traditional lore developed and preserved in Mesopotamia over centuries, covering natural history, astronomy, mathematics, medicine, myth, and chronicle. Much of this learning had a practical purpose, being designed to be applied to life by means of astrology, oneirology, hepatoscopy and the study of other organs, rites of purification, sacrifice, incantation, exorcism and oth</w:t>
      </w:r>
      <w:r w:rsidR="000761C8" w:rsidRPr="00B740B4">
        <w:t>er forms of divination</w:t>
      </w:r>
      <w:r w:rsidRPr="00B740B4">
        <w:t>.</w:t>
      </w:r>
    </w:p>
    <w:p w:rsidR="00B27480" w:rsidRPr="00B740B4" w:rsidRDefault="00B27480" w:rsidP="00B27480">
      <w:r w:rsidRPr="00B740B4">
        <w:lastRenderedPageBreak/>
        <w:t xml:space="preserve">The practice of divination presupposes that supernatural forces sometimes reveal events to come or </w:t>
      </w:r>
      <w:r w:rsidR="00F03450" w:rsidRPr="00B740B4">
        <w:t xml:space="preserve">reveal </w:t>
      </w:r>
      <w:r w:rsidRPr="00B740B4">
        <w:t>the significance of events that do h</w:t>
      </w:r>
      <w:r w:rsidR="000761C8" w:rsidRPr="00B740B4">
        <w:t>appen—either on their own initiative</w:t>
      </w:r>
      <w:r w:rsidRPr="00B740B4">
        <w:t xml:space="preserve"> or in response to human questioning—in the way they arrange natural phenomena such as the stars or </w:t>
      </w:r>
      <w:r w:rsidR="00F03450" w:rsidRPr="00B740B4">
        <w:t xml:space="preserve">the </w:t>
      </w:r>
      <w:r w:rsidRPr="00B740B4">
        <w:t xml:space="preserve">weather or the form or behavior of different creatures. Such phenomena </w:t>
      </w:r>
      <w:r w:rsidR="00F03450" w:rsidRPr="00B740B4">
        <w:t xml:space="preserve">can </w:t>
      </w:r>
      <w:r w:rsidRPr="00B740B4">
        <w:t xml:space="preserve">thus constitute warnings of </w:t>
      </w:r>
      <w:r w:rsidR="000761C8" w:rsidRPr="00B740B4">
        <w:t>coming events, which one</w:t>
      </w:r>
      <w:r w:rsidRPr="00B740B4">
        <w:t xml:space="preserve"> can take steps</w:t>
      </w:r>
      <w:r w:rsidR="000761C8" w:rsidRPr="00B740B4">
        <w:t xml:space="preserve"> to avoid by apotropaic rites. O</w:t>
      </w:r>
      <w:r w:rsidRPr="00B740B4">
        <w:t xml:space="preserve">r </w:t>
      </w:r>
      <w:r w:rsidR="000761C8" w:rsidRPr="00B740B4">
        <w:t xml:space="preserve">they </w:t>
      </w:r>
      <w:r w:rsidR="00F03450" w:rsidRPr="00B740B4">
        <w:t xml:space="preserve">can offer </w:t>
      </w:r>
      <w:r w:rsidRPr="00B740B4">
        <w:t>explanations of illnesses or other experiences, from which the subject can escape by such means as purification rites, exorcism, incantation, and prayer. The library Asshurbanipal assembled in the seventh century is dominated by divinatory texts that record phenomena of various kinds and the events they had presaged, and by linguistic texts tha</w:t>
      </w:r>
      <w:r w:rsidR="00F03450" w:rsidRPr="00B740B4">
        <w:t>t enab</w:t>
      </w:r>
      <w:r w:rsidR="0085498A" w:rsidRPr="00B740B4">
        <w:t>led Akkadian-speaking scholars</w:t>
      </w:r>
      <w:r w:rsidRPr="00B740B4">
        <w:t xml:space="preserve"> to use such texts </w:t>
      </w:r>
      <w:r w:rsidR="00F03450" w:rsidRPr="00B740B4">
        <w:t xml:space="preserve">written </w:t>
      </w:r>
      <w:r w:rsidRPr="00B740B4">
        <w:t>in the traditional Sumerian; many further texts consist in incantations, prayers, and conjurations for exorcis</w:t>
      </w:r>
      <w:r w:rsidR="00F03450" w:rsidRPr="00B740B4">
        <w:t xml:space="preserve">m and protection. Many </w:t>
      </w:r>
      <w:r w:rsidRPr="00B740B4">
        <w:t>date from centuries before Asshurbanipal; others continued to be written and collected through the Babylonian, Persian, and Hellenistic periods. By applying their learning in such ways to questions affe</w:t>
      </w:r>
      <w:r w:rsidR="00F03450" w:rsidRPr="00B740B4">
        <w:t>c</w:t>
      </w:r>
      <w:r w:rsidR="0085498A" w:rsidRPr="00B740B4">
        <w:t>ting king and nation, the scholar</w:t>
      </w:r>
      <w:r w:rsidR="00F03450" w:rsidRPr="00B740B4">
        <w:t>s</w:t>
      </w:r>
      <w:r w:rsidRPr="00B740B4">
        <w:t xml:space="preserve"> fulfilled their role as the king’s advisers and protectors whom he would co</w:t>
      </w:r>
      <w:r w:rsidR="00F03450" w:rsidRPr="00B740B4">
        <w:t>nsult before taking any action</w:t>
      </w:r>
      <w:r w:rsidRPr="00B740B4">
        <w:t xml:space="preserve">. The stories in Dan 2; 4; and 5 have this activity as their background </w:t>
      </w:r>
      <w:r w:rsidR="00C516F5" w:rsidRPr="00B740B4">
        <w:t>(cf. also Isa 44:25; 47:13; Est</w:t>
      </w:r>
      <w:r w:rsidR="00FE2F4C" w:rsidRPr="00B740B4">
        <w:t>h</w:t>
      </w:r>
      <w:r w:rsidRPr="00B740B4">
        <w:t xml:space="preserve"> 1:13), while Dan 1:3–4 may reflect an awareness of the requirements of descent, physical wholeness, and training that they had to fulfill.</w:t>
      </w:r>
      <w:r w:rsidR="0021234F" w:rsidRPr="00B740B4">
        <w:rPr>
          <w:rStyle w:val="FootnoteReference"/>
        </w:rPr>
        <w:footnoteReference w:id="304"/>
      </w:r>
      <w:r w:rsidRPr="00B740B4">
        <w:t xml:space="preserve"> </w:t>
      </w:r>
    </w:p>
    <w:p w:rsidR="00B27480" w:rsidRPr="00B740B4" w:rsidRDefault="00C516F5" w:rsidP="00B27480">
      <w:r w:rsidRPr="00B740B4">
        <w:t>T</w:t>
      </w:r>
      <w:r w:rsidR="00B27480" w:rsidRPr="00B740B4">
        <w:t xml:space="preserve">he palace </w:t>
      </w:r>
      <w:r w:rsidR="000761C8" w:rsidRPr="00B740B4">
        <w:t xml:space="preserve">where the youing men would serve </w:t>
      </w:r>
      <w:r w:rsidR="00B27480" w:rsidRPr="00B740B4">
        <w:t xml:space="preserve">included </w:t>
      </w:r>
      <w:r w:rsidR="00934A11" w:rsidRPr="00B740B4">
        <w:t>“</w:t>
      </w:r>
      <w:r w:rsidR="00B27480" w:rsidRPr="00B740B4">
        <w:t>the throne room in which the king received ambassadors and other visitors, the large courtyard in front of it, and a special hall, perhaps used for official banquets. . . . Living quarters for the king and his entourage, as well as storage rooms, were built around these princ</w:t>
      </w:r>
      <w:r w:rsidRPr="00B740B4">
        <w:t>ipal areas</w:t>
      </w:r>
      <w:r w:rsidR="00B27480" w:rsidRPr="00B740B4">
        <w:t>.</w:t>
      </w:r>
      <w:r w:rsidR="00934A11" w:rsidRPr="00B740B4">
        <w:t>”</w:t>
      </w:r>
      <w:r w:rsidR="00B27480" w:rsidRPr="00B740B4">
        <w:t xml:space="preserve"> Into it </w:t>
      </w:r>
      <w:r w:rsidR="00934A11" w:rsidRPr="00B740B4">
        <w:t>“</w:t>
      </w:r>
      <w:r w:rsidR="00B27480" w:rsidRPr="00B740B4">
        <w:t>poured the tribute of subjugated and even of distant peoples, the yield of royal estates, and the products of royal workshops. From its storehouses had to be fed and clad, according to their status, the members of the royal family, the administrative officials of country and palace, the personnel of the royal household, the standing army and a host of serfs, slaves, and others who depended o</w:t>
      </w:r>
      <w:r w:rsidR="0021234F" w:rsidRPr="00B740B4">
        <w:t>n the palace for their living</w:t>
      </w:r>
      <w:r w:rsidR="00B27480" w:rsidRPr="00B740B4">
        <w:t>.</w:t>
      </w:r>
      <w:r w:rsidR="00934A11" w:rsidRPr="00B740B4">
        <w:t>”</w:t>
      </w:r>
      <w:r w:rsidR="00B27480" w:rsidRPr="00B740B4">
        <w:t xml:space="preserve"> A list of the personnel of Nebuchadnezzar’s court pictures him </w:t>
      </w:r>
      <w:r w:rsidR="00934A11" w:rsidRPr="00B740B4">
        <w:t>“</w:t>
      </w:r>
      <w:r w:rsidR="00B27480" w:rsidRPr="00B740B4">
        <w:t>surrounded by the administrators of his palace and of his realm, by bureaucrats and vanquished</w:t>
      </w:r>
      <w:r w:rsidR="0021234F" w:rsidRPr="00B740B4">
        <w:t xml:space="preserve"> kings who lived at his court</w:t>
      </w:r>
      <w:r w:rsidR="00B27480" w:rsidRPr="00B740B4">
        <w:t>.</w:t>
      </w:r>
      <w:r w:rsidR="00934A11" w:rsidRPr="00B740B4">
        <w:t>”</w:t>
      </w:r>
      <w:r w:rsidR="0021234F" w:rsidRPr="00B740B4">
        <w:rPr>
          <w:rStyle w:val="FootnoteReference"/>
        </w:rPr>
        <w:footnoteReference w:id="305"/>
      </w:r>
      <w:r w:rsidR="00F03450" w:rsidRPr="00B740B4">
        <w:t xml:space="preserve"> Regarding </w:t>
      </w:r>
      <w:r w:rsidR="00B27480" w:rsidRPr="00B740B4">
        <w:t xml:space="preserve">provision for exiled </w:t>
      </w:r>
      <w:r w:rsidR="00F03450" w:rsidRPr="00B740B4">
        <w:t xml:space="preserve">foreigners from the palace, </w:t>
      </w:r>
      <w:r w:rsidR="00B27480" w:rsidRPr="00B740B4">
        <w:t>the Bab</w:t>
      </w:r>
      <w:r w:rsidR="00F03450" w:rsidRPr="00B740B4">
        <w:t xml:space="preserve">ylonian provision records </w:t>
      </w:r>
      <w:r w:rsidR="007A1DFC" w:rsidRPr="00B740B4">
        <w:t>mention</w:t>
      </w:r>
      <w:r w:rsidR="00F03450" w:rsidRPr="00B740B4">
        <w:t xml:space="preserve"> Jehoiak</w:t>
      </w:r>
      <w:r w:rsidR="007A1DFC" w:rsidRPr="00B740B4">
        <w:t>in, other Judahite</w:t>
      </w:r>
      <w:r w:rsidR="00F03450" w:rsidRPr="00B740B4">
        <w:t>s, and other foreign nationals.</w:t>
      </w:r>
      <w:r w:rsidR="0021234F" w:rsidRPr="00B740B4">
        <w:rPr>
          <w:rStyle w:val="FootnoteReference"/>
        </w:rPr>
        <w:footnoteReference w:id="306"/>
      </w:r>
      <w:r w:rsidR="00B27480" w:rsidRPr="00B740B4">
        <w:t xml:space="preserve"> </w:t>
      </w:r>
      <w:r w:rsidR="00F03450" w:rsidRPr="00B740B4">
        <w:t>Second K</w:t>
      </w:r>
      <w:r w:rsidR="005E7F8E">
        <w:t>in</w:t>
      </w:r>
      <w:r w:rsidR="00F03450" w:rsidRPr="00B740B4">
        <w:t>gs 25:29–30</w:t>
      </w:r>
      <w:r w:rsidR="00B27480" w:rsidRPr="00B740B4">
        <w:t xml:space="preserve"> also uses the phrase </w:t>
      </w:r>
      <w:r w:rsidR="00934A11" w:rsidRPr="00B740B4">
        <w:t>“</w:t>
      </w:r>
      <w:r w:rsidR="00B27480" w:rsidRPr="00B740B4">
        <w:t>a daily allowance</w:t>
      </w:r>
      <w:r w:rsidR="00934A11" w:rsidRPr="00B740B4">
        <w:t>”</w:t>
      </w:r>
      <w:r w:rsidR="00B27480" w:rsidRPr="00B740B4">
        <w:t xml:space="preserve">; and other </w:t>
      </w:r>
      <w:r w:rsidR="00F03450" w:rsidRPr="00B740B4">
        <w:t xml:space="preserve">passages speak in related terms </w:t>
      </w:r>
      <w:r w:rsidR="00B27480" w:rsidRPr="00B740B4">
        <w:t>(</w:t>
      </w:r>
      <w:r w:rsidR="00F03450" w:rsidRPr="00B740B4">
        <w:t xml:space="preserve">see </w:t>
      </w:r>
      <w:r w:rsidR="00B27480" w:rsidRPr="00B740B4">
        <w:t>Gen 43:34; 2 Sam 11:8; Dan 11:26).</w:t>
      </w:r>
    </w:p>
    <w:p w:rsidR="00B27480" w:rsidRPr="00B740B4" w:rsidRDefault="00B27480" w:rsidP="00B27480">
      <w:r w:rsidRPr="00B740B4">
        <w:rPr>
          <w:b/>
        </w:rPr>
        <w:t>6–7</w:t>
      </w:r>
      <w:r w:rsidRPr="00B740B4">
        <w:t xml:space="preserve"> The Hebrew names are all known from a variety of OT contexts (see </w:t>
      </w:r>
      <w:r w:rsidRPr="00B740B4">
        <w:rPr>
          <w:i/>
        </w:rPr>
        <w:t>Form</w:t>
      </w:r>
      <w:r w:rsidR="001A6DB2" w:rsidRPr="00B740B4">
        <w:t>)</w:t>
      </w:r>
      <w:r w:rsidR="00E96B3D" w:rsidRPr="00B740B4">
        <w:t>. T</w:t>
      </w:r>
      <w:r w:rsidR="00F50A75" w:rsidRPr="00B740B4">
        <w:t>hey are not distinctively priestly and</w:t>
      </w:r>
      <w:r w:rsidRPr="00B740B4">
        <w:t xml:space="preserve"> the four </w:t>
      </w:r>
      <w:r w:rsidR="000761C8" w:rsidRPr="00B740B4">
        <w:t xml:space="preserve">young men </w:t>
      </w:r>
      <w:r w:rsidRPr="00B740B4">
        <w:t xml:space="preserve">have </w:t>
      </w:r>
      <w:r w:rsidR="00F50A75" w:rsidRPr="00B740B4">
        <w:t>no specifically priestly traits;</w:t>
      </w:r>
      <w:r w:rsidR="00563131" w:rsidRPr="00B740B4">
        <w:rPr>
          <w:vertAlign w:val="superscript"/>
        </w:rPr>
        <w:footnoteReference w:id="307"/>
      </w:r>
      <w:r w:rsidRPr="00B740B4">
        <w:t xml:space="preserve"> the portrayal in vv 3–5 is royal. Each </w:t>
      </w:r>
      <w:r w:rsidR="00F50A75" w:rsidRPr="00B740B4">
        <w:t xml:space="preserve">name </w:t>
      </w:r>
      <w:r w:rsidRPr="00B740B4">
        <w:t>lacks a patronymic (like the names in Neh 8 and 10</w:t>
      </w:r>
      <w:r w:rsidR="005E7F8E">
        <w:t xml:space="preserve">) and each is theophoric: </w:t>
      </w:r>
      <w:r w:rsidR="005E7F8E" w:rsidRPr="005E7F8E">
        <w:t>Daniyye’l</w:t>
      </w:r>
      <w:r w:rsidRPr="00B740B4">
        <w:t xml:space="preserve">, </w:t>
      </w:r>
      <w:r w:rsidR="00934A11" w:rsidRPr="00B740B4">
        <w:t>“</w:t>
      </w:r>
      <w:r w:rsidRPr="00B740B4">
        <w:t>God is my judge</w:t>
      </w:r>
      <w:r w:rsidR="00934A11" w:rsidRPr="00B740B4">
        <w:t>”</w:t>
      </w:r>
      <w:r w:rsidR="005E7F8E">
        <w:t xml:space="preserve">; </w:t>
      </w:r>
      <w:r w:rsidR="005E7F8E" w:rsidRPr="005E7F8E">
        <w:t>Ḥananyah</w:t>
      </w:r>
      <w:r w:rsidRPr="00B740B4">
        <w:t xml:space="preserve">, </w:t>
      </w:r>
      <w:r w:rsidR="00934A11" w:rsidRPr="00B740B4">
        <w:t>“</w:t>
      </w:r>
      <w:r w:rsidRPr="00B740B4">
        <w:t>Yah has been gracious</w:t>
      </w:r>
      <w:r w:rsidR="00934A11" w:rsidRPr="00B740B4">
        <w:t>”</w:t>
      </w:r>
      <w:r w:rsidR="005E7F8E">
        <w:t xml:space="preserve">; </w:t>
      </w:r>
      <w:r w:rsidR="005E7F8E" w:rsidRPr="005E7F8E">
        <w:t>Miša’el</w:t>
      </w:r>
      <w:r w:rsidRPr="00B740B4">
        <w:t xml:space="preserve">, </w:t>
      </w:r>
      <w:r w:rsidR="00934A11" w:rsidRPr="00B740B4">
        <w:t>“</w:t>
      </w:r>
      <w:r w:rsidRPr="00B740B4">
        <w:t>Who is what God is?</w:t>
      </w:r>
      <w:r w:rsidR="00934A11" w:rsidRPr="00B740B4">
        <w:t>”</w:t>
      </w:r>
      <w:r w:rsidR="005E7F8E">
        <w:t xml:space="preserve">; </w:t>
      </w:r>
      <w:r w:rsidR="005E7F8E">
        <w:rPr>
          <w:i/>
        </w:rPr>
        <w:t>‘</w:t>
      </w:r>
      <w:r w:rsidR="005E7F8E" w:rsidRPr="005E7F8E">
        <w:t>Azaryah</w:t>
      </w:r>
      <w:r w:rsidRPr="00B740B4">
        <w:t xml:space="preserve">, </w:t>
      </w:r>
      <w:r w:rsidR="00934A11" w:rsidRPr="00B740B4">
        <w:t>“</w:t>
      </w:r>
      <w:r w:rsidRPr="00B740B4">
        <w:t>Yah has helped.</w:t>
      </w:r>
      <w:r w:rsidR="00934A11" w:rsidRPr="00B740B4">
        <w:t>”</w:t>
      </w:r>
      <w:r w:rsidRPr="00B740B4">
        <w:t xml:space="preserve"> Giving (new) names as a sign of (new) ownership and thus (new) destiny</w:t>
      </w:r>
      <w:r w:rsidR="00C516F5" w:rsidRPr="00B740B4">
        <w:rPr>
          <w:rStyle w:val="FootnoteReference"/>
        </w:rPr>
        <w:footnoteReference w:id="308"/>
      </w:r>
      <w:r w:rsidRPr="00B740B4">
        <w:t xml:space="preserve"> was common cou</w:t>
      </w:r>
      <w:r w:rsidR="00F50A75" w:rsidRPr="00B740B4">
        <w:t xml:space="preserve">rt </w:t>
      </w:r>
      <w:r w:rsidR="00AE2A2A" w:rsidRPr="00B740B4">
        <w:t>practice: cf. Joseph/Zaphnat-pa</w:t>
      </w:r>
      <w:r w:rsidR="00F50A75" w:rsidRPr="00B740B4">
        <w:t>ne</w:t>
      </w:r>
      <w:r w:rsidR="00AE2A2A" w:rsidRPr="00B740B4">
        <w:t>a</w:t>
      </w:r>
      <w:r w:rsidR="00F50A75" w:rsidRPr="00B740B4">
        <w:t>h, Eliaqim/ Jehoiaq</w:t>
      </w:r>
      <w:r w:rsidRPr="00B740B4">
        <w:t>im, Mattaniah/Zedekiah, Hadassah/Esther, Joshua/Jason (2 Macc 4:7). Zerubbabel’s and Mordecai’s Hebrew names are not even</w:t>
      </w:r>
      <w:r w:rsidR="00000CAD" w:rsidRPr="00B740B4">
        <w:t xml:space="preserve"> mentioned in the OT; </w:t>
      </w:r>
      <w:r w:rsidRPr="00B740B4">
        <w:t>the use of a foreign nam</w:t>
      </w:r>
      <w:r w:rsidR="00F50A75" w:rsidRPr="00B740B4">
        <w:t>e could be quite acceptable, and ch</w:t>
      </w:r>
      <w:r w:rsidR="00000CAD" w:rsidRPr="00B740B4">
        <w:t>ap.</w:t>
      </w:r>
      <w:r w:rsidR="005E7F8E">
        <w:t xml:space="preserve"> </w:t>
      </w:r>
      <w:r w:rsidR="00000CAD" w:rsidRPr="00B740B4">
        <w:t xml:space="preserve">3 uses only the </w:t>
      </w:r>
      <w:r w:rsidR="00000CAD" w:rsidRPr="00B740B4">
        <w:lastRenderedPageBreak/>
        <w:t xml:space="preserve">three young man’s </w:t>
      </w:r>
      <w:r w:rsidR="00F50A75" w:rsidRPr="00B740B4">
        <w:t>Babylonian names</w:t>
      </w:r>
      <w:r w:rsidRPr="00B740B4">
        <w:t xml:space="preserve">. There is thus a contrast between the giving of a theophoric name to replace a </w:t>
      </w:r>
      <w:r w:rsidR="00AE2A2A" w:rsidRPr="00B740B4">
        <w:t>neutral one (Jacob-Israel, Hoshe</w:t>
      </w:r>
      <w:r w:rsidRPr="00B740B4">
        <w:t>a-Joshua)</w:t>
      </w:r>
      <w:r w:rsidR="00A02B32" w:rsidRPr="00B740B4">
        <w:rPr>
          <w:rStyle w:val="FootnoteReference"/>
        </w:rPr>
        <w:footnoteReference w:id="309"/>
      </w:r>
      <w:r w:rsidRPr="00B740B4">
        <w:t xml:space="preserve"> and the replacing of an Israelite theophoric name by one of alien significance (see n. 7.b-b). The three friends’ two sets of na</w:t>
      </w:r>
      <w:r w:rsidR="00F50A75" w:rsidRPr="00B740B4">
        <w:t>mes appear together only here. As the Babylonian name</w:t>
      </w:r>
      <w:r w:rsidRPr="00B740B4">
        <w:t xml:space="preserve">s come on their own in </w:t>
      </w:r>
      <w:r w:rsidR="00195715" w:rsidRPr="00B740B4">
        <w:t>chap.</w:t>
      </w:r>
      <w:r w:rsidRPr="00B740B4">
        <w:t xml:space="preserve"> 3 (also 2:49), in </w:t>
      </w:r>
      <w:r w:rsidR="00F50A75" w:rsidRPr="00B740B4">
        <w:t>the apparently older material, t</w:t>
      </w:r>
      <w:r w:rsidRPr="00B740B4">
        <w:t>he Hebrew names come on their own in 1:11, 19; 2:17.</w:t>
      </w:r>
    </w:p>
    <w:p w:rsidR="00B27480" w:rsidRPr="00B740B4" w:rsidRDefault="00B27480" w:rsidP="00B27480">
      <w:r w:rsidRPr="00B740B4">
        <w:rPr>
          <w:b/>
        </w:rPr>
        <w:t>8</w:t>
      </w:r>
      <w:r w:rsidRPr="00B740B4">
        <w:t xml:space="preserve"> Since Daniel and the other three are not the only exiles undergoing the training (see v 6, </w:t>
      </w:r>
      <w:r w:rsidR="00934A11" w:rsidRPr="00B740B4">
        <w:t>“</w:t>
      </w:r>
      <w:r w:rsidRPr="00B740B4">
        <w:rPr>
          <w:i/>
        </w:rPr>
        <w:t>Among</w:t>
      </w:r>
      <w:r w:rsidRPr="00B740B4">
        <w:t xml:space="preserve"> them were . . .</w:t>
      </w:r>
      <w:r w:rsidR="00934A11" w:rsidRPr="00B740B4">
        <w:t>”</w:t>
      </w:r>
      <w:r w:rsidRPr="00B740B4">
        <w:t xml:space="preserve">), Daniel’s decision presumably involves standing firm when other Israelites do not; the youths with whom they are compared in </w:t>
      </w:r>
      <w:r w:rsidR="00E96B3D" w:rsidRPr="00B740B4">
        <w:t>vv 10–16, 19 are likewise presu</w:t>
      </w:r>
      <w:r w:rsidRPr="00B740B4">
        <w:t>m</w:t>
      </w:r>
      <w:r w:rsidR="00E96B3D" w:rsidRPr="00B740B4">
        <w:t xml:space="preserve">ably </w:t>
      </w:r>
      <w:r w:rsidRPr="00B740B4">
        <w:t>Israelites as well as Babylonian</w:t>
      </w:r>
      <w:r w:rsidR="00E96B3D" w:rsidRPr="00B740B4">
        <w:t>s</w:t>
      </w:r>
      <w:r w:rsidRPr="00B740B4">
        <w:t xml:space="preserve"> and other foreigners. </w:t>
      </w:r>
      <w:r w:rsidR="00000CAD" w:rsidRPr="00B740B4">
        <w:t>Daniel’s</w:t>
      </w:r>
      <w:r w:rsidRPr="00B740B4">
        <w:t xml:space="preserve"> concern about defilement corresponds to a characteristic feature of Le</w:t>
      </w:r>
      <w:r w:rsidR="00E96B3D" w:rsidRPr="00B740B4">
        <w:t xml:space="preserve">viticus and Ezekiel, though </w:t>
      </w:r>
      <w:r w:rsidR="00000CAD" w:rsidRPr="00B740B4">
        <w:t xml:space="preserve">it is </w:t>
      </w:r>
      <w:r w:rsidR="00E96B3D" w:rsidRPr="00B740B4">
        <w:t xml:space="preserve">a motif </w:t>
      </w:r>
      <w:r w:rsidRPr="00B740B4">
        <w:t xml:space="preserve">also present elsewhere in the OT. He uses the verb </w:t>
      </w:r>
      <w:r w:rsidRPr="00B740B4">
        <w:rPr>
          <w:rFonts w:ascii="Arial" w:hAnsi="Arial" w:cs="Arial"/>
        </w:rPr>
        <w:t>גאל</w:t>
      </w:r>
      <w:r w:rsidR="00000CAD" w:rsidRPr="00B740B4">
        <w:t xml:space="preserve">, a mostly Second Temple </w:t>
      </w:r>
      <w:r w:rsidRPr="00B740B4">
        <w:t xml:space="preserve">word, but </w:t>
      </w:r>
      <w:r w:rsidR="00E96B3D" w:rsidRPr="00B740B4">
        <w:t xml:space="preserve">one </w:t>
      </w:r>
      <w:r w:rsidRPr="00B740B4">
        <w:t xml:space="preserve">having a similar range of meanings to the more common </w:t>
      </w:r>
      <w:r w:rsidRPr="00B740B4">
        <w:rPr>
          <w:rFonts w:ascii="Arial" w:hAnsi="Arial" w:cs="Arial"/>
        </w:rPr>
        <w:t>חלל</w:t>
      </w:r>
      <w:r w:rsidRPr="00B740B4">
        <w:t xml:space="preserve"> (Dan 11:31) and </w:t>
      </w:r>
      <w:r w:rsidRPr="00B740B4">
        <w:rPr>
          <w:rFonts w:ascii="Arial" w:hAnsi="Arial" w:cs="Arial"/>
        </w:rPr>
        <w:t>טמא</w:t>
      </w:r>
      <w:r w:rsidRPr="00B740B4">
        <w:t>.</w:t>
      </w:r>
    </w:p>
    <w:p w:rsidR="00A760A1" w:rsidRPr="00B740B4" w:rsidRDefault="00B27480" w:rsidP="00B27480">
      <w:r w:rsidRPr="00B740B4">
        <w:t xml:space="preserve">Underlying references to defilement </w:t>
      </w:r>
      <w:r w:rsidR="00000CAD" w:rsidRPr="00B740B4">
        <w:t xml:space="preserve">is the assumption that some objects and activities </w:t>
      </w:r>
      <w:r w:rsidRPr="00B740B4">
        <w:t>are proper to some groups but not to others (e.g., to the nations but not to Israel, or to laypeople but not to priests). The distinctiveness</w:t>
      </w:r>
      <w:r w:rsidR="00E96B3D" w:rsidRPr="00B740B4">
        <w:t xml:space="preserve"> of the smaller group is safeguard</w:t>
      </w:r>
      <w:r w:rsidRPr="00B740B4">
        <w:t>ed by its avoiding the</w:t>
      </w:r>
      <w:r w:rsidR="00000CAD" w:rsidRPr="00B740B4">
        <w:t>se</w:t>
      </w:r>
      <w:r w:rsidRPr="00B740B4">
        <w:t xml:space="preserve"> objects and activitie</w:t>
      </w:r>
      <w:r w:rsidR="00000CAD" w:rsidRPr="00B740B4">
        <w:t>s</w:t>
      </w:r>
      <w:r w:rsidR="00E96B3D" w:rsidRPr="00B740B4">
        <w:t>. H</w:t>
      </w:r>
      <w:r w:rsidRPr="00B740B4">
        <w:t xml:space="preserve">oliness/cleanness/defilement are </w:t>
      </w:r>
      <w:r w:rsidR="00E96B3D" w:rsidRPr="00B740B4">
        <w:t xml:space="preserve">thus </w:t>
      </w:r>
      <w:r w:rsidRPr="00B740B4">
        <w:t xml:space="preserve">theological </w:t>
      </w:r>
      <w:r w:rsidR="00E96B3D" w:rsidRPr="00B740B4">
        <w:t>or ritual categories, though t</w:t>
      </w:r>
      <w:r w:rsidR="00000CAD" w:rsidRPr="00B740B4">
        <w:t>hey can</w:t>
      </w:r>
      <w:r w:rsidRPr="00B740B4">
        <w:t xml:space="preserve"> also</w:t>
      </w:r>
      <w:r w:rsidR="00000CAD" w:rsidRPr="00B740B4">
        <w:t xml:space="preserve"> be</w:t>
      </w:r>
      <w:r w:rsidRPr="00B740B4">
        <w:t xml:space="preserve"> applied to mora</w:t>
      </w:r>
      <w:r w:rsidR="00E96B3D" w:rsidRPr="00B740B4">
        <w:t>l and religious activities because</w:t>
      </w:r>
      <w:r w:rsidRPr="00B740B4">
        <w:t xml:space="preserve"> murder or worshiping other gods, as well as contact with a corpse or eating pork, defiles a person or a people and threatens their identity. </w:t>
      </w:r>
      <w:r w:rsidR="00000CAD" w:rsidRPr="00B740B4">
        <w:t>For Israelites, living</w:t>
      </w:r>
      <w:r w:rsidRPr="00B740B4">
        <w:t xml:space="preserve"> in a foreign country is an inherently defiling experience (cf. Hos 9:3–4; Amos 7:17)</w:t>
      </w:r>
      <w:r w:rsidR="00A760A1" w:rsidRPr="00B740B4">
        <w:t xml:space="preserve"> because the country belongs to other deities and its people worship them</w:t>
      </w:r>
      <w:r w:rsidRPr="00B740B4">
        <w:t xml:space="preserve">. </w:t>
      </w:r>
    </w:p>
    <w:p w:rsidR="00B27480" w:rsidRPr="00B740B4" w:rsidRDefault="00B27480" w:rsidP="00B27480">
      <w:r w:rsidRPr="00B740B4">
        <w:t>Vario</w:t>
      </w:r>
      <w:r w:rsidR="001F5F04" w:rsidRPr="00B740B4">
        <w:t>us considerations might lead Judahite</w:t>
      </w:r>
      <w:r w:rsidRPr="00B740B4">
        <w:t>s in exile</w:t>
      </w:r>
      <w:r w:rsidR="00000CAD" w:rsidRPr="00B740B4">
        <w:t xml:space="preserve"> or dispersion</w:t>
      </w:r>
      <w:r w:rsidRPr="00B740B4">
        <w:t xml:space="preserve"> </w:t>
      </w:r>
      <w:r w:rsidR="005E7F8E">
        <w:t>specifically to fear</w:t>
      </w:r>
      <w:r w:rsidR="00A760A1" w:rsidRPr="00B740B4">
        <w:t xml:space="preserve"> </w:t>
      </w:r>
      <w:r w:rsidRPr="00B740B4">
        <w:t>defilement through what they ate.</w:t>
      </w:r>
      <w:r w:rsidR="004279FA" w:rsidRPr="00B740B4">
        <w:rPr>
          <w:rStyle w:val="FootnoteReference"/>
        </w:rPr>
        <w:footnoteReference w:id="310"/>
      </w:r>
    </w:p>
    <w:p w:rsidR="00B27480" w:rsidRPr="00B740B4" w:rsidRDefault="00B27480" w:rsidP="00B27480">
      <w:r w:rsidRPr="00B740B4">
        <w:t xml:space="preserve">(a) The </w:t>
      </w:r>
      <w:r w:rsidR="00000CAD" w:rsidRPr="00B740B4">
        <w:t xml:space="preserve">palace’s </w:t>
      </w:r>
      <w:r w:rsidRPr="00B740B4">
        <w:t>food a</w:t>
      </w:r>
      <w:r w:rsidR="00000CAD" w:rsidRPr="00B740B4">
        <w:t xml:space="preserve">nd drink </w:t>
      </w:r>
      <w:r w:rsidR="00A760A1" w:rsidRPr="00B740B4">
        <w:t xml:space="preserve">would likely </w:t>
      </w:r>
      <w:r w:rsidRPr="00B740B4">
        <w:t xml:space="preserve">come from the temple </w:t>
      </w:r>
      <w:r w:rsidR="00A760A1" w:rsidRPr="00B740B4">
        <w:t xml:space="preserve">after being </w:t>
      </w:r>
      <w:r w:rsidRPr="00B740B4">
        <w:t>offered to the deity, as in Israel it would have been offered to Yahweh: cf. 5:3–4; Bel</w:t>
      </w:r>
      <w:r w:rsidR="005E7F8E">
        <w:t xml:space="preserve"> and the Snake</w:t>
      </w:r>
      <w:r w:rsidRPr="00B740B4">
        <w:t xml:space="preserve">; also Exod 34:15; 1 Cor 8–10; Acts 15:20, 29; Rev 2:14, </w:t>
      </w:r>
      <w:r w:rsidR="00A760A1" w:rsidRPr="00B740B4">
        <w:t xml:space="preserve">20. But this problem would </w:t>
      </w:r>
      <w:r w:rsidRPr="00B740B4">
        <w:t>arise with vegetarian</w:t>
      </w:r>
      <w:r w:rsidR="00A760A1" w:rsidRPr="00B740B4">
        <w:t xml:space="preserve"> food, which Daniel accepts: compare</w:t>
      </w:r>
      <w:r w:rsidRPr="00B740B4">
        <w:t xml:space="preserve"> the offering of flour as well as meat and wine in Bel </w:t>
      </w:r>
      <w:r w:rsidR="005E7F8E">
        <w:t xml:space="preserve">and the Snake </w:t>
      </w:r>
      <w:r w:rsidRPr="00B740B4">
        <w:t xml:space="preserve">3. This consideration thus leads elsewhere to unease about all pagan food (Jdt 10:5; 12:2; </w:t>
      </w:r>
      <w:r w:rsidR="00A760A1" w:rsidRPr="00B740B4">
        <w:t>Add</w:t>
      </w:r>
      <w:r w:rsidR="005E7F8E">
        <w:t>itions to</w:t>
      </w:r>
      <w:r w:rsidR="00A760A1" w:rsidRPr="00B740B4">
        <w:t xml:space="preserve"> Esth</w:t>
      </w:r>
      <w:r w:rsidR="00B26485">
        <w:t>er</w:t>
      </w:r>
      <w:r w:rsidR="00A760A1" w:rsidRPr="00B740B4">
        <w:t xml:space="preserve"> 14:17; Tob</w:t>
      </w:r>
      <w:r w:rsidR="005E7F8E">
        <w:t>it</w:t>
      </w:r>
      <w:r w:rsidR="00B26485">
        <w:t xml:space="preserve"> 1:10–11). </w:t>
      </w:r>
      <w:r w:rsidRPr="00B740B4">
        <w:t>Dani</w:t>
      </w:r>
      <w:r w:rsidR="00A760A1" w:rsidRPr="00B740B4">
        <w:t>el does not</w:t>
      </w:r>
      <w:r w:rsidR="00000CAD" w:rsidRPr="00B740B4">
        <w:t xml:space="preserve"> refuse to eat every</w:t>
      </w:r>
      <w:r w:rsidR="00A760A1" w:rsidRPr="00B740B4">
        <w:t>ything</w:t>
      </w:r>
      <w:r w:rsidRPr="00B740B4">
        <w:t xml:space="preserve"> from the royal table; in this sense he is no more scrupu</w:t>
      </w:r>
      <w:r w:rsidR="00A760A1" w:rsidRPr="00B740B4">
        <w:t>lous than Jehoiak</w:t>
      </w:r>
      <w:r w:rsidRPr="00B740B4">
        <w:t>in</w:t>
      </w:r>
      <w:r w:rsidR="00E809FD" w:rsidRPr="00B740B4">
        <w:t xml:space="preserve">, who apparently accepts the king’s provision without the scriptural text suggesting disapproval </w:t>
      </w:r>
      <w:r w:rsidRPr="00B740B4">
        <w:t>(2 Kgs 25:29</w:t>
      </w:r>
      <w:r w:rsidR="00E809FD" w:rsidRPr="00B740B4">
        <w:t>-30</w:t>
      </w:r>
      <w:r w:rsidR="00B26485">
        <w:t>)</w:t>
      </w:r>
      <w:r w:rsidR="00B26485" w:rsidRPr="00B26485">
        <w:t>.</w:t>
      </w:r>
      <w:r w:rsidR="00A760A1" w:rsidRPr="00B740B4">
        <w:rPr>
          <w:rStyle w:val="FootnoteReference"/>
        </w:rPr>
        <w:footnoteReference w:id="311"/>
      </w:r>
      <w:r w:rsidRPr="00B740B4">
        <w:t xml:space="preserve"> </w:t>
      </w:r>
    </w:p>
    <w:p w:rsidR="00B27480" w:rsidRPr="00B740B4" w:rsidRDefault="00B27480" w:rsidP="00B27480">
      <w:r w:rsidRPr="00B740B4">
        <w:t xml:space="preserve">(b) </w:t>
      </w:r>
      <w:r w:rsidR="00B53F9B" w:rsidRPr="00B740B4">
        <w:t>The palace would not observe rule</w:t>
      </w:r>
      <w:r w:rsidRPr="00B740B4">
        <w:t>s in the Torah about which animals can be eaten and how they are to be killed</w:t>
      </w:r>
      <w:r w:rsidR="00B26485">
        <w:t xml:space="preserve"> and cooked</w:t>
      </w:r>
      <w:r w:rsidRPr="00B740B4">
        <w:t>:</w:t>
      </w:r>
      <w:r w:rsidR="00A760A1" w:rsidRPr="00B740B4">
        <w:t xml:space="preserve"> see Lev 11; Deut 12:23–25; compare the fear expressed in</w:t>
      </w:r>
      <w:r w:rsidR="000265D7" w:rsidRPr="00B740B4">
        <w:t xml:space="preserve"> Ezek 4:9–17 (esp.</w:t>
      </w:r>
      <w:r w:rsidRPr="00B740B4">
        <w:t xml:space="preserve"> v 14), in the exile; 1 Macc 1:47, 62–63; 2 Macc 6:18–7:42, during the Antiochene persecution (cf. 4 Macc 5; Acts 15:20, 29). But the reference to wine as well as meat suggests this </w:t>
      </w:r>
      <w:r w:rsidR="00B26485">
        <w:t>concern</w:t>
      </w:r>
      <w:r w:rsidR="00A760A1" w:rsidRPr="00B740B4">
        <w:t xml:space="preserve"> </w:t>
      </w:r>
      <w:r w:rsidRPr="00B740B4">
        <w:t xml:space="preserve">is not the </w:t>
      </w:r>
      <w:r w:rsidR="00B26485">
        <w:t>focus</w:t>
      </w:r>
      <w:r w:rsidRPr="00B740B4">
        <w:t xml:space="preserve">. </w:t>
      </w:r>
      <w:r w:rsidR="00A760A1" w:rsidRPr="00B740B4">
        <w:t>To suggest that Daniel exemplifies</w:t>
      </w:r>
      <w:r w:rsidRPr="00B740B4">
        <w:t xml:space="preserve"> </w:t>
      </w:r>
      <w:r w:rsidR="00934A11" w:rsidRPr="00B740B4">
        <w:t>“</w:t>
      </w:r>
      <w:r w:rsidRPr="00B740B4">
        <w:t>the most minute at</w:t>
      </w:r>
      <w:r w:rsidR="00A760A1" w:rsidRPr="00B740B4">
        <w:t>tention to the Divine Law</w:t>
      </w:r>
      <w:r w:rsidR="00934A11" w:rsidRPr="00B740B4">
        <w:t>”</w:t>
      </w:r>
      <w:r w:rsidR="00A760A1" w:rsidRPr="00B740B4">
        <w:rPr>
          <w:rStyle w:val="FootnoteReference"/>
        </w:rPr>
        <w:footnoteReference w:id="312"/>
      </w:r>
      <w:r w:rsidR="00B26485">
        <w:t xml:space="preserve"> reads</w:t>
      </w:r>
      <w:r w:rsidR="00A760A1" w:rsidRPr="00B740B4">
        <w:t xml:space="preserve"> into Daniel a law-centered piety of which there is no evidence in the context to which Daniel belongs</w:t>
      </w:r>
      <w:r w:rsidRPr="00B740B4">
        <w:t xml:space="preserve">. If Daniel is concerned about </w:t>
      </w:r>
      <w:r w:rsidR="00934A11" w:rsidRPr="00B740B4">
        <w:t>“</w:t>
      </w:r>
      <w:r w:rsidR="00B53F9B" w:rsidRPr="00B740B4">
        <w:t>the L</w:t>
      </w:r>
      <w:r w:rsidRPr="00B740B4">
        <w:t>aw</w:t>
      </w:r>
      <w:r w:rsidR="00934A11" w:rsidRPr="00B740B4">
        <w:t>”</w:t>
      </w:r>
      <w:r w:rsidRPr="00B740B4">
        <w:t xml:space="preserve"> (the term does not appear here), it is only in the broad sense of Israel’s religion.</w:t>
      </w:r>
    </w:p>
    <w:p w:rsidR="00B27480" w:rsidRPr="00B740B4" w:rsidRDefault="00B27480" w:rsidP="00B27480">
      <w:r w:rsidRPr="00B740B4">
        <w:t>(c) Meat and wine is festival food, and abstaining from it is a sign of mourning or p</w:t>
      </w:r>
      <w:r w:rsidR="00B26485">
        <w:t>enitence;it</w:t>
      </w:r>
      <w:r w:rsidRPr="00B740B4">
        <w:t xml:space="preserve"> would be appropriate in exile: cf. 10:3; Isa 22:13; </w:t>
      </w:r>
      <w:r w:rsidR="00A760A1" w:rsidRPr="00B740B4">
        <w:rPr>
          <w:i/>
        </w:rPr>
        <w:t>T. Reuben</w:t>
      </w:r>
      <w:r w:rsidRPr="00B740B4">
        <w:t xml:space="preserve"> 1.10; </w:t>
      </w:r>
      <w:r w:rsidR="00A760A1" w:rsidRPr="00B740B4">
        <w:rPr>
          <w:i/>
        </w:rPr>
        <w:t>T. Judah</w:t>
      </w:r>
      <w:r w:rsidRPr="00B740B4">
        <w:t xml:space="preserve"> 15.4. Further, meat and wine </w:t>
      </w:r>
      <w:r w:rsidRPr="00B740B4">
        <w:lastRenderedPageBreak/>
        <w:t>suggest food fit for nobility, whereas the four young men ask for peasant food. But this understanding would not account for Daniel’s reference to defilement.</w:t>
      </w:r>
    </w:p>
    <w:p w:rsidR="00B27480" w:rsidRPr="00B740B4" w:rsidRDefault="00B27480" w:rsidP="00B27480">
      <w:r w:rsidRPr="00B740B4">
        <w:t>(d) Abstention from meat and wine was an ascetic practice among various groups,</w:t>
      </w:r>
      <w:r w:rsidR="00976DC2">
        <w:t xml:space="preserve"> including the Essenes and the ḥ</w:t>
      </w:r>
      <w:r w:rsidRPr="00B740B4">
        <w:t>asidim.</w:t>
      </w:r>
      <w:r w:rsidR="0021234F" w:rsidRPr="00B740B4">
        <w:rPr>
          <w:rStyle w:val="FootnoteReference"/>
        </w:rPr>
        <w:footnoteReference w:id="313"/>
      </w:r>
      <w:r w:rsidRPr="00B740B4">
        <w:t xml:space="preserve"> One reason for such abstention is preparation for a divine revelation (2 Esd 9:24; 12:51)</w:t>
      </w:r>
      <w:r w:rsidR="0021234F" w:rsidRPr="00B740B4">
        <w:t>.</w:t>
      </w:r>
      <w:r w:rsidR="0021234F" w:rsidRPr="00B740B4">
        <w:rPr>
          <w:rStyle w:val="FootnoteReference"/>
        </w:rPr>
        <w:footnoteReference w:id="314"/>
      </w:r>
      <w:r w:rsidRPr="00B740B4">
        <w:t xml:space="preserve"> Yet no such ascetic significance is attached to Daniel’s self-denial here; contrast 10:2–3, where he takes on a similar diet in the course of seeking a word from God (see also 9:3</w:t>
      </w:r>
      <w:r w:rsidR="00BB282B" w:rsidRPr="00B740B4">
        <w:t>)</w:t>
      </w:r>
      <w:r w:rsidRPr="00B740B4">
        <w:t>.</w:t>
      </w:r>
      <w:r w:rsidR="00BB282B" w:rsidRPr="00B740B4">
        <w:rPr>
          <w:rStyle w:val="FootnoteReference"/>
        </w:rPr>
        <w:footnoteReference w:id="315"/>
      </w:r>
      <w:r w:rsidRPr="00B740B4">
        <w:t xml:space="preserve"> Daniel is not refraining from something good in order to seek God, but refraining from so</w:t>
      </w:r>
      <w:r w:rsidR="00BB282B" w:rsidRPr="00B740B4">
        <w:t xml:space="preserve">mething incompatible with commitment </w:t>
      </w:r>
      <w:r w:rsidR="00B53F9B" w:rsidRPr="00B740B4">
        <w:t xml:space="preserve">to </w:t>
      </w:r>
      <w:r w:rsidR="00BB282B" w:rsidRPr="00B740B4">
        <w:t>God</w:t>
      </w:r>
      <w:r w:rsidRPr="00B740B4">
        <w:t>; he is not seeking an inner freedom, but an outward distinctiveness.</w:t>
      </w:r>
    </w:p>
    <w:p w:rsidR="00B27480" w:rsidRPr="00B740B4" w:rsidRDefault="00B27480" w:rsidP="00B27480">
      <w:r w:rsidRPr="00B740B4">
        <w:t>(e) Accepting the king’s provisions would indicate dependence on him, entry into a covenant-style relationship with him, becoming his courtiers, and acce</w:t>
      </w:r>
      <w:r w:rsidR="00BB282B" w:rsidRPr="00B740B4">
        <w:t>pting a commitment to supporting</w:t>
      </w:r>
      <w:r w:rsidRPr="00B740B4">
        <w:t xml:space="preserve"> him as he supp</w:t>
      </w:r>
      <w:r w:rsidR="0021234F" w:rsidRPr="00B740B4">
        <w:t>orted them (cf. 11:26)</w:t>
      </w:r>
      <w:r w:rsidRPr="00B740B4">
        <w:t>.</w:t>
      </w:r>
      <w:r w:rsidR="0021234F" w:rsidRPr="00B740B4">
        <w:rPr>
          <w:rStyle w:val="FootnoteReference"/>
        </w:rPr>
        <w:footnoteReference w:id="316"/>
      </w:r>
      <w:r w:rsidRPr="00B740B4">
        <w:t xml:space="preserve"> </w:t>
      </w:r>
      <w:r w:rsidR="00934A11" w:rsidRPr="00B740B4">
        <w:t>“</w:t>
      </w:r>
      <w:r w:rsidR="00912ADB" w:rsidRPr="00B740B4">
        <w:t>Control of food… is symbolic of power.</w:t>
      </w:r>
      <w:r w:rsidR="00934A11" w:rsidRPr="00B740B4">
        <w:t>”</w:t>
      </w:r>
      <w:r w:rsidR="00912ADB" w:rsidRPr="00B740B4">
        <w:rPr>
          <w:rStyle w:val="FootnoteReference"/>
        </w:rPr>
        <w:footnoteReference w:id="317"/>
      </w:r>
      <w:r w:rsidR="00912ADB" w:rsidRPr="00B740B4">
        <w:t xml:space="preserve"> </w:t>
      </w:r>
      <w:r w:rsidRPr="00B740B4">
        <w:t>But it is not clear why this should be spoken of</w:t>
      </w:r>
      <w:r w:rsidR="00BB282B" w:rsidRPr="00B740B4">
        <w:t xml:space="preserve"> as defilement; and anyway, the young men</w:t>
      </w:r>
      <w:r w:rsidRPr="00B740B4">
        <w:t xml:space="preserve"> </w:t>
      </w:r>
      <w:r w:rsidRPr="00B740B4">
        <w:rPr>
          <w:i/>
        </w:rPr>
        <w:t>do</w:t>
      </w:r>
      <w:r w:rsidRPr="00B740B4">
        <w:t xml:space="preserve"> accept a position as the king’s courtiers.</w:t>
      </w:r>
    </w:p>
    <w:p w:rsidR="00B27480" w:rsidRPr="00B740B4" w:rsidRDefault="00B27480" w:rsidP="00B27480">
      <w:r w:rsidRPr="00B740B4">
        <w:t>(f) The Mishnah infers from Lev 11:37–38 that grain does not become unclean through contact with meat as long as the grain is kept dry (</w:t>
      </w:r>
      <w:r w:rsidRPr="00B740B4">
        <w:rPr>
          <w:i/>
        </w:rPr>
        <w:t>Makshirin</w:t>
      </w:r>
      <w:r w:rsidRPr="00B740B4">
        <w:t xml:space="preserve"> 1:1; </w:t>
      </w:r>
      <w:r w:rsidR="00356CA7" w:rsidRPr="00B740B4">
        <w:rPr>
          <w:i/>
        </w:rPr>
        <w:t>Uqts</w:t>
      </w:r>
      <w:r w:rsidRPr="00B740B4">
        <w:rPr>
          <w:i/>
        </w:rPr>
        <w:t>in</w:t>
      </w:r>
      <w:r w:rsidRPr="00B740B4">
        <w:t xml:space="preserve"> 3:1; with Danby’s notes). But it is not clear that Lev 11:37–38 refers to grain for eating or that Daniel alludes to that understanding of it.</w:t>
      </w:r>
    </w:p>
    <w:p w:rsidR="0058073A" w:rsidRPr="00B740B4" w:rsidRDefault="00B27480" w:rsidP="00B27480">
      <w:r w:rsidRPr="00B740B4">
        <w:t>(g) Pagan food an</w:t>
      </w:r>
      <w:r w:rsidR="009A38DE" w:rsidRPr="00B740B4">
        <w:t>d drink may simply epitomize that</w:t>
      </w:r>
      <w:r w:rsidRPr="00B740B4">
        <w:t xml:space="preserve"> pagan uncleanness associated with exile (cf. Isa 52:11). </w:t>
      </w:r>
    </w:p>
    <w:p w:rsidR="00B27480" w:rsidRPr="00B740B4" w:rsidRDefault="0058073A" w:rsidP="00DB24F3">
      <w:r w:rsidRPr="00B740B4">
        <w:t xml:space="preserve">(h) More generally, </w:t>
      </w:r>
      <w:r w:rsidR="00B27480" w:rsidRPr="00B740B4">
        <w:t>what we eat and drink, like what we w</w:t>
      </w:r>
      <w:r w:rsidR="009A38DE" w:rsidRPr="00B740B4">
        <w:t>ear and how we speak, commonly constitute</w:t>
      </w:r>
      <w:r w:rsidR="00B27480" w:rsidRPr="00B740B4">
        <w:t xml:space="preserve"> an outward expression of our self</w:t>
      </w:r>
      <w:r w:rsidR="009A38DE" w:rsidRPr="00B740B4">
        <w:t>-identity and commitments. They</w:t>
      </w:r>
      <w:r w:rsidR="00B27480" w:rsidRPr="00B740B4">
        <w:t xml:space="preserve"> are particularly significant for groups in exile or under persecution</w:t>
      </w:r>
      <w:r w:rsidR="009A38DE" w:rsidRPr="00B740B4">
        <w:t>.</w:t>
      </w:r>
      <w:r w:rsidR="009A38DE" w:rsidRPr="00B740B4">
        <w:rPr>
          <w:rStyle w:val="FootnoteReference"/>
        </w:rPr>
        <w:footnoteReference w:id="318"/>
      </w:r>
      <w:r w:rsidR="00B27480" w:rsidRPr="00B740B4">
        <w:t xml:space="preserve"> </w:t>
      </w:r>
      <w:r w:rsidR="00DB24F3" w:rsidRPr="00B740B4">
        <w:rPr>
          <w:rFonts w:eastAsiaTheme="minorHAnsi" w:cs="Times New Roman"/>
          <w:iCs/>
        </w:rPr>
        <w:t>In this “liminal phase” of their preparation for service in the Babylonian court the Judahites create a strategy to sustain their identity.</w:t>
      </w:r>
      <w:r w:rsidR="00DB24F3" w:rsidRPr="00B740B4">
        <w:rPr>
          <w:rStyle w:val="FootnoteReference"/>
          <w:rFonts w:eastAsiaTheme="minorHAnsi" w:cs="Times New Roman"/>
          <w:iCs/>
        </w:rPr>
        <w:footnoteReference w:id="319"/>
      </w:r>
      <w:r w:rsidR="00DB24F3" w:rsidRPr="00B740B4">
        <w:rPr>
          <w:rFonts w:eastAsiaTheme="minorHAnsi" w:cs="Times New Roman"/>
          <w:iCs/>
        </w:rPr>
        <w:t xml:space="preserve"> </w:t>
      </w:r>
      <w:r w:rsidR="00FA3BDB">
        <w:t xml:space="preserve">Daniel’s abstinence </w:t>
      </w:r>
      <w:r w:rsidR="00B27480" w:rsidRPr="00B740B4">
        <w:t>symbolizes his avoiding assimilation.</w:t>
      </w:r>
    </w:p>
    <w:p w:rsidR="00B53F9B" w:rsidRPr="00B740B4" w:rsidRDefault="00B27480" w:rsidP="00B27480">
      <w:r w:rsidRPr="00B740B4">
        <w:rPr>
          <w:b/>
        </w:rPr>
        <w:t>9–14</w:t>
      </w:r>
      <w:r w:rsidRPr="00B740B4">
        <w:t xml:space="preserve"> The romance and scriptural motif of the hero in exile getting on su</w:t>
      </w:r>
      <w:r w:rsidR="001F5F04" w:rsidRPr="00B740B4">
        <w:t>rprisingly good terms with imperial</w:t>
      </w:r>
      <w:r w:rsidRPr="00B740B4">
        <w:t xml:space="preserve"> officials (see </w:t>
      </w:r>
      <w:r w:rsidRPr="00B740B4">
        <w:rPr>
          <w:i/>
        </w:rPr>
        <w:t>Form</w:t>
      </w:r>
      <w:r w:rsidRPr="00B740B4">
        <w:t>) perhaps contrasted with the usual experience of ordinary people in general an</w:t>
      </w:r>
      <w:r w:rsidR="001F5F04" w:rsidRPr="00B740B4">
        <w:t>d of Judahite</w:t>
      </w:r>
      <w:r w:rsidRPr="00B740B4">
        <w:t>s in particular, and was thus appreciated as expressing what such people would like to experience.</w:t>
      </w:r>
      <w:r w:rsidR="003435AF" w:rsidRPr="00B740B4">
        <w:rPr>
          <w:rStyle w:val="FootnoteReference"/>
        </w:rPr>
        <w:footnoteReference w:id="320"/>
      </w:r>
      <w:r w:rsidRPr="00B740B4">
        <w:t xml:space="preserve"> </w:t>
      </w:r>
      <w:r w:rsidR="00B53F9B" w:rsidRPr="00B740B4">
        <w:t>It was rea</w:t>
      </w:r>
      <w:r w:rsidR="009A38DE" w:rsidRPr="00B740B4">
        <w:t>lly his own head that Daniel was risking</w:t>
      </w:r>
      <w:r w:rsidRPr="00B740B4">
        <w:t>.</w:t>
      </w:r>
      <w:r w:rsidR="00334E57" w:rsidRPr="00B740B4">
        <w:rPr>
          <w:rStyle w:val="FootnoteReference"/>
        </w:rPr>
        <w:footnoteReference w:id="321"/>
      </w:r>
      <w:r w:rsidRPr="00B740B4">
        <w:t xml:space="preserve"> </w:t>
      </w:r>
    </w:p>
    <w:p w:rsidR="00B27480" w:rsidRPr="00B740B4" w:rsidRDefault="00B27480" w:rsidP="00B27480">
      <w:r w:rsidRPr="00B740B4">
        <w:t xml:space="preserve">The reply </w:t>
      </w:r>
      <w:r w:rsidR="009A38DE" w:rsidRPr="00B740B4">
        <w:t xml:space="preserve">by the head of staff </w:t>
      </w:r>
      <w:r w:rsidRPr="00B740B4">
        <w:t xml:space="preserve">(v 10) need not constitute a refusal: it raises a problem, but </w:t>
      </w:r>
      <w:r w:rsidR="009A38DE" w:rsidRPr="00B740B4">
        <w:t xml:space="preserve">it </w:t>
      </w:r>
      <w:r w:rsidRPr="00B740B4">
        <w:t xml:space="preserve">leaves open the possibility of agreeing to Daniel’s request if the problem can be overcome. Its implication then is, </w:t>
      </w:r>
      <w:r w:rsidR="00934A11" w:rsidRPr="00B740B4">
        <w:t>“</w:t>
      </w:r>
      <w:r w:rsidRPr="00B740B4">
        <w:t>Yes, if it doesn’t involve me and if it doesn’t make the king ask questions.</w:t>
      </w:r>
      <w:r w:rsidR="00934A11" w:rsidRPr="00B740B4">
        <w:t>”</w:t>
      </w:r>
      <w:r w:rsidR="0040621D" w:rsidRPr="00B740B4">
        <w:rPr>
          <w:vertAlign w:val="superscript"/>
        </w:rPr>
        <w:t xml:space="preserve"> </w:t>
      </w:r>
      <w:r w:rsidR="0040621D" w:rsidRPr="00B740B4">
        <w:rPr>
          <w:vertAlign w:val="superscript"/>
        </w:rPr>
        <w:footnoteReference w:id="322"/>
      </w:r>
      <w:r w:rsidR="00B53F9B" w:rsidRPr="00B740B4">
        <w:t xml:space="preserve"> Vv</w:t>
      </w:r>
      <w:r w:rsidRPr="00B740B4">
        <w:t xml:space="preserve"> 11–15 meet these conditi</w:t>
      </w:r>
      <w:r w:rsidR="009A38DE" w:rsidRPr="00B740B4">
        <w:t xml:space="preserve">ons. Talk of </w:t>
      </w:r>
      <w:r w:rsidRPr="00B740B4">
        <w:t>forfeit</w:t>
      </w:r>
      <w:r w:rsidR="00B53F9B" w:rsidRPr="00B740B4">
        <w:t>ing one’s head to the king</w:t>
      </w:r>
      <w:r w:rsidR="009A38DE" w:rsidRPr="00B740B4">
        <w:t xml:space="preserve"> could be metaphorical, like the expression</w:t>
      </w:r>
      <w:r w:rsidRPr="00B740B4">
        <w:t xml:space="preserve"> </w:t>
      </w:r>
      <w:r w:rsidR="00934A11" w:rsidRPr="00B740B4">
        <w:t>“</w:t>
      </w:r>
      <w:r w:rsidRPr="00B740B4">
        <w:t>on your head be it</w:t>
      </w:r>
      <w:r w:rsidR="00F57393" w:rsidRPr="00B740B4">
        <w:t>.</w:t>
      </w:r>
      <w:r w:rsidR="00934A11" w:rsidRPr="00B740B4">
        <w:t>”</w:t>
      </w:r>
      <w:r w:rsidR="00F57393" w:rsidRPr="00B740B4">
        <w:t xml:space="preserve"> B</w:t>
      </w:r>
      <w:r w:rsidR="009A38DE" w:rsidRPr="00B740B4">
        <w:t xml:space="preserve">ut in </w:t>
      </w:r>
      <w:r w:rsidRPr="00B740B4">
        <w:t>light of the picture of Nebuchadnezzar in 2:12; 3:19–20, it is entirely reasonable</w:t>
      </w:r>
      <w:r w:rsidR="00F57393" w:rsidRPr="00B740B4">
        <w:t xml:space="preserve"> to take the fear literally</w:t>
      </w:r>
      <w:r w:rsidR="00624101" w:rsidRPr="00B740B4">
        <w:t xml:space="preserve">, as Syr does </w:t>
      </w:r>
      <w:r w:rsidR="00423485">
        <w:t>with its “cut off my head”</w:t>
      </w:r>
      <w:r w:rsidR="00F57393" w:rsidRPr="00B740B4">
        <w:t>; compare</w:t>
      </w:r>
      <w:r w:rsidRPr="00B740B4">
        <w:t xml:space="preserve"> the Red Queen’s </w:t>
      </w:r>
      <w:r w:rsidR="00934A11" w:rsidRPr="00B740B4">
        <w:t>“</w:t>
      </w:r>
      <w:r w:rsidRPr="00B740B4">
        <w:t>Off with his head</w:t>
      </w:r>
      <w:r w:rsidR="00934A11" w:rsidRPr="00B740B4">
        <w:t>”</w:t>
      </w:r>
      <w:r w:rsidRPr="00B740B4">
        <w:t xml:space="preserve"> in Lewis Carroll’s </w:t>
      </w:r>
      <w:r w:rsidRPr="00B740B4">
        <w:rPr>
          <w:i/>
        </w:rPr>
        <w:t>Alice in Wonderland</w:t>
      </w:r>
      <w:r w:rsidRPr="00B740B4">
        <w:t>.</w:t>
      </w:r>
    </w:p>
    <w:p w:rsidR="00B27480" w:rsidRPr="00B740B4" w:rsidRDefault="00F57393" w:rsidP="00B27480">
      <w:r w:rsidRPr="00B740B4">
        <w:t>T</w:t>
      </w:r>
      <w:r w:rsidR="00B27480" w:rsidRPr="00B740B4">
        <w:t>here are few biblical references to or stories about people testing other people</w:t>
      </w:r>
      <w:r w:rsidR="00CB5131" w:rsidRPr="00B740B4">
        <w:t xml:space="preserve"> (v</w:t>
      </w:r>
      <w:r w:rsidRPr="00B740B4">
        <w:t xml:space="preserve"> </w:t>
      </w:r>
      <w:r w:rsidR="00CB5131" w:rsidRPr="00B740B4">
        <w:t>11-</w:t>
      </w:r>
      <w:r w:rsidRPr="00B740B4">
        <w:t>12)</w:t>
      </w:r>
      <w:r w:rsidR="00B27480" w:rsidRPr="00B740B4">
        <w:t>. For</w:t>
      </w:r>
      <w:r w:rsidR="006D7923" w:rsidRPr="00B740B4">
        <w:t xml:space="preserve"> </w:t>
      </w:r>
      <w:r w:rsidR="006D7923" w:rsidRPr="00B740B4">
        <w:rPr>
          <w:rFonts w:ascii="Arial" w:hAnsi="Arial" w:cs="Arial"/>
        </w:rPr>
        <w:t>נסה</w:t>
      </w:r>
      <w:r w:rsidRPr="00B740B4">
        <w:t xml:space="preserve">, there is </w:t>
      </w:r>
      <w:r w:rsidR="00B27480" w:rsidRPr="00B740B4">
        <w:t xml:space="preserve">only </w:t>
      </w:r>
      <w:r w:rsidRPr="00B740B4">
        <w:t>1 Kgs 10:1 = 2 Chr 9:1, though</w:t>
      </w:r>
      <w:r w:rsidR="00B27480" w:rsidRPr="00B740B4">
        <w:t xml:space="preserve"> also </w:t>
      </w:r>
      <w:r w:rsidR="00B27480" w:rsidRPr="00B740B4">
        <w:rPr>
          <w:rFonts w:ascii="Arial" w:hAnsi="Arial" w:cs="Arial"/>
        </w:rPr>
        <w:t>בחן</w:t>
      </w:r>
      <w:r w:rsidR="00B27480" w:rsidRPr="00B740B4">
        <w:t xml:space="preserve"> in the Joseph story (Gen 42:15–16). </w:t>
      </w:r>
      <w:r w:rsidR="00934A11" w:rsidRPr="00B740B4">
        <w:t>“</w:t>
      </w:r>
      <w:r w:rsidRPr="00B740B4">
        <w:t>Ten days</w:t>
      </w:r>
      <w:r w:rsidR="00934A11" w:rsidRPr="00B740B4">
        <w:t>”</w:t>
      </w:r>
      <w:r w:rsidRPr="00B740B4">
        <w:t xml:space="preserve"> </w:t>
      </w:r>
      <w:r w:rsidRPr="00B740B4">
        <w:lastRenderedPageBreak/>
        <w:t xml:space="preserve">does not imply that ten is </w:t>
      </w:r>
      <w:r w:rsidR="00B27480" w:rsidRPr="00B740B4">
        <w:t>a symbolic number, nor is ten days a common period for a trial.</w:t>
      </w:r>
      <w:r w:rsidRPr="00B740B4">
        <w:rPr>
          <w:rStyle w:val="FootnoteReference"/>
        </w:rPr>
        <w:footnoteReference w:id="323"/>
      </w:r>
      <w:r w:rsidR="00B27480" w:rsidRPr="00B740B4">
        <w:t xml:space="preserve"> Ten is merely a standard round number (cf. v 18; 7:7; Gen 31:7; Num 14:22; Neh 4:12; Job 19:3; Zech 8:23; </w:t>
      </w:r>
      <w:r w:rsidR="004F3E09">
        <w:rPr>
          <w:i/>
        </w:rPr>
        <w:t>Jub</w:t>
      </w:r>
      <w:r w:rsidR="000F280F">
        <w:rPr>
          <w:i/>
        </w:rPr>
        <w:t>ilees</w:t>
      </w:r>
      <w:r w:rsidR="004F3E09">
        <w:rPr>
          <w:i/>
        </w:rPr>
        <w:t xml:space="preserve"> </w:t>
      </w:r>
      <w:r w:rsidR="00B27480" w:rsidRPr="00B740B4">
        <w:t xml:space="preserve">19.8; </w:t>
      </w:r>
      <w:r w:rsidRPr="00B740B4">
        <w:rPr>
          <w:i/>
        </w:rPr>
        <w:t>T. Joseph</w:t>
      </w:r>
      <w:r w:rsidR="00B27480" w:rsidRPr="00B740B4">
        <w:t xml:space="preserve"> 2.7; </w:t>
      </w:r>
      <w:r w:rsidRPr="00B740B4">
        <w:rPr>
          <w:i/>
        </w:rPr>
        <w:t>m. Abot</w:t>
      </w:r>
      <w:r w:rsidR="00B27480" w:rsidRPr="00B740B4">
        <w:t xml:space="preserve"> 5.1–6) and ten days simply suggests a period short enough not to arouse suspicion yet long enough for effects to be seen (cf. Gen 24:55).</w:t>
      </w:r>
      <w:r w:rsidR="003435AF" w:rsidRPr="00B740B4">
        <w:rPr>
          <w:rStyle w:val="FootnoteReference"/>
        </w:rPr>
        <w:footnoteReference w:id="324"/>
      </w:r>
      <w:r w:rsidRPr="00B740B4">
        <w:t xml:space="preserve"> </w:t>
      </w:r>
    </w:p>
    <w:p w:rsidR="00B27480" w:rsidRPr="00B740B4" w:rsidRDefault="00B27480" w:rsidP="00B27480">
      <w:r w:rsidRPr="00B740B4">
        <w:rPr>
          <w:b/>
        </w:rPr>
        <w:t>15–16</w:t>
      </w:r>
      <w:r w:rsidR="00F57393" w:rsidRPr="00B740B4">
        <w:t xml:space="preserve"> I</w:t>
      </w:r>
      <w:r w:rsidRPr="00B740B4">
        <w:t xml:space="preserve">n </w:t>
      </w:r>
      <w:r w:rsidR="00F57393" w:rsidRPr="00B740B4">
        <w:rPr>
          <w:i/>
        </w:rPr>
        <w:t>T. Joseph</w:t>
      </w:r>
      <w:r w:rsidRPr="00B740B4">
        <w:t xml:space="preserve"> 3.4 </w:t>
      </w:r>
      <w:r w:rsidR="00F57393" w:rsidRPr="00B740B4">
        <w:t xml:space="preserve">Joseph confesses, </w:t>
      </w:r>
      <w:r w:rsidR="00934A11" w:rsidRPr="00B740B4">
        <w:t>“</w:t>
      </w:r>
      <w:r w:rsidRPr="00B740B4">
        <w:t>I fasted for those seven years, and seemed to the Egyptians like someone who was living richly, for those who fast for God’s sake receive graciousness of countenance</w:t>
      </w:r>
      <w:r w:rsidR="00A45700" w:rsidRPr="00B740B4">
        <w:t>.</w:t>
      </w:r>
      <w:r w:rsidR="00934A11" w:rsidRPr="00B740B4">
        <w:t>”</w:t>
      </w:r>
      <w:r w:rsidRPr="00B740B4">
        <w:t xml:space="preserve"> The language itself corresponds closely and uniquely to that used to describe the cattle in Gen 41:2, 18!</w:t>
      </w:r>
      <w:r w:rsidR="002E3F9B" w:rsidRPr="00B740B4">
        <w:t xml:space="preserve"> </w:t>
      </w:r>
    </w:p>
    <w:p w:rsidR="00B27480" w:rsidRPr="00B740B4" w:rsidRDefault="00B27480" w:rsidP="00B27480">
      <w:r w:rsidRPr="00B740B4">
        <w:rPr>
          <w:b/>
        </w:rPr>
        <w:t>17–20</w:t>
      </w:r>
      <w:r w:rsidRPr="00B740B4">
        <w:t xml:space="preserve"> The resumptive opening to v 17 indicates that panel 2B begins here; v 17 does not follow from v 16 as a reward of faithfulness or a fruit of asceticism—indeed the endowments of v 1</w:t>
      </w:r>
      <w:r w:rsidR="00B53F9B" w:rsidRPr="00B740B4">
        <w:t>7 may have been given earlier. One would have assumed that i</w:t>
      </w:r>
      <w:r w:rsidRPr="00B740B4">
        <w:t>n v 4 the terms</w:t>
      </w:r>
      <w:r w:rsidR="00A45700" w:rsidRPr="00B740B4">
        <w:t xml:space="preserve"> for</w:t>
      </w:r>
      <w:r w:rsidRPr="00B740B4">
        <w:t xml:space="preserve"> </w:t>
      </w:r>
      <w:r w:rsidR="00A45700" w:rsidRPr="00B740B4">
        <w:t>k</w:t>
      </w:r>
      <w:r w:rsidR="008E244C">
        <w:t>nowledge, discernment, expertise</w:t>
      </w:r>
      <w:r w:rsidR="00A45700" w:rsidRPr="00B740B4">
        <w:t xml:space="preserve">, and insight </w:t>
      </w:r>
      <w:r w:rsidRPr="00B740B4">
        <w:t>refer</w:t>
      </w:r>
      <w:r w:rsidR="00A45700" w:rsidRPr="00B740B4">
        <w:t>red</w:t>
      </w:r>
      <w:r w:rsidRPr="00B740B4">
        <w:t xml:space="preserve"> to </w:t>
      </w:r>
      <w:r w:rsidR="00A45700" w:rsidRPr="00B740B4">
        <w:t xml:space="preserve">something </w:t>
      </w:r>
      <w:r w:rsidRPr="00B740B4">
        <w:t>rat</w:t>
      </w:r>
      <w:r w:rsidR="00A45700" w:rsidRPr="00B740B4">
        <w:t>ional, e</w:t>
      </w:r>
      <w:r w:rsidR="00836AD5">
        <w:t>xperiential, and administrative. Thus the term for expertise, conventionally translated “wisdom,” commonly denotes “a matrix of qualities including aptitude, technical skill, intuitive good sense, and experience—demonstrated, for instance, in navigating a ship in open waters or crafting fine art from metal, wood, or precious stones.”</w:t>
      </w:r>
      <w:r w:rsidR="008E244C">
        <w:rPr>
          <w:rStyle w:val="FootnoteReference"/>
        </w:rPr>
        <w:footnoteReference w:id="325"/>
      </w:r>
      <w:r w:rsidR="008E244C">
        <w:t xml:space="preserve"> But expertise and insight now suggest</w:t>
      </w:r>
      <w:r w:rsidRPr="00B740B4">
        <w:t xml:space="preserve"> supernaturally revealed </w:t>
      </w:r>
      <w:r w:rsidR="00A45700" w:rsidRPr="00B740B4">
        <w:t>understanding</w:t>
      </w:r>
      <w:r w:rsidRPr="00B740B4">
        <w:t>, and in this connection they will be key terms i</w:t>
      </w:r>
      <w:r w:rsidR="00A45700" w:rsidRPr="00B740B4">
        <w:t>n following chapters. The</w:t>
      </w:r>
      <w:r w:rsidRPr="00B740B4">
        <w:t xml:space="preserve"> ideal</w:t>
      </w:r>
      <w:r w:rsidR="00A45700" w:rsidRPr="00B740B4">
        <w:t>s of court and school are</w:t>
      </w:r>
      <w:r w:rsidRPr="00B740B4">
        <w:t xml:space="preserve"> thus brought into contact with a characterization of Dani</w:t>
      </w:r>
      <w:r w:rsidR="009D0C1C" w:rsidRPr="00B740B4">
        <w:t>el as a man of revelatory insight</w:t>
      </w:r>
      <w:r w:rsidR="00A45700" w:rsidRPr="00B740B4">
        <w:t xml:space="preserve"> or </w:t>
      </w:r>
      <w:r w:rsidR="00934A11" w:rsidRPr="00B740B4">
        <w:t>“</w:t>
      </w:r>
      <w:r w:rsidR="00A45700" w:rsidRPr="00B740B4">
        <w:t>mantic wisdom.</w:t>
      </w:r>
      <w:r w:rsidR="00934A11" w:rsidRPr="00B740B4">
        <w:t>”</w:t>
      </w:r>
      <w:r w:rsidR="003435AF" w:rsidRPr="00B740B4">
        <w:rPr>
          <w:rStyle w:val="FootnoteReference"/>
        </w:rPr>
        <w:footnoteReference w:id="326"/>
      </w:r>
      <w:r w:rsidR="00A45700" w:rsidRPr="00B740B4">
        <w:t xml:space="preserve"> The story</w:t>
      </w:r>
      <w:r w:rsidRPr="00B740B4">
        <w:t xml:space="preserve"> hardly sees visions and dreams</w:t>
      </w:r>
      <w:r w:rsidR="003435AF" w:rsidRPr="00B740B4">
        <w:t xml:space="preserve"> as a lower gift than prophecy</w:t>
      </w:r>
      <w:r w:rsidRPr="00B740B4">
        <w:t>;</w:t>
      </w:r>
      <w:r w:rsidR="003435AF" w:rsidRPr="00B740B4">
        <w:rPr>
          <w:rStyle w:val="FootnoteReference"/>
        </w:rPr>
        <w:footnoteReference w:id="327"/>
      </w:r>
      <w:r w:rsidR="00A45700" w:rsidRPr="00B740B4">
        <w:t xml:space="preserve"> its stress lies</w:t>
      </w:r>
      <w:r w:rsidRPr="00B740B4">
        <w:t xml:space="preserve"> on the excellence of what Daniel is given, which parallels the experienc</w:t>
      </w:r>
      <w:r w:rsidR="009D0C1C" w:rsidRPr="00B740B4">
        <w:t>e of Joseph and other heroes</w:t>
      </w:r>
      <w:r w:rsidRPr="00B740B4">
        <w:t>, and corresponds to the demands of the contexts in which Daniel has to function.</w:t>
      </w:r>
      <w:r w:rsidR="003435AF" w:rsidRPr="00B740B4">
        <w:rPr>
          <w:rStyle w:val="FootnoteReference"/>
        </w:rPr>
        <w:footnoteReference w:id="328"/>
      </w:r>
      <w:r w:rsidR="00A45700" w:rsidRPr="00B740B4">
        <w:t xml:space="preserve"> One might</w:t>
      </w:r>
      <w:r w:rsidRPr="00B740B4">
        <w:t xml:space="preserve"> also </w:t>
      </w:r>
      <w:r w:rsidR="00A45700" w:rsidRPr="00B740B4">
        <w:t>compare</w:t>
      </w:r>
      <w:r w:rsidR="000F280F">
        <w:t xml:space="preserve"> </w:t>
      </w:r>
      <w:r w:rsidRPr="00B740B4">
        <w:t>the description of a prophet in Num 12:6.</w:t>
      </w:r>
      <w:r w:rsidR="000F280F">
        <w:t xml:space="preserve"> I</w:t>
      </w:r>
      <w:r w:rsidR="009D0C1C" w:rsidRPr="00B740B4">
        <w:t>f anything</w:t>
      </w:r>
      <w:r w:rsidR="000F280F">
        <w:t>,</w:t>
      </w:r>
      <w:r w:rsidR="009D0C1C" w:rsidRPr="00B740B4">
        <w:t xml:space="preserve"> the story</w:t>
      </w:r>
      <w:r w:rsidR="00A1155E" w:rsidRPr="00B740B4">
        <w:t xml:space="preserve"> implies that dream interpretation is the highest of the gifts.</w:t>
      </w:r>
      <w:r w:rsidR="00A1155E" w:rsidRPr="00B740B4">
        <w:rPr>
          <w:rStyle w:val="FootnoteReference"/>
        </w:rPr>
        <w:footnoteReference w:id="329"/>
      </w:r>
      <w:r w:rsidR="000F280F">
        <w:t xml:space="preserve"> </w:t>
      </w:r>
      <w:r w:rsidR="00A1155E" w:rsidRPr="00B740B4">
        <w:t>Jesus will in due course note that no one but</w:t>
      </w:r>
      <w:r w:rsidR="009D0C1C" w:rsidRPr="00B740B4">
        <w:t xml:space="preserve"> God’s Insight</w:t>
      </w:r>
      <w:r w:rsidR="00E96377" w:rsidRPr="00B740B4">
        <w:t xml:space="preserve"> has sent the prophets; prop</w:t>
      </w:r>
      <w:r w:rsidR="009D0C1C" w:rsidRPr="00B740B4">
        <w:t>hecy can be understood as insight, insight</w:t>
      </w:r>
      <w:r w:rsidR="00E96377" w:rsidRPr="00B740B4">
        <w:t xml:space="preserve"> as prophecy.</w:t>
      </w:r>
      <w:r w:rsidR="00E96377" w:rsidRPr="00B740B4">
        <w:rPr>
          <w:vertAlign w:val="superscript"/>
        </w:rPr>
        <w:footnoteReference w:id="330"/>
      </w:r>
    </w:p>
    <w:p w:rsidR="00B27480" w:rsidRPr="00B740B4" w:rsidRDefault="00B27480" w:rsidP="00B27480">
      <w:r w:rsidRPr="00B740B4">
        <w:rPr>
          <w:b/>
        </w:rPr>
        <w:t>21</w:t>
      </w:r>
      <w:r w:rsidRPr="00B740B4">
        <w:t xml:space="preserve"> The reference to </w:t>
      </w:r>
      <w:r w:rsidR="00E45228">
        <w:t>Cyrus’</w:t>
      </w:r>
      <w:r w:rsidRPr="00B740B4">
        <w:t xml:space="preserve"> first year may indicate that </w:t>
      </w:r>
      <w:r w:rsidR="00195715" w:rsidRPr="00B740B4">
        <w:t>chap.</w:t>
      </w:r>
      <w:r w:rsidRPr="00B740B4">
        <w:t xml:space="preserve"> 1 originally introduced not </w:t>
      </w:r>
      <w:r w:rsidR="00A45700" w:rsidRPr="00B740B4">
        <w:t xml:space="preserve">more than chaps. 1–9 (see 10:1; </w:t>
      </w:r>
      <w:r w:rsidRPr="00B740B4">
        <w:t>cf. Jer 1:1–3 in relation to less than the whole of Jeremiah). But the infer</w:t>
      </w:r>
      <w:r w:rsidR="009D0C1C" w:rsidRPr="00B740B4">
        <w:t>ence is hazardous, since</w:t>
      </w:r>
      <w:r w:rsidR="00A45700" w:rsidRPr="00B740B4">
        <w:t xml:space="preserve"> the </w:t>
      </w:r>
      <w:r w:rsidRPr="00B740B4">
        <w:t xml:space="preserve">concern </w:t>
      </w:r>
      <w:r w:rsidR="00A45700" w:rsidRPr="00B740B4">
        <w:t xml:space="preserve">of panel 1 </w:t>
      </w:r>
      <w:r w:rsidRPr="00B740B4">
        <w:t>is to reach from one</w:t>
      </w:r>
      <w:r w:rsidR="009D0C1C" w:rsidRPr="00B740B4">
        <w:t xml:space="preserve"> end to the other of Babylonian dominance.</w:t>
      </w:r>
      <w:r w:rsidRPr="00B740B4">
        <w:t xml:space="preserve"> </w:t>
      </w:r>
      <w:r w:rsidR="000F280F">
        <w:t>It compares with</w:t>
      </w:r>
      <w:r w:rsidR="009D0C1C" w:rsidRPr="00B740B4">
        <w:t xml:space="preserve"> </w:t>
      </w:r>
      <w:r w:rsidRPr="00B740B4">
        <w:t>2 Chr 36:20–23; Ezra 1, with their reference to the temple</w:t>
      </w:r>
      <w:r w:rsidR="009D0C1C" w:rsidRPr="00B740B4">
        <w:t xml:space="preserve"> articles being returned at this</w:t>
      </w:r>
      <w:r w:rsidRPr="00B740B4">
        <w:t xml:space="preserve"> date. Daniel’s </w:t>
      </w:r>
      <w:r w:rsidR="00A45700" w:rsidRPr="00B740B4">
        <w:t xml:space="preserve">subsequent </w:t>
      </w:r>
      <w:r w:rsidRPr="00B740B4">
        <w:t xml:space="preserve">continuing at court after this </w:t>
      </w:r>
      <w:r w:rsidR="000F280F">
        <w:t>year</w:t>
      </w:r>
      <w:r w:rsidR="00A45700" w:rsidRPr="00B740B4">
        <w:t xml:space="preserve"> </w:t>
      </w:r>
      <w:r w:rsidRPr="00B740B4">
        <w:t>is neither implied</w:t>
      </w:r>
      <w:r w:rsidR="003435AF" w:rsidRPr="00B740B4">
        <w:rPr>
          <w:rStyle w:val="FootnoteReference"/>
        </w:rPr>
        <w:footnoteReference w:id="331"/>
      </w:r>
      <w:r w:rsidRPr="00B740B4">
        <w:t xml:space="preserve"> nor precluded (for the </w:t>
      </w:r>
      <w:r w:rsidRPr="00B740B4">
        <w:rPr>
          <w:rFonts w:ascii="Arial" w:hAnsi="Arial" w:cs="Arial"/>
        </w:rPr>
        <w:t>עד</w:t>
      </w:r>
      <w:r w:rsidRPr="00B740B4">
        <w:t xml:space="preserve"> </w:t>
      </w:r>
      <w:r w:rsidR="00934A11" w:rsidRPr="00B740B4">
        <w:t>“</w:t>
      </w:r>
      <w:r w:rsidRPr="00B740B4">
        <w:t>until</w:t>
      </w:r>
      <w:r w:rsidR="00934A11" w:rsidRPr="00B740B4">
        <w:t>”</w:t>
      </w:r>
      <w:r w:rsidRPr="00B740B4">
        <w:t xml:space="preserve"> cf. Ps 110:1; 112:8</w:t>
      </w:r>
      <w:r w:rsidR="00A45700" w:rsidRPr="00B740B4">
        <w:t>).</w:t>
      </w:r>
      <w:r w:rsidR="003435AF" w:rsidRPr="00B740B4">
        <w:rPr>
          <w:rStyle w:val="FootnoteReference"/>
        </w:rPr>
        <w:footnoteReference w:id="332"/>
      </w:r>
      <w:r w:rsidR="00D83750" w:rsidRPr="00B740B4">
        <w:t xml:space="preserve"> The story</w:t>
      </w:r>
      <w:r w:rsidRPr="00B740B4">
        <w:t xml:space="preserve">’s concern is rather to assure its hearers that </w:t>
      </w:r>
      <w:r w:rsidR="00A02B32" w:rsidRPr="00B740B4">
        <w:t>Daniel (and the temple articles)</w:t>
      </w:r>
      <w:r w:rsidR="00A02B32" w:rsidRPr="00B740B4">
        <w:rPr>
          <w:rStyle w:val="FootnoteReference"/>
        </w:rPr>
        <w:footnoteReference w:id="333"/>
      </w:r>
      <w:r w:rsidRPr="00B740B4">
        <w:t xml:space="preserve"> lived safely through their long exile: and so may </w:t>
      </w:r>
      <w:r w:rsidR="00D83750" w:rsidRPr="00B740B4">
        <w:t xml:space="preserve">its </w:t>
      </w:r>
      <w:r w:rsidRPr="00B740B4">
        <w:t xml:space="preserve">hearers </w:t>
      </w:r>
      <w:r w:rsidR="00D83750" w:rsidRPr="00B740B4">
        <w:t xml:space="preserve">live </w:t>
      </w:r>
      <w:r w:rsidRPr="00B740B4">
        <w:t>through theirs (chap. 9). It thus parallels the encouraging conclusions to other chapters.</w:t>
      </w:r>
    </w:p>
    <w:p w:rsidR="00B27480" w:rsidRPr="00B740B4" w:rsidRDefault="00B27480" w:rsidP="009479B1">
      <w:pPr>
        <w:pStyle w:val="Heading2"/>
      </w:pPr>
      <w:r w:rsidRPr="00B740B4">
        <w:lastRenderedPageBreak/>
        <w:t>Explanation</w:t>
      </w:r>
    </w:p>
    <w:p w:rsidR="00B27480" w:rsidRPr="00B740B4" w:rsidRDefault="00B27480" w:rsidP="00B27480">
      <w:r w:rsidRPr="00B740B4">
        <w:rPr>
          <w:b/>
        </w:rPr>
        <w:t>1–2</w:t>
      </w:r>
      <w:r w:rsidRPr="00B740B4">
        <w:t xml:space="preserve"> The destiny of independent Judah was determined in the reign of Josiah: theologically, when he could not root out the paganism of Judah’s religious life; politically, when he could not bolster ailing Assyria’s hegemony in Mesopotamia. Assy</w:t>
      </w:r>
      <w:r w:rsidR="00D83750" w:rsidRPr="00B740B4">
        <w:t>ria was replaced by the Kasdite</w:t>
      </w:r>
      <w:r w:rsidRPr="00B740B4">
        <w:t xml:space="preserve"> dynasty in Babylon, under Nebopolassar (625–605) and his great son Nebuchadnezzar II (604–562), who sealed the fate of Assyria</w:t>
      </w:r>
      <w:r w:rsidR="00D83750" w:rsidRPr="00B740B4">
        <w:t xml:space="preserve"> (and Judah) by his victory at Kark</w:t>
      </w:r>
      <w:r w:rsidRPr="00B740B4">
        <w:t>emish, just before his father’s death, and just after Josiah’s.</w:t>
      </w:r>
      <w:r w:rsidR="000C71B4" w:rsidRPr="00B740B4">
        <w:rPr>
          <w:rStyle w:val="FootnoteReference"/>
        </w:rPr>
        <w:footnoteReference w:id="334"/>
      </w:r>
    </w:p>
    <w:p w:rsidR="002A1AD8" w:rsidRDefault="00B27480" w:rsidP="00B27480">
      <w:r w:rsidRPr="00B740B4">
        <w:t xml:space="preserve">The reigns </w:t>
      </w:r>
      <w:r w:rsidR="003D598A" w:rsidRPr="00B740B4">
        <w:t>of Jehoahaz, Jehoiaqim, Jehoiakin, and Zedekiah are</w:t>
      </w:r>
      <w:r w:rsidRPr="00B740B4">
        <w:t xml:space="preserve"> thus a story of defeat, humiliation, submission, and exile at the hands of Egypt and Babylon. The city that Israel called </w:t>
      </w:r>
      <w:r w:rsidR="00934A11" w:rsidRPr="00B740B4">
        <w:t>“</w:t>
      </w:r>
      <w:r w:rsidRPr="00B740B4">
        <w:t>the perfection of beauty, the joy of the whole world</w:t>
      </w:r>
      <w:r w:rsidR="00934A11" w:rsidRPr="00B740B4">
        <w:t>”</w:t>
      </w:r>
      <w:r w:rsidRPr="00B740B4">
        <w:t xml:space="preserve"> (P</w:t>
      </w:r>
      <w:r w:rsidR="002A1AD8">
        <w:t>s 48:2 [3</w:t>
      </w:r>
      <w:r w:rsidRPr="00B740B4">
        <w:t xml:space="preserve">]) is blockaded, assaulted, defeated, raped, and pillaged, by alien, </w:t>
      </w:r>
      <w:r w:rsidR="003D598A" w:rsidRPr="00B740B4">
        <w:t>pagan hands and feet. The sanctuary</w:t>
      </w:r>
      <w:r w:rsidRPr="00B740B4">
        <w:t xml:space="preserve"> that David and Solomon had dreamed of and built, and that Y</w:t>
      </w:r>
      <w:r w:rsidR="00356CA7" w:rsidRPr="00B740B4">
        <w:t>ahweh had undertaken to treat as</w:t>
      </w:r>
      <w:r w:rsidRPr="00B740B4">
        <w:t xml:space="preserve"> hi</w:t>
      </w:r>
      <w:r w:rsidR="009D0C1C" w:rsidRPr="00B740B4">
        <w:t>s home</w:t>
      </w:r>
      <w:r w:rsidRPr="00B740B4">
        <w:t>, is desecrated and torn apart. Its furnishings are transported if they can be carried (destroyed, if they cannot), and taken to grace and to glorify the shrines of pagan gods hundreds of miles away in a city that prophets had declared was ripe for judgment, and whose name stands for human achievement, glory, power, and pride. The royal line which had reigned in Jerusalem for 400 years, back almost to the time of the first Nebuchadnezzar six dynasties ago in Babylon, that line to which God had committed himself in p</w:t>
      </w:r>
      <w:r w:rsidR="003D598A" w:rsidRPr="00B740B4">
        <w:t>erpetuity, has become</w:t>
      </w:r>
      <w:r w:rsidRPr="00B740B4">
        <w:t xml:space="preserve"> </w:t>
      </w:r>
      <w:r w:rsidR="003D598A" w:rsidRPr="00B740B4">
        <w:t xml:space="preserve">a </w:t>
      </w:r>
      <w:r w:rsidRPr="00B740B4">
        <w:t>series of puppet kings to be bullied, maneuvered, and moved about by one whose name will also henceforth stand for worldly achievement, glory, power, and might (so that pretenders after the Babylonian throne will adopt it). To all appearances, the God of Jerusalem has been defeated by the gods of Babylon. Removing the possessions of the Jerusalem temple and taking them to a temple in Babylon encourages this impression.</w:t>
      </w:r>
      <w:r w:rsidR="002A1AD8">
        <w:t xml:space="preserve"> Yahweh’s</w:t>
      </w:r>
      <w:r w:rsidR="002A1AD8" w:rsidRPr="002A1AD8">
        <w:t xml:space="preserve"> personal “god-space” has been successfully invaded. He was unable to protect it.</w:t>
      </w:r>
      <w:r w:rsidR="00FD065D" w:rsidRPr="00B740B4">
        <w:rPr>
          <w:rStyle w:val="FootnoteReference"/>
        </w:rPr>
        <w:footnoteReference w:id="335"/>
      </w:r>
      <w:r w:rsidR="009D0C1C" w:rsidRPr="00B740B4">
        <w:t xml:space="preserve"> </w:t>
      </w:r>
    </w:p>
    <w:p w:rsidR="003D598A" w:rsidRPr="00B740B4" w:rsidRDefault="009D0C1C" w:rsidP="00B27480">
      <w:r w:rsidRPr="00B740B4">
        <w:t xml:space="preserve">So </w:t>
      </w:r>
      <w:r w:rsidR="00934A11" w:rsidRPr="00B740B4">
        <w:t>“</w:t>
      </w:r>
      <w:r w:rsidRPr="00B740B4">
        <w:t>o</w:t>
      </w:r>
      <w:r w:rsidR="001C7BA9" w:rsidRPr="00B740B4">
        <w:t>ur story begins at the end of another story.</w:t>
      </w:r>
      <w:r w:rsidR="00934A11" w:rsidRPr="00B740B4">
        <w:t>”</w:t>
      </w:r>
      <w:r w:rsidR="001C7BA9" w:rsidRPr="00B740B4">
        <w:rPr>
          <w:rStyle w:val="FootnoteReference"/>
        </w:rPr>
        <w:footnoteReference w:id="336"/>
      </w:r>
      <w:r w:rsidR="00EC4A54" w:rsidRPr="00B740B4">
        <w:t xml:space="preserve"> Daniel begins with dates in terms of an Israelite king, but henceforth the dates will relate to the reigns of a Babylonian or Persian king. </w:t>
      </w:r>
      <w:r w:rsidR="00934A11" w:rsidRPr="00B740B4">
        <w:t>“</w:t>
      </w:r>
      <w:r w:rsidR="00EC4A54" w:rsidRPr="00B740B4">
        <w:t>The paradigm of traditional Judean life has been shifted, and there is no immediate hope or promise that it will return.</w:t>
      </w:r>
      <w:r w:rsidR="00934A11" w:rsidRPr="00B740B4">
        <w:t>”</w:t>
      </w:r>
      <w:r w:rsidR="00EC4A54" w:rsidRPr="00B740B4">
        <w:rPr>
          <w:vertAlign w:val="superscript"/>
        </w:rPr>
        <w:footnoteReference w:id="337"/>
      </w:r>
      <w:r w:rsidR="00EC4A54" w:rsidRPr="00B740B4">
        <w:t xml:space="preserve"> </w:t>
      </w:r>
      <w:r w:rsidRPr="00B740B4">
        <w:t xml:space="preserve"> </w:t>
      </w:r>
      <w:r w:rsidR="00934A11" w:rsidRPr="00B740B4">
        <w:t>“</w:t>
      </w:r>
      <w:r w:rsidR="005F3CDC" w:rsidRPr="00B740B4">
        <w:t>It was the end of an era and the beginning of a new one.</w:t>
      </w:r>
      <w:r w:rsidR="00934A11" w:rsidRPr="00B740B4">
        <w:t>”</w:t>
      </w:r>
      <w:r w:rsidR="005F3CDC" w:rsidRPr="00B740B4">
        <w:rPr>
          <w:rStyle w:val="FootnoteReference"/>
        </w:rPr>
        <w:footnoteReference w:id="338"/>
      </w:r>
      <w:r w:rsidR="002A1AD8">
        <w:t xml:space="preserve"> </w:t>
      </w:r>
      <w:r w:rsidR="00EC4A54" w:rsidRPr="00B740B4">
        <w:t xml:space="preserve">Even though the exile involved </w:t>
      </w:r>
      <w:r w:rsidR="00C53D06" w:rsidRPr="00B740B4">
        <w:t xml:space="preserve">a </w:t>
      </w:r>
      <w:r w:rsidR="00EC4A54" w:rsidRPr="00B740B4">
        <w:t xml:space="preserve">relatively </w:t>
      </w:r>
      <w:r w:rsidR="00C53D06" w:rsidRPr="00B740B4">
        <w:t>small number of people, it was</w:t>
      </w:r>
      <w:r w:rsidR="002A1AD8">
        <w:t xml:space="preserve"> thus</w:t>
      </w:r>
      <w:r w:rsidR="00C53D06" w:rsidRPr="00B740B4">
        <w:t xml:space="preserve"> </w:t>
      </w:r>
      <w:r w:rsidR="00934A11" w:rsidRPr="00B740B4">
        <w:t>“</w:t>
      </w:r>
      <w:r w:rsidR="00C53D06" w:rsidRPr="00B740B4">
        <w:t>a shattering of religious identity and spiritual hope.</w:t>
      </w:r>
      <w:r w:rsidR="00934A11" w:rsidRPr="00B740B4">
        <w:t>”</w:t>
      </w:r>
      <w:r w:rsidR="00C53D06" w:rsidRPr="00B740B4">
        <w:rPr>
          <w:rStyle w:val="FootnoteReference"/>
        </w:rPr>
        <w:footnoteReference w:id="339"/>
      </w:r>
      <w:r w:rsidR="00EC4A54" w:rsidRPr="00B740B4">
        <w:t xml:space="preserve"> T</w:t>
      </w:r>
      <w:r w:rsidR="00B27480" w:rsidRPr="00B740B4">
        <w:t>his event, potentially as devastating for Jud</w:t>
      </w:r>
      <w:r w:rsidR="003D598A" w:rsidRPr="00B740B4">
        <w:t>ah’s self-understanding as it i</w:t>
      </w:r>
      <w:r w:rsidR="00B27480" w:rsidRPr="00B740B4">
        <w:t xml:space="preserve">s for its bricks and mortar, challenges its people of faith to a deep and wide-ranging quest after its significance and after reactions appropriate to it. The responses affirmed within the OT agree that the fall of Jerusalem is not </w:t>
      </w:r>
      <w:r w:rsidR="002A1AD8">
        <w:t xml:space="preserve">actually </w:t>
      </w:r>
      <w:r w:rsidR="00B27480" w:rsidRPr="00B740B4">
        <w:t>to be explained by Yahweh’s impotence or inactivity. Nor, as many people today might assume, was it merely the chance outworking of political</w:t>
      </w:r>
      <w:r w:rsidR="002A1AD8">
        <w:t xml:space="preserve"> (and personality) factors. It wa</w:t>
      </w:r>
      <w:r w:rsidR="00B27480" w:rsidRPr="00B740B4">
        <w:t xml:space="preserve">s the deliberate act of Israel’s own God. </w:t>
      </w:r>
    </w:p>
    <w:p w:rsidR="00252620" w:rsidRPr="00B740B4" w:rsidRDefault="002A1AD8" w:rsidP="00252620">
      <w:r>
        <w:t>While it</w:t>
      </w:r>
      <w:r w:rsidR="00A255D6" w:rsidRPr="00B740B4">
        <w:t xml:space="preserve"> was Nebuchadnezzar’s</w:t>
      </w:r>
      <w:r>
        <w:t xml:space="preserve"> idea to come to Jerusalem, </w:t>
      </w:r>
      <w:r w:rsidR="00A255D6" w:rsidRPr="00B740B4">
        <w:t>it was Yahweh’s idea to give it up to him.</w:t>
      </w:r>
      <w:r w:rsidR="00C8215B">
        <w:t xml:space="preserve"> Nebuchadnezzzar was</w:t>
      </w:r>
      <w:r w:rsidR="00A21843" w:rsidRPr="00B740B4">
        <w:t xml:space="preserve"> t</w:t>
      </w:r>
      <w:r w:rsidR="00C8215B">
        <w:t>he ax, but Yahweh wa</w:t>
      </w:r>
      <w:r w:rsidR="00AB3120" w:rsidRPr="00B740B4">
        <w:t>s the one wi</w:t>
      </w:r>
      <w:r w:rsidR="00A21843" w:rsidRPr="00B740B4">
        <w:t>e</w:t>
      </w:r>
      <w:r w:rsidR="00AB3120" w:rsidRPr="00B740B4">
        <w:t>l</w:t>
      </w:r>
      <w:r w:rsidR="00A21843" w:rsidRPr="00B740B4">
        <w:t>ding it (Isa. 10:15).</w:t>
      </w:r>
      <w:r w:rsidR="00A21843" w:rsidRPr="00B740B4">
        <w:rPr>
          <w:rStyle w:val="FootnoteReference"/>
        </w:rPr>
        <w:footnoteReference w:id="340"/>
      </w:r>
      <w:r w:rsidR="00AB3120" w:rsidRPr="00B740B4">
        <w:t xml:space="preserve"> </w:t>
      </w:r>
      <w:r w:rsidR="00C8215B" w:rsidRPr="00C8215B">
        <w:t>Contrary to the impression one might have derived from v 1, “Daniel’s God was not asleep but in full command of the situation—he is ‘the Lord.’”</w:t>
      </w:r>
      <w:r w:rsidR="00C8215B" w:rsidRPr="00C8215B">
        <w:rPr>
          <w:vertAlign w:val="superscript"/>
        </w:rPr>
        <w:footnoteReference w:id="341"/>
      </w:r>
      <w:r w:rsidR="00C8215B" w:rsidRPr="00C8215B">
        <w:t xml:space="preserve"> </w:t>
      </w:r>
      <w:r w:rsidR="00C8215B">
        <w:t>A</w:t>
      </w:r>
      <w:r w:rsidR="00AB3120" w:rsidRPr="00B740B4">
        <w:t xml:space="preserve"> </w:t>
      </w:r>
      <w:r w:rsidR="00934A11" w:rsidRPr="00B740B4">
        <w:t>“</w:t>
      </w:r>
      <w:r w:rsidR="00AB3120" w:rsidRPr="00B740B4">
        <w:t>cosmic deployment</w:t>
      </w:r>
      <w:r w:rsidR="00934A11" w:rsidRPr="00B740B4">
        <w:t>”</w:t>
      </w:r>
      <w:r w:rsidR="00AB3120" w:rsidRPr="00B740B4">
        <w:t xml:space="preserve"> </w:t>
      </w:r>
      <w:r w:rsidR="00060D9A" w:rsidRPr="00B740B4">
        <w:t xml:space="preserve">was </w:t>
      </w:r>
      <w:r w:rsidR="00AB3120" w:rsidRPr="00B740B4">
        <w:t>involved in what happened to Judah.</w:t>
      </w:r>
      <w:r w:rsidR="00AB3120" w:rsidRPr="00B740B4">
        <w:rPr>
          <w:rStyle w:val="FootnoteReference"/>
        </w:rPr>
        <w:footnoteReference w:id="342"/>
      </w:r>
      <w:r w:rsidR="002E3F63" w:rsidRPr="00B740B4">
        <w:t xml:space="preserve"> </w:t>
      </w:r>
      <w:r w:rsidR="00C8215B" w:rsidRPr="00C8215B">
        <w:t xml:space="preserve">“It </w:t>
      </w:r>
      <w:r w:rsidR="00C8215B" w:rsidRPr="00C8215B">
        <w:lastRenderedPageBreak/>
        <w:t xml:space="preserve">was like some ghastly time-warp, as if God had put history in reverse and taken Israel right back before Abraham was even heard of, back to the land which God had called Abraham to </w:t>
      </w:r>
      <w:r w:rsidR="00C8215B" w:rsidRPr="00C8215B">
        <w:rPr>
          <w:i/>
          <w:iCs/>
        </w:rPr>
        <w:t>leave</w:t>
      </w:r>
      <w:r w:rsidR="00C8215B" w:rsidRPr="00C8215B">
        <w:t>.”</w:t>
      </w:r>
      <w:r w:rsidR="00C8215B" w:rsidRPr="00C8215B">
        <w:rPr>
          <w:vertAlign w:val="superscript"/>
        </w:rPr>
        <w:footnoteReference w:id="343"/>
      </w:r>
      <w:r w:rsidR="00C8215B" w:rsidRPr="00C8215B">
        <w:t xml:space="preserve"> </w:t>
      </w:r>
      <w:r w:rsidR="00252620" w:rsidRPr="00B740B4">
        <w:t xml:space="preserve">The book of Daniel thus opens on </w:t>
      </w:r>
      <w:r w:rsidR="00934A11" w:rsidRPr="00B740B4">
        <w:t>“</w:t>
      </w:r>
      <w:r w:rsidR="00252620" w:rsidRPr="00B740B4">
        <w:t>a despondent note.</w:t>
      </w:r>
      <w:r w:rsidR="00934A11" w:rsidRPr="00B740B4">
        <w:t>”</w:t>
      </w:r>
      <w:r w:rsidR="00252620" w:rsidRPr="00B740B4">
        <w:t xml:space="preserve"> Not only has Jerusalem fallen; it was Yahweh who made it happen. </w:t>
      </w:r>
      <w:r w:rsidR="00934A11" w:rsidRPr="00B740B4">
        <w:t>“</w:t>
      </w:r>
      <w:r w:rsidR="00252620" w:rsidRPr="00B740B4">
        <w:t>It is the end of a world.</w:t>
      </w:r>
      <w:r w:rsidR="00934A11" w:rsidRPr="00B740B4">
        <w:t>”</w:t>
      </w:r>
      <w:r w:rsidR="00252620" w:rsidRPr="00B740B4">
        <w:rPr>
          <w:vertAlign w:val="superscript"/>
        </w:rPr>
        <w:footnoteReference w:id="344"/>
      </w:r>
      <w:r w:rsidR="00252620" w:rsidRPr="00B740B4">
        <w:t xml:space="preserve"> Can Yahweh be worshipped any more?</w:t>
      </w:r>
    </w:p>
    <w:p w:rsidR="001C5199" w:rsidRPr="00B740B4" w:rsidRDefault="00C8215B" w:rsidP="001C5199">
      <w:r w:rsidRPr="00C8215B">
        <w:t xml:space="preserve">What, then, is the significance of his action? </w:t>
      </w:r>
      <w:r w:rsidR="00252620" w:rsidRPr="00B740B4">
        <w:t>Often in the OT the fall of Jerusalem is seen as Yahweh’s</w:t>
      </w:r>
      <w:r w:rsidR="00B27480" w:rsidRPr="00B740B4">
        <w:t xml:space="preserve"> holy and jealous response to the apostasy, neglect, disorder, and complacency of Israel’s life. Yet Dan 1 makes no reference to the sins of preexilic generations, perhaps because it presupposes a postexilic perspectiv</w:t>
      </w:r>
      <w:r w:rsidR="003D598A" w:rsidRPr="00B740B4">
        <w:t xml:space="preserve">e (v 21), perhaps because that apostasy </w:t>
      </w:r>
      <w:r w:rsidR="00B27480" w:rsidRPr="00B740B4">
        <w:t>hardly explain</w:t>
      </w:r>
      <w:r w:rsidR="003D598A" w:rsidRPr="00B740B4">
        <w:t>s</w:t>
      </w:r>
      <w:r w:rsidR="00B27480" w:rsidRPr="00B740B4">
        <w:t xml:space="preserve"> the presence in Babylon of godly young men such as Daniel and his friends. These young men in exile, and the later generation</w:t>
      </w:r>
      <w:r w:rsidR="003D598A" w:rsidRPr="00B740B4">
        <w:t>s</w:t>
      </w:r>
      <w:r w:rsidR="00B27480" w:rsidRPr="00B740B4">
        <w:t xml:space="preserve"> to which the book speaks as people experiencing an exile far longer than originally envisaged (9:2,</w:t>
      </w:r>
      <w:r w:rsidR="003D598A" w:rsidRPr="00B740B4">
        <w:t xml:space="preserve"> 24), acknowledge the waywardness</w:t>
      </w:r>
      <w:r w:rsidR="00B27480" w:rsidRPr="00B740B4">
        <w:t xml:space="preserve"> they share with the rest of </w:t>
      </w:r>
      <w:r w:rsidR="003D598A" w:rsidRPr="00B740B4">
        <w:t>Israel (9:3–19), but this wayward</w:t>
      </w:r>
      <w:r w:rsidR="00B27480" w:rsidRPr="00B740B4">
        <w:t xml:space="preserve">ness is not appealed to </w:t>
      </w:r>
      <w:r w:rsidR="003D598A" w:rsidRPr="00B740B4">
        <w:t xml:space="preserve">here </w:t>
      </w:r>
      <w:r w:rsidR="00B27480" w:rsidRPr="00B740B4">
        <w:t>as the explanation for the exile. That event is given no explanation except in terms of the hand of God (v 2</w:t>
      </w:r>
      <w:r w:rsidR="003D598A" w:rsidRPr="00B740B4">
        <w:t>). A mysterious initiative on God’</w:t>
      </w:r>
      <w:r w:rsidR="00B27480" w:rsidRPr="00B740B4">
        <w:t>s part lies behind the extraordinary sequence of events comprised by Nebuchadnezzar’s expedition, his blockade of Jerusalem, Jeho</w:t>
      </w:r>
      <w:r w:rsidR="003D598A" w:rsidRPr="00B740B4">
        <w:t>iaq</w:t>
      </w:r>
      <w:r w:rsidR="00B27480" w:rsidRPr="00B740B4">
        <w:t>im’s defeat, the plundering of the temple, and the glorifying of Babylonian idols.</w:t>
      </w:r>
      <w:r w:rsidR="001C5199" w:rsidRPr="00B740B4">
        <w:t xml:space="preserve"> Nebuchadnezzar is set over against Jehoiaqim, but more pointedly </w:t>
      </w:r>
      <w:r w:rsidR="00934A11" w:rsidRPr="00B740B4">
        <w:t>“</w:t>
      </w:r>
      <w:r w:rsidR="001C5199" w:rsidRPr="00B740B4">
        <w:t>the Lord</w:t>
      </w:r>
      <w:r w:rsidR="00934A11" w:rsidRPr="00B740B4">
        <w:t>”</w:t>
      </w:r>
      <w:r w:rsidR="001C5199" w:rsidRPr="00B740B4">
        <w:t xml:space="preserve"> or </w:t>
      </w:r>
      <w:r w:rsidR="00934A11" w:rsidRPr="00B740B4">
        <w:t>“</w:t>
      </w:r>
      <w:r w:rsidR="001C5199" w:rsidRPr="00B740B4">
        <w:t>my Lord</w:t>
      </w:r>
      <w:r w:rsidR="00934A11" w:rsidRPr="00B740B4">
        <w:t>”</w:t>
      </w:r>
      <w:r w:rsidR="001C5199" w:rsidRPr="00B740B4">
        <w:rPr>
          <w:rStyle w:val="FootnoteReference"/>
        </w:rPr>
        <w:footnoteReference w:id="345"/>
      </w:r>
      <w:r w:rsidR="001C5199" w:rsidRPr="00B740B4">
        <w:t xml:space="preserve"> is set over against </w:t>
      </w:r>
      <w:r w:rsidR="00934A11" w:rsidRPr="00B740B4">
        <w:t>“</w:t>
      </w:r>
      <w:r w:rsidR="001C5199" w:rsidRPr="00B740B4">
        <w:t>his god.</w:t>
      </w:r>
      <w:r w:rsidR="00934A11" w:rsidRPr="00B740B4">
        <w:t>”</w:t>
      </w:r>
      <w:r w:rsidR="001C5199" w:rsidRPr="00B740B4">
        <w:t xml:space="preserve"> It looked as if </w:t>
      </w:r>
      <w:r w:rsidR="00934A11" w:rsidRPr="00B740B4">
        <w:t>“</w:t>
      </w:r>
      <w:r w:rsidR="001C5199" w:rsidRPr="00B740B4">
        <w:t>his god</w:t>
      </w:r>
      <w:r w:rsidR="00934A11" w:rsidRPr="00B740B4">
        <w:t>”</w:t>
      </w:r>
      <w:r w:rsidR="001C5199" w:rsidRPr="00B740B4">
        <w:t xml:space="preserve"> had defeated </w:t>
      </w:r>
      <w:r w:rsidR="00934A11" w:rsidRPr="00B740B4">
        <w:t>“</w:t>
      </w:r>
      <w:r w:rsidR="001C5199" w:rsidRPr="00B740B4">
        <w:t>my Lord.</w:t>
      </w:r>
      <w:r w:rsidR="00934A11" w:rsidRPr="00B740B4">
        <w:t>”</w:t>
      </w:r>
      <w:r w:rsidR="001C5199" w:rsidRPr="00B740B4">
        <w:t xml:space="preserve"> But Jehioaqim and Nebuchadnezzar’s god fade from the story. Only the Lord and Nebuchadnezzar henceforth feature. And the Lord is the real power, the one who keeps </w:t>
      </w:r>
      <w:r w:rsidR="00934A11" w:rsidRPr="00B740B4">
        <w:t>“</w:t>
      </w:r>
      <w:r w:rsidR="001C5199" w:rsidRPr="00B740B4">
        <w:t>giving,</w:t>
      </w:r>
      <w:r w:rsidR="00934A11" w:rsidRPr="00B740B4">
        <w:t>”</w:t>
      </w:r>
      <w:r w:rsidR="001C5199" w:rsidRPr="00B740B4">
        <w:t xml:space="preserve"> even though Nebuchadnezzar never realizes it.</w:t>
      </w:r>
    </w:p>
    <w:p w:rsidR="00B27480" w:rsidRPr="00B740B4" w:rsidRDefault="00252620" w:rsidP="00B27480">
      <w:r w:rsidRPr="00B740B4">
        <w:t>For Judahites in Babylon</w:t>
      </w:r>
      <w:r w:rsidR="003D598A" w:rsidRPr="00B740B4">
        <w:t>, this explanation was vague</w:t>
      </w:r>
      <w:r w:rsidRPr="00B740B4">
        <w:t xml:space="preserve"> and it could be puzzling</w:t>
      </w:r>
      <w:r w:rsidR="003D598A" w:rsidRPr="00B740B4">
        <w:t>, but as a place to rest,</w:t>
      </w:r>
      <w:r w:rsidRPr="00B740B4">
        <w:t xml:space="preserve"> it could be</w:t>
      </w:r>
      <w:r w:rsidR="00B27480" w:rsidRPr="00B740B4">
        <w:t xml:space="preserve"> secure. Their story looks as if it has come adrift from the story of the people of God, </w:t>
      </w:r>
      <w:r w:rsidR="003D598A" w:rsidRPr="00B740B4">
        <w:t>but it has not really done so. T</w:t>
      </w:r>
      <w:r w:rsidR="00B27480" w:rsidRPr="00B740B4">
        <w:t>hey are still within the sphere of his activity, even though it does not look like it. They are not mere pawns on a political and geographical chessboard. To be in the hand of Nebuchadnezzar is not to be out of the control of God. The story of God’s acts in history has not come to an end. The presence of the Jerusalem temple vessels in Babylon (safe in a temple treasury there</w:t>
      </w:r>
      <w:r w:rsidR="00C8215B">
        <w:t>!</w:t>
      </w:r>
      <w:r w:rsidR="00B27480" w:rsidRPr="00B740B4">
        <w:t>) may itself even offer quiet testimony to the fact that God i</w:t>
      </w:r>
      <w:r w:rsidR="00C8215B">
        <w:t xml:space="preserve">s still at work, his purpose </w:t>
      </w:r>
      <w:r w:rsidR="00B27480" w:rsidRPr="00B740B4">
        <w:t xml:space="preserve">intact, even though </w:t>
      </w:r>
      <w:r w:rsidR="003D598A" w:rsidRPr="00B740B4">
        <w:t xml:space="preserve">it is </w:t>
      </w:r>
      <w:r w:rsidR="00B27480" w:rsidRPr="00B740B4">
        <w:t>now being pursued in a surprising way in a surprising place.</w:t>
      </w:r>
      <w:r w:rsidR="00A02B32" w:rsidRPr="00B740B4">
        <w:rPr>
          <w:rStyle w:val="FootnoteReference"/>
        </w:rPr>
        <w:footnoteReference w:id="346"/>
      </w:r>
      <w:r w:rsidRPr="00B740B4">
        <w:t xml:space="preserve"> This fact about God</w:t>
      </w:r>
      <w:r w:rsidR="00B27480" w:rsidRPr="00B740B4">
        <w:t xml:space="preserve"> </w:t>
      </w:r>
      <w:r w:rsidR="003D598A" w:rsidRPr="00B740B4">
        <w:t xml:space="preserve">is an important </w:t>
      </w:r>
      <w:r w:rsidRPr="00B740B4">
        <w:t>context</w:t>
      </w:r>
      <w:r w:rsidR="003D598A" w:rsidRPr="00B740B4">
        <w:t xml:space="preserve"> </w:t>
      </w:r>
      <w:r w:rsidR="00B27480" w:rsidRPr="00B740B4">
        <w:t xml:space="preserve">for the experiences Daniel and his friends </w:t>
      </w:r>
      <w:r w:rsidR="00C8215B">
        <w:t>are to have</w:t>
      </w:r>
      <w:r w:rsidRPr="00B740B4">
        <w:t xml:space="preserve"> on arriving</w:t>
      </w:r>
      <w:r w:rsidR="00B27480" w:rsidRPr="00B740B4">
        <w:t xml:space="preserve"> in Babylon</w:t>
      </w:r>
      <w:r w:rsidR="003D598A" w:rsidRPr="00B740B4">
        <w:t>,</w:t>
      </w:r>
      <w:r w:rsidR="00B27480" w:rsidRPr="00B740B4">
        <w:t xml:space="preserve"> and over future years. It is what makes it possible to tell the story at all. The articles from the Jerusalem temple are put into the shrine of the Babylonian gods as if the latter had won them. Actually the God of Israel had </w:t>
      </w:r>
      <w:r w:rsidR="003D598A" w:rsidRPr="00B740B4">
        <w:t>given them to Nebuchadnezzar; this God</w:t>
      </w:r>
      <w:r w:rsidR="00B27480" w:rsidRPr="00B740B4">
        <w:t xml:space="preserve"> is in control.</w:t>
      </w:r>
    </w:p>
    <w:p w:rsidR="00B27480" w:rsidRPr="00B740B4" w:rsidRDefault="00B27480" w:rsidP="00B27480">
      <w:r w:rsidRPr="00B740B4">
        <w:t>The affirmation of God’s involvement raises questions as well as answering them. Of course the Lord has the right and power to do as he wishes w</w:t>
      </w:r>
      <w:r w:rsidR="00252620" w:rsidRPr="00B740B4">
        <w:t xml:space="preserve">ith what belongs to him. Yet </w:t>
      </w:r>
      <w:r w:rsidRPr="00B740B4">
        <w:t>hand</w:t>
      </w:r>
      <w:r w:rsidR="00252620" w:rsidRPr="00B740B4">
        <w:t>ing</w:t>
      </w:r>
      <w:r w:rsidRPr="00B740B4">
        <w:t xml:space="preserve"> over king and belongings to an alien overlord is a puzzling action. What are articles from the house of God (the only real God—the noun has no suffix or qualifier to relativize it) doing in the house of a Babylonian god? The scandal is underlined by the ancient versions referring to it as Nebuchadnezzar’s idol-house. What happens here is quite different from what happened on an earlier o</w:t>
      </w:r>
      <w:r w:rsidR="001C5199" w:rsidRPr="00B740B4">
        <w:t>ccasion when symbols of Yahweh</w:t>
      </w:r>
      <w:r w:rsidRPr="00B740B4">
        <w:t>’s presence were taken into exile (1 Sam 5–6; 2 Sam 6:6; cf. the warnings of Exod 19:21; Num 4:15, 20). The incident has opened up questions that will need answers before the story is over.</w:t>
      </w:r>
    </w:p>
    <w:p w:rsidR="00BE7556" w:rsidRPr="00B740B4" w:rsidRDefault="00B27480" w:rsidP="00BE7556">
      <w:r w:rsidRPr="00B740B4">
        <w:rPr>
          <w:b/>
        </w:rPr>
        <w:t>3–7</w:t>
      </w:r>
      <w:r w:rsidRPr="00B740B4">
        <w:t xml:space="preserve"> When Nebuchadnezzar came to </w:t>
      </w:r>
      <w:r w:rsidR="0005543A" w:rsidRPr="00B740B4">
        <w:t>Syria/</w:t>
      </w:r>
      <w:r w:rsidRPr="00B740B4">
        <w:t xml:space="preserve">Palestine and went back to Babylon, he took with him not only things but people. A group of young Israelites, for the moment silent, faceless, nameless, helpless objects for manipulating by the Babylonian state, are to be taken, taught, provided for, trained, </w:t>
      </w:r>
      <w:r w:rsidRPr="00B740B4">
        <w:lastRenderedPageBreak/>
        <w:t>and renamed in this alien environment. Trundled off to a foreign land, they are placed in the charge of a foreign official with a foreign name, are called by foreign titles, and are allocated a foreign education, foreign diet, and foreign names for themselves, to prepare them to serve in a foreign court. Being propelled into exile is an experience of alienness, incomprehension, and abhorrence. In such circumstances, the commitment of faith might triumph, or at le</w:t>
      </w:r>
      <w:r w:rsidR="00BE7556" w:rsidRPr="00B740B4">
        <w:t>ast survive, but it might wilt.</w:t>
      </w:r>
    </w:p>
    <w:p w:rsidR="00233AAF" w:rsidRPr="00B740B4" w:rsidRDefault="0040621D" w:rsidP="00BE7556">
      <w:pPr>
        <w:rPr>
          <w:rFonts w:eastAsiaTheme="minorHAnsi" w:cs="AdvP46190F"/>
        </w:rPr>
      </w:pPr>
      <w:r w:rsidRPr="00B740B4">
        <w:t>Nebuchadnezzar’s r</w:t>
      </w:r>
      <w:r w:rsidR="00C8215B">
        <w:t>enaming of Eliaqim as Jehoiaqim makes his name explicitly Yahwistic but presupposes</w:t>
      </w:r>
      <w:r w:rsidRPr="00B740B4">
        <w:t xml:space="preserve"> that the main point about renaming is that it is an expression </w:t>
      </w:r>
      <w:r w:rsidR="00C8215B">
        <w:t>of authority. The king owned the king and he owns the young men</w:t>
      </w:r>
      <w:r w:rsidRPr="00B740B4">
        <w:t>; they are his servants.</w:t>
      </w:r>
      <w:r w:rsidRPr="00B740B4">
        <w:rPr>
          <w:rStyle w:val="FootnoteReference"/>
        </w:rPr>
        <w:footnoteReference w:id="347"/>
      </w:r>
      <w:r w:rsidR="00EE3870" w:rsidRPr="00B740B4">
        <w:t xml:space="preserve"> </w:t>
      </w:r>
      <w:r w:rsidR="00E964AA" w:rsidRPr="00B740B4">
        <w:rPr>
          <w:rFonts w:eastAsiaTheme="minorHAnsi" w:cs="AdvP46190F"/>
        </w:rPr>
        <w:t>Nebuchadnezzar might have expected that the despondency caused by the fall of Jerusalem and their loss of their status and prospects there would give way to positive anticipation</w:t>
      </w:r>
      <w:r w:rsidR="003457E5" w:rsidRPr="00B740B4">
        <w:rPr>
          <w:rFonts w:eastAsiaTheme="minorHAnsi" w:cs="AdvP46190F"/>
        </w:rPr>
        <w:t xml:space="preserve"> concerning their own prospects, and the situation and the implicit attitude of the four young men is indeed quite different from that suggested by Psalm 137.</w:t>
      </w:r>
      <w:r w:rsidR="003457E5" w:rsidRPr="00B740B4">
        <w:rPr>
          <w:rFonts w:eastAsiaTheme="minorHAnsi" w:cs="AdvP46190F"/>
          <w:vertAlign w:val="superscript"/>
        </w:rPr>
        <w:footnoteReference w:id="348"/>
      </w:r>
      <w:r w:rsidR="003457E5" w:rsidRPr="00B740B4">
        <w:rPr>
          <w:rFonts w:eastAsiaTheme="minorHAnsi" w:cs="AdvP46190F"/>
        </w:rPr>
        <w:t xml:space="preserve"> But t</w:t>
      </w:r>
      <w:r w:rsidR="00B1429F">
        <w:rPr>
          <w:rFonts w:eastAsiaTheme="minorHAnsi" w:cs="AdvP46190F"/>
        </w:rPr>
        <w:t xml:space="preserve">he general </w:t>
      </w:r>
      <w:r w:rsidR="00EE3870" w:rsidRPr="00B740B4">
        <w:rPr>
          <w:rFonts w:eastAsiaTheme="minorHAnsi" w:cs="AdvP46190F"/>
        </w:rPr>
        <w:t xml:space="preserve">icture </w:t>
      </w:r>
      <w:r w:rsidR="003457E5" w:rsidRPr="00B740B4">
        <w:rPr>
          <w:rFonts w:eastAsiaTheme="minorHAnsi" w:cs="AdvP46190F"/>
        </w:rPr>
        <w:t xml:space="preserve">of the king’s action </w:t>
      </w:r>
      <w:r w:rsidR="00934A11" w:rsidRPr="00B740B4">
        <w:rPr>
          <w:rFonts w:eastAsiaTheme="minorHAnsi" w:cs="AdvP46190F"/>
        </w:rPr>
        <w:t>“</w:t>
      </w:r>
      <w:r w:rsidR="00EE3870" w:rsidRPr="00B740B4">
        <w:rPr>
          <w:rFonts w:eastAsiaTheme="minorHAnsi" w:cs="AdvP46190F"/>
        </w:rPr>
        <w:t>unveils the colonizing strategy of the colonizer (Nebuchadnezzar) on the colonized (Israelites).</w:t>
      </w:r>
      <w:r w:rsidR="00934A11" w:rsidRPr="00B740B4">
        <w:rPr>
          <w:rFonts w:eastAsiaTheme="minorHAnsi" w:cs="AdvP46190F"/>
        </w:rPr>
        <w:t>”</w:t>
      </w:r>
      <w:r w:rsidR="00EE3870" w:rsidRPr="00B740B4">
        <w:rPr>
          <w:rFonts w:eastAsiaTheme="minorHAnsi" w:cs="AdvP46190F"/>
          <w:vertAlign w:val="superscript"/>
        </w:rPr>
        <w:footnoteReference w:id="349"/>
      </w:r>
      <w:r w:rsidR="003457E5" w:rsidRPr="00B740B4">
        <w:rPr>
          <w:rFonts w:eastAsiaTheme="minorHAnsi" w:cs="AdvP46190F"/>
        </w:rPr>
        <w:t xml:space="preserve"> </w:t>
      </w:r>
      <w:r w:rsidR="00A674CF" w:rsidRPr="00B740B4">
        <w:rPr>
          <w:rFonts w:eastAsiaTheme="minorHAnsi" w:cs="AdvP46190F"/>
        </w:rPr>
        <w:t>Deportation, education in the dominant culture and language, imposing names, and diet are the tools of empire.</w:t>
      </w:r>
      <w:r w:rsidR="00A674CF" w:rsidRPr="00B740B4">
        <w:rPr>
          <w:rFonts w:eastAsiaTheme="minorHAnsi" w:cs="AdvP46190F"/>
          <w:vertAlign w:val="superscript"/>
        </w:rPr>
        <w:footnoteReference w:id="350"/>
      </w:r>
      <w:r w:rsidR="00A674CF" w:rsidRPr="00B740B4">
        <w:rPr>
          <w:rFonts w:eastAsiaTheme="minorHAnsi" w:cs="AdvP46190F"/>
        </w:rPr>
        <w:t xml:space="preserve"> </w:t>
      </w:r>
      <w:r w:rsidR="0026088D" w:rsidRPr="00B740B4">
        <w:rPr>
          <w:rFonts w:eastAsiaTheme="minorHAnsi" w:cs="AdvP46190F"/>
        </w:rPr>
        <w:t xml:space="preserve">Though their provision </w:t>
      </w:r>
      <w:r w:rsidR="003457E5" w:rsidRPr="00B740B4">
        <w:rPr>
          <w:rFonts w:eastAsiaTheme="minorHAnsi" w:cs="AdvP46190F"/>
        </w:rPr>
        <w:t xml:space="preserve">of food </w:t>
      </w:r>
      <w:r w:rsidR="0026088D" w:rsidRPr="00B740B4">
        <w:rPr>
          <w:rFonts w:eastAsiaTheme="minorHAnsi" w:cs="AdvP46190F"/>
        </w:rPr>
        <w:t xml:space="preserve">might be better than that of siege conditions in Jerusalem, </w:t>
      </w:r>
      <w:r w:rsidR="00934A11" w:rsidRPr="00B740B4">
        <w:rPr>
          <w:rFonts w:eastAsiaTheme="minorHAnsi" w:cs="AdvP46190F"/>
        </w:rPr>
        <w:t>“</w:t>
      </w:r>
      <w:r w:rsidR="0026088D" w:rsidRPr="00B740B4">
        <w:rPr>
          <w:rFonts w:eastAsiaTheme="minorHAnsi" w:cs="AdvP46190F"/>
        </w:rPr>
        <w:t>we have therefore no cause to praise him for generosity</w:t>
      </w:r>
      <w:r w:rsidR="00512535" w:rsidRPr="00B740B4">
        <w:rPr>
          <w:rFonts w:eastAsiaTheme="minorHAnsi" w:cs="AdvP46190F"/>
        </w:rPr>
        <w:t>.</w:t>
      </w:r>
      <w:r w:rsidR="00934A11" w:rsidRPr="00B740B4">
        <w:rPr>
          <w:rFonts w:eastAsiaTheme="minorHAnsi" w:cs="AdvP46190F"/>
        </w:rPr>
        <w:t>”</w:t>
      </w:r>
      <w:r w:rsidR="00512535" w:rsidRPr="00B740B4">
        <w:rPr>
          <w:rFonts w:eastAsiaTheme="minorHAnsi" w:cs="AdvP46190F"/>
          <w:vertAlign w:val="superscript"/>
        </w:rPr>
        <w:footnoteReference w:id="351"/>
      </w:r>
      <w:r w:rsidR="00512535" w:rsidRPr="00B740B4">
        <w:rPr>
          <w:rFonts w:eastAsiaTheme="minorHAnsi" w:cs="AdvP46190F"/>
        </w:rPr>
        <w:t xml:space="preserve"> </w:t>
      </w:r>
      <w:r w:rsidR="00934A11" w:rsidRPr="00B740B4">
        <w:rPr>
          <w:rFonts w:eastAsiaTheme="minorHAnsi" w:cs="AdvP46190F"/>
        </w:rPr>
        <w:t>“</w:t>
      </w:r>
      <w:r w:rsidR="00512535" w:rsidRPr="00B740B4">
        <w:rPr>
          <w:rFonts w:eastAsiaTheme="minorHAnsi" w:cs="AdvP46190F"/>
        </w:rPr>
        <w:t xml:space="preserve">The triumphant imperial government </w:t>
      </w:r>
      <w:r w:rsidR="00E809FD" w:rsidRPr="00B740B4">
        <w:rPr>
          <w:rFonts w:eastAsiaTheme="minorHAnsi" w:cs="AdvP46190F"/>
        </w:rPr>
        <w:t>offers scholarships to the brightest and the best a</w:t>
      </w:r>
      <w:r w:rsidR="003457E5" w:rsidRPr="00B740B4">
        <w:rPr>
          <w:rFonts w:eastAsiaTheme="minorHAnsi" w:cs="AdvP46190F"/>
        </w:rPr>
        <w:t>mong the vanquished,</w:t>
      </w:r>
      <w:r w:rsidR="00934A11" w:rsidRPr="00B740B4">
        <w:rPr>
          <w:rFonts w:eastAsiaTheme="minorHAnsi" w:cs="AdvP46190F"/>
        </w:rPr>
        <w:t>”</w:t>
      </w:r>
      <w:r w:rsidR="003457E5" w:rsidRPr="00B740B4">
        <w:rPr>
          <w:rFonts w:eastAsiaTheme="minorHAnsi" w:cs="AdvP46190F"/>
        </w:rPr>
        <w:t xml:space="preserve"> but </w:t>
      </w:r>
      <w:r w:rsidR="00934A11" w:rsidRPr="00B740B4">
        <w:rPr>
          <w:rFonts w:eastAsiaTheme="minorHAnsi" w:cs="AdvP46190F"/>
        </w:rPr>
        <w:t>“</w:t>
      </w:r>
      <w:r w:rsidR="003457E5" w:rsidRPr="00B740B4">
        <w:rPr>
          <w:rFonts w:eastAsiaTheme="minorHAnsi" w:cs="AdvP46190F"/>
        </w:rPr>
        <w:t xml:space="preserve">the </w:t>
      </w:r>
      <w:r w:rsidR="00E809FD" w:rsidRPr="00B740B4">
        <w:rPr>
          <w:rFonts w:eastAsiaTheme="minorHAnsi" w:cs="AdvP46190F"/>
        </w:rPr>
        <w:t>scholarships are reserved for those who are most likely to benefit the government directly.</w:t>
      </w:r>
      <w:r w:rsidR="00934A11" w:rsidRPr="00B740B4">
        <w:rPr>
          <w:rFonts w:eastAsiaTheme="minorHAnsi" w:cs="AdvP46190F"/>
        </w:rPr>
        <w:t>”</w:t>
      </w:r>
      <w:r w:rsidR="00E809FD" w:rsidRPr="00B740B4">
        <w:rPr>
          <w:rStyle w:val="FootnoteReference"/>
          <w:rFonts w:eastAsiaTheme="minorHAnsi" w:cs="AdvP46190F"/>
        </w:rPr>
        <w:footnoteReference w:id="352"/>
      </w:r>
      <w:r w:rsidR="003457E5" w:rsidRPr="00B740B4">
        <w:rPr>
          <w:rFonts w:eastAsiaTheme="minorHAnsi" w:cs="AdvP46190F"/>
        </w:rPr>
        <w:t xml:space="preserve"> </w:t>
      </w:r>
      <w:r w:rsidR="00A76C81" w:rsidRPr="00B740B4">
        <w:rPr>
          <w:rFonts w:eastAsiaTheme="minorHAnsi" w:cs="AdvP46190F"/>
        </w:rPr>
        <w:t>And “indoctrination” is the means of achieving this end.</w:t>
      </w:r>
      <w:r w:rsidR="00A76C81" w:rsidRPr="00B740B4">
        <w:rPr>
          <w:rStyle w:val="FootnoteReference"/>
          <w:rFonts w:eastAsiaTheme="minorHAnsi" w:cs="AdvP46190F"/>
        </w:rPr>
        <w:footnoteReference w:id="353"/>
      </w:r>
      <w:r w:rsidR="00A76C81" w:rsidRPr="00B740B4">
        <w:rPr>
          <w:rFonts w:eastAsiaTheme="minorHAnsi" w:cs="AdvP46190F"/>
        </w:rPr>
        <w:t xml:space="preserve"> </w:t>
      </w:r>
      <w:r w:rsidR="00934A11" w:rsidRPr="00B740B4">
        <w:rPr>
          <w:rFonts w:eastAsiaTheme="minorHAnsi" w:cs="AdvP46190F"/>
        </w:rPr>
        <w:t>“</w:t>
      </w:r>
      <w:r w:rsidR="00AB6042" w:rsidRPr="00B740B4">
        <w:rPr>
          <w:rFonts w:eastAsiaTheme="minorHAnsi" w:cs="AdvP46190F"/>
        </w:rPr>
        <w:t>T</w:t>
      </w:r>
      <w:r w:rsidR="00233AAF" w:rsidRPr="00B740B4">
        <w:rPr>
          <w:rFonts w:eastAsiaTheme="minorHAnsi" w:cs="AdvP46190F"/>
        </w:rPr>
        <w:t xml:space="preserve">he </w:t>
      </w:r>
      <w:r w:rsidR="00AB6042" w:rsidRPr="00B740B4">
        <w:rPr>
          <w:rFonts w:eastAsiaTheme="minorHAnsi" w:cs="AdvP46190F"/>
        </w:rPr>
        <w:t xml:space="preserve">entire </w:t>
      </w:r>
      <w:r w:rsidR="00233AAF" w:rsidRPr="00B740B4">
        <w:rPr>
          <w:rFonts w:eastAsiaTheme="minorHAnsi" w:cs="AdvP46190F"/>
        </w:rPr>
        <w:t>cultural heritage of the Kaldeans</w:t>
      </w:r>
      <w:r w:rsidR="00934A11" w:rsidRPr="00B740B4">
        <w:rPr>
          <w:rFonts w:eastAsiaTheme="minorHAnsi" w:cs="AdvP46190F"/>
        </w:rPr>
        <w:t>”</w:t>
      </w:r>
      <w:r w:rsidR="00233AAF" w:rsidRPr="00B740B4">
        <w:rPr>
          <w:rFonts w:eastAsiaTheme="minorHAnsi" w:cs="AdvP46190F"/>
        </w:rPr>
        <w:t xml:space="preserve"> was to form part of the privileged young men’s education so that they would be useful to Nebuchadnezzar.</w:t>
      </w:r>
      <w:r w:rsidR="00233AAF" w:rsidRPr="00B740B4">
        <w:rPr>
          <w:rFonts w:eastAsiaTheme="minorHAnsi" w:cs="AdvP46190F"/>
          <w:vertAlign w:val="superscript"/>
        </w:rPr>
        <w:footnoteReference w:id="354"/>
      </w:r>
      <w:r w:rsidR="00A76C81" w:rsidRPr="00B740B4">
        <w:rPr>
          <w:rFonts w:eastAsiaTheme="minorHAnsi" w:cs="AdvP46190F"/>
        </w:rPr>
        <w:t xml:space="preserve"> </w:t>
      </w:r>
    </w:p>
    <w:p w:rsidR="007F572D" w:rsidRDefault="00B27480" w:rsidP="00B27480">
      <w:r w:rsidRPr="00B740B4">
        <w:t xml:space="preserve">Yet in these events </w:t>
      </w:r>
      <w:r w:rsidR="003457E5" w:rsidRPr="00B740B4">
        <w:t xml:space="preserve">might </w:t>
      </w:r>
      <w:r w:rsidRPr="00B740B4">
        <w:t xml:space="preserve">lie seeds of hope, </w:t>
      </w:r>
      <w:r w:rsidR="003457E5" w:rsidRPr="00B740B4">
        <w:t xml:space="preserve">a hope </w:t>
      </w:r>
      <w:r w:rsidRPr="00B740B4">
        <w:t xml:space="preserve">encouraged by stimuli </w:t>
      </w:r>
      <w:r w:rsidR="002D4FFF" w:rsidRPr="00B740B4">
        <w:t xml:space="preserve">towards </w:t>
      </w:r>
      <w:r w:rsidRPr="00B740B4">
        <w:t xml:space="preserve">recollection of earlier events and earlier scriptures, which speak of life under alien pressures. Not long after an Assyrian chief of staff went to Jerusalem, Isaiah told Hezekiah that his </w:t>
      </w:r>
      <w:r w:rsidR="00C84A50">
        <w:t xml:space="preserve">own </w:t>
      </w:r>
      <w:r w:rsidRPr="00B740B4">
        <w:t>sons would end up as eunuchs/members of the palace st</w:t>
      </w:r>
      <w:r w:rsidR="00A21843" w:rsidRPr="00B740B4">
        <w:t>aff in Babylon (Isa 36:2; 39:5-7), and that prophecy is now fulfilled.</w:t>
      </w:r>
      <w:r w:rsidR="00A21843" w:rsidRPr="00B740B4">
        <w:rPr>
          <w:rStyle w:val="FootnoteReference"/>
        </w:rPr>
        <w:footnoteReference w:id="355"/>
      </w:r>
      <w:r w:rsidR="00A21843" w:rsidRPr="00B740B4">
        <w:t xml:space="preserve"> I</w:t>
      </w:r>
      <w:r w:rsidRPr="00B740B4">
        <w:t>t was a word of judgment, but the context of God’s judgment is at least a context of meaning rather than one of meaningless disorder. A century after Hezekiah, when Jerusalem fell, a Babylonian chief of staff was among those who released Jeremiah from jail after the capture of Jerusalem (Jer 39:13); acting on Nebuchadnezzar’s behalf, Ashpenaz ensures that the fate of the royal family on that occasion (Jer 39:5–6) is not their fate here. Further, long ago at the beginning of Israel’s story a handsome young man was taken off against his will into a foreign country and put into the charge of a leading member of the palace sta</w:t>
      </w:r>
      <w:r w:rsidR="0005543A" w:rsidRPr="00B740B4">
        <w:t xml:space="preserve">ff; Joseph </w:t>
      </w:r>
      <w:r w:rsidRPr="00B740B4">
        <w:t>proved himself a man of</w:t>
      </w:r>
      <w:r w:rsidR="00C84A50">
        <w:t xml:space="preserve"> insight</w:t>
      </w:r>
      <w:r w:rsidR="0005543A" w:rsidRPr="00B740B4">
        <w:t xml:space="preserve"> and discernment and took</w:t>
      </w:r>
      <w:r w:rsidRPr="00B740B4">
        <w:t xml:space="preserve"> his place in the royal court without compromising his faith—and he, too, had received a foreign name (Gen 39:1–6; 41:39–46).</w:t>
      </w:r>
      <w:r w:rsidR="00CF0D70">
        <w:t xml:space="preserve"> </w:t>
      </w:r>
    </w:p>
    <w:p w:rsidR="00B27480" w:rsidRPr="00B740B4" w:rsidRDefault="00B27480" w:rsidP="00B27480">
      <w:r w:rsidRPr="00B740B4">
        <w:t>The story that began by raising questions about faith thus goes on to raise questions about ambition, or about life at court in a pa</w:t>
      </w:r>
      <w:r w:rsidR="003457E5" w:rsidRPr="00B740B4">
        <w:t xml:space="preserve">gan culture. H. R. Niebuhr </w:t>
      </w:r>
      <w:r w:rsidRPr="00B740B4">
        <w:t>analyzed five views of the relation</w:t>
      </w:r>
      <w:r w:rsidR="00A02B32" w:rsidRPr="00B740B4">
        <w:t>ship between Christ and culture.</w:t>
      </w:r>
      <w:r w:rsidR="00A02B32" w:rsidRPr="00B740B4">
        <w:rPr>
          <w:rStyle w:val="FootnoteReference"/>
        </w:rPr>
        <w:footnoteReference w:id="356"/>
      </w:r>
      <w:r w:rsidR="00A02B32" w:rsidRPr="00B740B4">
        <w:t xml:space="preserve"> </w:t>
      </w:r>
      <w:r w:rsidRPr="00B740B4">
        <w:t>At two extremes are the attitudes that either totally oppose these or assimilate them. Other</w:t>
      </w:r>
      <w:r w:rsidR="0005543A" w:rsidRPr="00B740B4">
        <w:t xml:space="preserve"> attitude</w:t>
      </w:r>
      <w:r w:rsidRPr="00B740B4">
        <w:t xml:space="preserve">s see Christ as the fulfillment of the ideals that culture perceives but </w:t>
      </w:r>
      <w:r w:rsidRPr="00B740B4">
        <w:lastRenderedPageBreak/>
        <w:t xml:space="preserve">does not achieve, or see Christ and culture as making legitimate demands that stand in tension with one another, or see Christ as bringing the conversion of culture. The relationship between faith </w:t>
      </w:r>
      <w:r w:rsidR="0005543A" w:rsidRPr="00B740B4">
        <w:t>and culture is a question running</w:t>
      </w:r>
      <w:r w:rsidRPr="00B740B4">
        <w:t xml:space="preserve"> through the OT. In different contexts the people of God acknowledges other cultural patterns without being significantly affected by them, or confronts other cultural patterns that seem destructive and threatening, or lets them influence it, both to its enrichment and to its debasement. The exile is a fruit of that debasement, and </w:t>
      </w:r>
      <w:r w:rsidR="0005543A" w:rsidRPr="00B740B4">
        <w:t xml:space="preserve">it </w:t>
      </w:r>
      <w:r w:rsidRPr="00B740B4">
        <w:t>naturally gives strength to a purist movement that emphasizes the distinctive features of Israel’s culture such as the sabbath, food laws, circumcision, and other topics stressed by Leviticus and Deuteronomy.</w:t>
      </w:r>
    </w:p>
    <w:p w:rsidR="00B27480" w:rsidRPr="00B740B4" w:rsidRDefault="00B27480" w:rsidP="00B27480">
      <w:r w:rsidRPr="00B740B4">
        <w:t>Such a purist movement would speak with particular force in Babylon itself, where extra pressures drive Israel into assimilation to a pagan culture. Those pressures are overtly placed on the young exiles among the royalty and the nobility, who are educated in Babylonian religio-political lore in order that they may join the king’s staff. That education means sharing in the life (specifically the food) of the palace, and receiving names that suggest the service of foreign gods rather than the God of Israel. The provision of education, food, and names places them under powerful cultural forces. Nebuchadnezzar is attempting to turn the next generation of Israel (in the persons of its royal leaders) into good Babylonians.</w:t>
      </w:r>
    </w:p>
    <w:p w:rsidR="00B27480" w:rsidRPr="00B740B4" w:rsidRDefault="00B27480" w:rsidP="00B27480">
      <w:r w:rsidRPr="00B740B4">
        <w:t>Nebuchadnezzar wants Israelites, members of a nation he had defeated and intends to keep under control; members of the royalty and the nobility, able to exercise an influence on Judah in general, by their presence or by their absence; young men, with more potential and less prejudice; flawless and handsome men to grace his court; men whose capability, learning, knowledge, and discernment are already proved. But he is thus insisting on young men who belong to God’s chos</w:t>
      </w:r>
      <w:r w:rsidR="0005543A" w:rsidRPr="00B740B4">
        <w:t>en people and to the royal clan</w:t>
      </w:r>
      <w:r w:rsidRPr="00B740B4">
        <w:t xml:space="preserve"> to which the Lord committed himself in perpe</w:t>
      </w:r>
      <w:r w:rsidR="0005543A" w:rsidRPr="00B740B4">
        <w:t xml:space="preserve">tuity. Handsome and lacking </w:t>
      </w:r>
      <w:r w:rsidRPr="00B740B4">
        <w:t>shortcomings, they resemble David’s one-time heir apparent, Absalom (2 Sam 14:25). Learned, knowledgeable, and discerning, they resemble David himself (1 Sam 16:12, 18; 18:5, 14–15) and the son who actually succeeded him and became the</w:t>
      </w:r>
      <w:r w:rsidR="0005543A" w:rsidRPr="00B740B4">
        <w:t xml:space="preserve"> paradigm of learning and disocernment</w:t>
      </w:r>
      <w:r w:rsidRPr="00B740B4">
        <w:t xml:space="preserve"> in Israel (1 Kgs 5:9–14 [4:29–34]). They possess the attributes as well as the background of royalty. Nebuchadnezzar has thus chosen the best men, but also the worst, to seek to reeducate into men of the (Babylonian) world.</w:t>
      </w:r>
    </w:p>
    <w:p w:rsidR="00B27480" w:rsidRPr="00B740B4" w:rsidRDefault="00B27480" w:rsidP="00B27480">
      <w:r w:rsidRPr="00B740B4">
        <w:t>To both Israelites and Babylonians, politics, learning, and religious commitment were interwoven;</w:t>
      </w:r>
      <w:r w:rsidR="0005543A" w:rsidRPr="00B740B4">
        <w:t xml:space="preserve"> the notion of value-free insight</w:t>
      </w:r>
      <w:r w:rsidRPr="00B740B4">
        <w:t xml:space="preserve"> had not been conceived. While both their traditions include many observations on successful living and morality that lack overt reference to God, such observations presuppose a context in the faith of their respective religions. The Israelites w</w:t>
      </w:r>
      <w:r w:rsidR="0005543A" w:rsidRPr="00B740B4">
        <w:t>ere thus to be educated in the learning</w:t>
      </w:r>
      <w:r w:rsidRPr="00B740B4">
        <w:t xml:space="preserve"> of the caste of priest-counselors who served the Babylonian god into whose temple the trophies from the Lord’s temple had been placed. Babylonian diviners would pray to their gods before practicing their craft: they were concerned to discover what the gods were revealing. Worldly learning had many insights, but it was a potential threat to Israelite faith because of its relationship with Babylonian religi</w:t>
      </w:r>
      <w:r w:rsidR="0005543A" w:rsidRPr="00B740B4">
        <w:t xml:space="preserve">on. Israelite learning was </w:t>
      </w:r>
      <w:r w:rsidRPr="00B740B4">
        <w:t>a threat to Nebuchadnezzar’s policy for court development, for a parallel reason. Nebuchadnezzar was looking for natural intelligence that could be developed by and adapted to his nation’s learning. But th</w:t>
      </w:r>
      <w:r w:rsidR="0005543A" w:rsidRPr="00B740B4">
        <w:t>e foundation of Israelite insight</w:t>
      </w:r>
      <w:r w:rsidRPr="00B740B4">
        <w:t xml:space="preserve"> is the worship of Israel’s Go</w:t>
      </w:r>
      <w:r w:rsidR="00973FEA" w:rsidRPr="00B740B4">
        <w:t>d. If the Israelite princes and people of rank</w:t>
      </w:r>
      <w:r w:rsidRPr="00B740B4">
        <w:t xml:space="preserve"> are particularly wise, learned, and discerning, that marks them out as also particularly committed to him.</w:t>
      </w:r>
    </w:p>
    <w:p w:rsidR="00B27480" w:rsidRPr="00B740B4" w:rsidRDefault="00B27480" w:rsidP="00B27480">
      <w:r w:rsidRPr="00B740B4">
        <w:t>At the same time, the description places them in a tradition that had been accustomed to manifesting a discriminating openness to th</w:t>
      </w:r>
      <w:r w:rsidR="0005543A" w:rsidRPr="00B740B4">
        <w:t>e learning of other peoples. A</w:t>
      </w:r>
      <w:r w:rsidRPr="00B740B4">
        <w:t xml:space="preserve"> </w:t>
      </w:r>
      <w:r w:rsidR="0005543A" w:rsidRPr="00B740B4">
        <w:t>smart</w:t>
      </w:r>
      <w:r w:rsidRPr="00B740B4">
        <w:t xml:space="preserve"> person kn</w:t>
      </w:r>
      <w:r w:rsidR="0005543A" w:rsidRPr="00B740B4">
        <w:t>ows how to learn from the insight</w:t>
      </w:r>
      <w:r w:rsidRPr="00B740B4">
        <w:t xml:space="preserve"> of other peoples without being overcome by it. The story’s stance </w:t>
      </w:r>
      <w:r w:rsidR="0005543A" w:rsidRPr="00B740B4">
        <w:t>in relation to Babylonian expertise</w:t>
      </w:r>
      <w:r w:rsidRPr="00B740B4">
        <w:t xml:space="preserve"> is thus different from t</w:t>
      </w:r>
      <w:r w:rsidR="000265D7" w:rsidRPr="00B740B4">
        <w:t>hat of Isa 40–55 (see esp.</w:t>
      </w:r>
      <w:r w:rsidRPr="00B740B4">
        <w:t xml:space="preserve"> 47:9–13 for terms used in Daniel, though Daniel makes strikingly little specific reference to astrology). The stories do not portray a religious conflict betwee</w:t>
      </w:r>
      <w:r w:rsidR="0030759C" w:rsidRPr="00B740B4">
        <w:t>n two purportedly divine revelations</w:t>
      </w:r>
      <w:r w:rsidRPr="00B740B4">
        <w:t>. Their contrast i</w:t>
      </w:r>
      <w:r w:rsidR="0030759C" w:rsidRPr="00B740B4">
        <w:t>s between Israel’s divine insight and the merely human insight</w:t>
      </w:r>
      <w:r w:rsidRPr="00B740B4">
        <w:t xml:space="preserve"> of Babylon. Babylon is thus as radically belittled as it is in Isa 40–55.</w:t>
      </w:r>
    </w:p>
    <w:p w:rsidR="00B27480" w:rsidRPr="00B740B4" w:rsidRDefault="00B27480" w:rsidP="00B27480">
      <w:r w:rsidRPr="00B740B4">
        <w:lastRenderedPageBreak/>
        <w:t>The wise person also knows the power of laughter. The possibility that the outward renaming of the four Israelite young men might lead to their inner backsliding is undermined by the way their new names are reported. Bel</w:t>
      </w:r>
      <w:r w:rsidR="0030759C" w:rsidRPr="00B740B4">
        <w:t>teshazzar, Shadrak, Meshak</w:t>
      </w:r>
      <w:r w:rsidRPr="00B740B4">
        <w:t>, and Abed</w:t>
      </w:r>
      <w:r w:rsidR="005C24CD">
        <w:t xml:space="preserve"> N</w:t>
      </w:r>
      <w:r w:rsidRPr="00B740B4">
        <w:t>ego are all grotesque, silly names, which make fun of the gods whom they are supposed to honor. Like Zerubbabel and Mordecai, the four can use their foreign names without worrying about them, perhaps on the same basis that Paul can eat meat sacrificed to idols—because the idol is really nothing.</w:t>
      </w:r>
    </w:p>
    <w:p w:rsidR="001C5DAE" w:rsidRPr="001C5DAE" w:rsidRDefault="00B27480" w:rsidP="001C5DAE">
      <w:r w:rsidRPr="00B740B4">
        <w:rPr>
          <w:b/>
        </w:rPr>
        <w:t>8</w:t>
      </w:r>
      <w:r w:rsidRPr="00B740B4">
        <w:t xml:space="preserve"> By military defeat, geographi</w:t>
      </w:r>
      <w:r w:rsidR="0030759C" w:rsidRPr="00B740B4">
        <w:t>cal displacement, and cultural flooding</w:t>
      </w:r>
      <w:r w:rsidRPr="00B740B4">
        <w:t xml:space="preserve"> the Babylonians have sought to manipulate the Israelites, as humanly helpless (though not Godless or witless) victims of their will. Ashpenaz has just </w:t>
      </w:r>
      <w:r w:rsidR="0030759C" w:rsidRPr="00B740B4">
        <w:t xml:space="preserve">now </w:t>
      </w:r>
      <w:r w:rsidRPr="00B740B4">
        <w:t>been deciding on names for Daniel and his friends; but now Daniel does some deciding for himself. We wonder what will happen to Isra</w:t>
      </w:r>
      <w:r w:rsidR="00C84A50">
        <w:t xml:space="preserve">elite youth and </w:t>
      </w:r>
      <w:r w:rsidR="0030759C" w:rsidRPr="00B740B4">
        <w:t>insight</w:t>
      </w:r>
      <w:r w:rsidRPr="00B740B4">
        <w:t xml:space="preserve"> when it is </w:t>
      </w:r>
      <w:r w:rsidR="0030759C" w:rsidRPr="00B740B4">
        <w:t>thrust into exile and taught Kasdite</w:t>
      </w:r>
      <w:r w:rsidRPr="00B740B4">
        <w:t xml:space="preserve">. </w:t>
      </w:r>
      <w:r w:rsidR="00B03396" w:rsidRPr="00B740B4">
        <w:t>Will a group of mere youths be able to endure Nebuchadnezzar’s test?</w:t>
      </w:r>
      <w:r w:rsidR="00B03396" w:rsidRPr="00B740B4">
        <w:rPr>
          <w:rStyle w:val="FootnoteReference"/>
        </w:rPr>
        <w:footnoteReference w:id="357"/>
      </w:r>
      <w:r w:rsidR="00B03396" w:rsidRPr="00B740B4">
        <w:t xml:space="preserve"> </w:t>
      </w:r>
      <w:r w:rsidRPr="00B740B4">
        <w:t xml:space="preserve">We hoped that the qualities of those young men would mean that things would turn out all right; now Daniel gives us the first concrete indication </w:t>
      </w:r>
      <w:r w:rsidR="00C84A50">
        <w:t xml:space="preserve">that it will </w:t>
      </w:r>
      <w:r w:rsidRPr="00B740B4">
        <w:t>be so, showing himself to b</w:t>
      </w:r>
      <w:r w:rsidR="0030759C" w:rsidRPr="00B740B4">
        <w:t>e a worthy member of this elite.</w:t>
      </w:r>
      <w:r w:rsidR="0030759C" w:rsidRPr="00B740B4">
        <w:rPr>
          <w:rStyle w:val="FootnoteReference"/>
        </w:rPr>
        <w:footnoteReference w:id="358"/>
      </w:r>
      <w:r w:rsidR="0030759C" w:rsidRPr="00B740B4">
        <w:t xml:space="preserve"> </w:t>
      </w:r>
      <w:r w:rsidRPr="00B740B4">
        <w:t>The young exiles cease to be faceless ciphers and helpless victims. Daniel seizes the initiativ</w:t>
      </w:r>
      <w:r w:rsidR="0030759C" w:rsidRPr="00B740B4">
        <w:t>e from the Babylonians</w:t>
      </w:r>
      <w:r w:rsidRPr="00B740B4">
        <w:t xml:space="preserve">. </w:t>
      </w:r>
      <w:r w:rsidR="001C5DAE" w:rsidRPr="001C5DAE">
        <w:t>“Daniel and his friends studied the Babylonian curriculum and served in the Babylonian court. Yet Daniel did so while implicitly critiquing a culture that supported a government committed to conquest and colonization.”</w:t>
      </w:r>
      <w:r w:rsidR="001C5DAE" w:rsidRPr="001C5DAE">
        <w:rPr>
          <w:vertAlign w:val="superscript"/>
        </w:rPr>
        <w:footnoteReference w:id="359"/>
      </w:r>
    </w:p>
    <w:p w:rsidR="00CB5131" w:rsidRPr="00B740B4" w:rsidRDefault="00A255D6" w:rsidP="00CB5131">
      <w:r w:rsidRPr="00B740B4">
        <w:t>Daniel has no gen</w:t>
      </w:r>
      <w:r w:rsidR="004469A5" w:rsidRPr="00B740B4">
        <w:t>ea</w:t>
      </w:r>
      <w:r w:rsidRPr="00B740B4">
        <w:t xml:space="preserve">logy, and nothing explains his emergence at this point. Moses emerges from self-caused obscurity because Yahweh takes an initiative; Daniel emerges from nowhere because he takes an initiative. </w:t>
      </w:r>
      <w:r w:rsidR="00C438C6" w:rsidRPr="00B740B4">
        <w:t>He does so because he (alone) is prepared to say</w:t>
      </w:r>
      <w:r w:rsidR="00323214" w:rsidRPr="00B740B4">
        <w:t xml:space="preserve"> his</w:t>
      </w:r>
      <w:r w:rsidR="00C438C6" w:rsidRPr="00B740B4">
        <w:t xml:space="preserve"> </w:t>
      </w:r>
      <w:r w:rsidR="00934A11" w:rsidRPr="00B740B4">
        <w:t>“</w:t>
      </w:r>
      <w:r w:rsidR="00323214" w:rsidRPr="00B740B4">
        <w:t>sturdy ‘n</w:t>
      </w:r>
      <w:r w:rsidR="009A0A83" w:rsidRPr="00B740B4">
        <w:t>o</w:t>
      </w:r>
      <w:r w:rsidR="00C9044C" w:rsidRPr="00B740B4">
        <w:t>.</w:t>
      </w:r>
      <w:r w:rsidR="00323214" w:rsidRPr="00B740B4">
        <w:t>’</w:t>
      </w:r>
      <w:r w:rsidR="00934A11" w:rsidRPr="00B740B4">
        <w:t>”</w:t>
      </w:r>
      <w:r w:rsidR="00C438C6" w:rsidRPr="00B740B4">
        <w:rPr>
          <w:rStyle w:val="FootnoteReference"/>
        </w:rPr>
        <w:footnoteReference w:id="360"/>
      </w:r>
      <w:r w:rsidR="009A0A83" w:rsidRPr="00B740B4">
        <w:t xml:space="preserve"> </w:t>
      </w:r>
      <w:r w:rsidR="00C9044C" w:rsidRPr="00B740B4">
        <w:t>In Daniel’s</w:t>
      </w:r>
      <w:r w:rsidR="009A0A83" w:rsidRPr="00B740B4">
        <w:t xml:space="preserve"> </w:t>
      </w:r>
      <w:r w:rsidR="00934A11" w:rsidRPr="00B740B4">
        <w:t>“</w:t>
      </w:r>
      <w:r w:rsidR="00C9044C" w:rsidRPr="00B740B4">
        <w:t>magnificent refusal</w:t>
      </w:r>
      <w:r w:rsidR="00934A11" w:rsidRPr="00B740B4">
        <w:t>”</w:t>
      </w:r>
      <w:r w:rsidR="00C9044C" w:rsidRPr="00B740B4">
        <w:t xml:space="preserve"> on the basis of the conviction that </w:t>
      </w:r>
      <w:r w:rsidR="00934A11" w:rsidRPr="00B740B4">
        <w:t>“</w:t>
      </w:r>
      <w:r w:rsidR="00C9044C" w:rsidRPr="00B740B4">
        <w:t>the food was fit for a king, but… not fit for a servant of the King of kings</w:t>
      </w:r>
      <w:r w:rsidR="00934A11" w:rsidRPr="00B740B4">
        <w:t>”</w:t>
      </w:r>
      <w:r w:rsidR="00C9044C" w:rsidRPr="00B740B4">
        <w:t xml:space="preserve"> lay </w:t>
      </w:r>
      <w:r w:rsidR="00934A11" w:rsidRPr="00B740B4">
        <w:t>“</w:t>
      </w:r>
      <w:r w:rsidR="00C9044C" w:rsidRPr="00B740B4">
        <w:t>his own sharp focus, his own clear identity</w:t>
      </w:r>
      <w:r w:rsidR="00D11B08" w:rsidRPr="00B740B4">
        <w:t>.</w:t>
      </w:r>
      <w:r w:rsidR="00934A11" w:rsidRPr="00B740B4">
        <w:t>”</w:t>
      </w:r>
      <w:r w:rsidR="009A0A83" w:rsidRPr="00B740B4">
        <w:rPr>
          <w:rStyle w:val="FootnoteReference"/>
        </w:rPr>
        <w:footnoteReference w:id="361"/>
      </w:r>
      <w:r w:rsidR="00A674CF" w:rsidRPr="00B740B4">
        <w:t xml:space="preserve"> He recognizes the problem of the clash between what the Lord expects and what the lord expects (v</w:t>
      </w:r>
      <w:r w:rsidR="00AF422C">
        <w:t>v</w:t>
      </w:r>
      <w:r w:rsidR="00A674CF" w:rsidRPr="00B740B4">
        <w:t xml:space="preserve"> 2, 10).</w:t>
      </w:r>
      <w:r w:rsidR="00A674CF" w:rsidRPr="00B740B4">
        <w:rPr>
          <w:vertAlign w:val="superscript"/>
        </w:rPr>
        <w:footnoteReference w:id="362"/>
      </w:r>
      <w:r w:rsidR="00CB5131" w:rsidRPr="00B740B4">
        <w:t xml:space="preserve"> Daniel does not attempt to avoid being dependent on Nebuchadnezzar, but he does set terms for his dependence.</w:t>
      </w:r>
    </w:p>
    <w:p w:rsidR="00B27480" w:rsidRPr="00B740B4" w:rsidRDefault="00A674CF" w:rsidP="00B27480">
      <w:r w:rsidRPr="00B740B4">
        <w:t xml:space="preserve">So at Babylonian food he draws the line. Questions about ambition lead to questions about purity. </w:t>
      </w:r>
      <w:r w:rsidR="005916FC" w:rsidRPr="00B740B4">
        <w:t>Daniel recognizes that there are moments when an issue</w:t>
      </w:r>
      <w:r w:rsidR="009B5C9E" w:rsidRPr="00B740B4">
        <w:t xml:space="preserve"> in the life of </w:t>
      </w:r>
      <w:r w:rsidR="005916FC" w:rsidRPr="00B740B4">
        <w:t>the people of God requires one to take what Lutheranism would later call a</w:t>
      </w:r>
      <w:r w:rsidR="009B5C9E" w:rsidRPr="00B740B4">
        <w:t xml:space="preserve"> </w:t>
      </w:r>
      <w:r w:rsidR="005916FC" w:rsidRPr="00B740B4">
        <w:t xml:space="preserve">confessional </w:t>
      </w:r>
      <w:r w:rsidR="009B5C9E" w:rsidRPr="00B740B4">
        <w:t>stand</w:t>
      </w:r>
      <w:r w:rsidR="005916FC" w:rsidRPr="00B740B4">
        <w:t xml:space="preserve"> (a </w:t>
      </w:r>
      <w:r w:rsidR="009B5C9E" w:rsidRPr="00B740B4">
        <w:rPr>
          <w:i/>
        </w:rPr>
        <w:t>status confessionis</w:t>
      </w:r>
      <w:r w:rsidR="009B5C9E" w:rsidRPr="00B740B4">
        <w:t>),</w:t>
      </w:r>
      <w:r w:rsidR="009B5C9E" w:rsidRPr="00B740B4">
        <w:rPr>
          <w:i/>
        </w:rPr>
        <w:t xml:space="preserve"> </w:t>
      </w:r>
      <w:r w:rsidR="009B5C9E" w:rsidRPr="00B740B4">
        <w:t>maybe on something that doesn’t look inherently important but that one recognizes is a make or break issue.</w:t>
      </w:r>
      <w:r w:rsidR="005916FC" w:rsidRPr="00B740B4">
        <w:rPr>
          <w:vertAlign w:val="superscript"/>
        </w:rPr>
        <w:footnoteReference w:id="363"/>
      </w:r>
      <w:r w:rsidRPr="00B740B4">
        <w:t xml:space="preserve"> </w:t>
      </w:r>
      <w:r w:rsidR="00B27480" w:rsidRPr="00B740B4">
        <w:t>Accepting the palace provisions involves a compromise of faith in a way that accepting a share in its life, its work, its education, and its names do not. Believers in other contexts or in other cultures might have identified their sticking point elsewhere. In the context of the exile, when Isa 40–55 is scathing about Babylonian religion, Babylonian foo</w:t>
      </w:r>
      <w:r w:rsidR="0030759C" w:rsidRPr="00B740B4">
        <w:t>d is too trivial for the prophecy</w:t>
      </w:r>
      <w:r w:rsidR="00B27480" w:rsidRPr="00B740B4">
        <w:t xml:space="preserve"> to mention. Perhaps part of the point is that a line should be drawn somewhere. Total assimilation is to be avoided. Food, in particular, is determinative of identity; it is part of being </w:t>
      </w:r>
      <w:r w:rsidR="00934A11" w:rsidRPr="00B740B4">
        <w:t>“</w:t>
      </w:r>
      <w:r w:rsidR="00B27480" w:rsidRPr="00B740B4">
        <w:t>embodied.</w:t>
      </w:r>
      <w:r w:rsidR="00934A11" w:rsidRPr="00B740B4">
        <w:t>”</w:t>
      </w:r>
      <w:r w:rsidR="00B27480" w:rsidRPr="00B740B4">
        <w:t xml:space="preserve"> We are what we eat: the English call the French </w:t>
      </w:r>
      <w:r w:rsidR="00934A11" w:rsidRPr="00B740B4">
        <w:t>“</w:t>
      </w:r>
      <w:r w:rsidR="00B27480" w:rsidRPr="00B740B4">
        <w:t>frogs,</w:t>
      </w:r>
      <w:r w:rsidR="00934A11" w:rsidRPr="00B740B4">
        <w:t>”</w:t>
      </w:r>
      <w:r w:rsidR="00B27480" w:rsidRPr="00B740B4">
        <w:t xml:space="preserve"> the French call the English </w:t>
      </w:r>
      <w:r w:rsidR="00934A11" w:rsidRPr="00B740B4">
        <w:t>“</w:t>
      </w:r>
      <w:r w:rsidR="00B27480" w:rsidRPr="00B740B4">
        <w:t>roast beefs.</w:t>
      </w:r>
      <w:r w:rsidR="00934A11" w:rsidRPr="00B740B4">
        <w:t>”</w:t>
      </w:r>
      <w:r w:rsidR="00B27480" w:rsidRPr="00B740B4">
        <w:t xml:space="preserve"> It is common for an expatriate community to maintain its distinctiveness partly by maintaining its</w:t>
      </w:r>
      <w:r w:rsidR="0030759C" w:rsidRPr="00B740B4">
        <w:t xml:space="preserve"> distinctive diet. Israel’s rules about food </w:t>
      </w:r>
      <w:r w:rsidR="00B27480" w:rsidRPr="00B740B4">
        <w:t>presuppose that food is determinative of identity; part of their point is to preserve the distinctiveness of Israel o</w:t>
      </w:r>
      <w:r w:rsidR="00FA3BDB">
        <w:t>ver against other peoples</w:t>
      </w:r>
      <w:r w:rsidR="00FA3BDB" w:rsidRPr="00FA3BDB">
        <w:t>.</w:t>
      </w:r>
      <w:r w:rsidR="00FA3BDB" w:rsidRPr="00FA3BDB">
        <w:rPr>
          <w:vertAlign w:val="superscript"/>
        </w:rPr>
        <w:footnoteReference w:id="364"/>
      </w:r>
      <w:r w:rsidR="00FA3BDB" w:rsidRPr="00FA3BDB">
        <w:t xml:space="preserve"> </w:t>
      </w:r>
      <w:r w:rsidR="0030759C" w:rsidRPr="00B740B4">
        <w:t>The difficulty in discerning</w:t>
      </w:r>
      <w:r w:rsidR="00B27480" w:rsidRPr="00B740B4">
        <w:t xml:space="preserve"> precise</w:t>
      </w:r>
      <w:r w:rsidR="0030759C" w:rsidRPr="00B740B4">
        <w:t xml:space="preserve">ly what was </w:t>
      </w:r>
      <w:r w:rsidR="00B27480" w:rsidRPr="00B740B4">
        <w:t xml:space="preserve">defiling about </w:t>
      </w:r>
      <w:r w:rsidR="0030759C" w:rsidRPr="00B740B4">
        <w:t>the Babylonians’ food may indicate</w:t>
      </w:r>
      <w:r w:rsidR="00B27480" w:rsidRPr="00B740B4">
        <w:t xml:space="preserve"> </w:t>
      </w:r>
      <w:r w:rsidR="0030759C" w:rsidRPr="00B740B4">
        <w:t xml:space="preserve">that </w:t>
      </w:r>
      <w:r w:rsidR="00B27480" w:rsidRPr="00B740B4">
        <w:t>it was nothing more sharply conceptualized than that it was Babylonian.</w:t>
      </w:r>
      <w:r w:rsidR="00C9044C" w:rsidRPr="00B740B4">
        <w:t xml:space="preserve"> And in </w:t>
      </w:r>
      <w:r w:rsidR="00C9044C" w:rsidRPr="00B740B4">
        <w:lastRenderedPageBreak/>
        <w:t>the context of the story, the significance of Daniel’s refusal lies in where it leads—the test, and the triumph (the first of three triumphs).</w:t>
      </w:r>
    </w:p>
    <w:p w:rsidR="00B27480" w:rsidRPr="00B740B4" w:rsidRDefault="00CB64E8" w:rsidP="00B27480">
      <w:r w:rsidRPr="00B740B4">
        <w:t>Already in</w:t>
      </w:r>
      <w:r w:rsidR="00FA3BDB">
        <w:t xml:space="preserve"> this introductory chapter</w:t>
      </w:r>
      <w:r w:rsidRPr="00B740B4">
        <w:t xml:space="preserve">, </w:t>
      </w:r>
      <w:r w:rsidR="00FA3BDB">
        <w:t xml:space="preserve">then, </w:t>
      </w:r>
      <w:r w:rsidRPr="00B740B4">
        <w:t>a question the stories raise is how to express identity faithfully and to en</w:t>
      </w:r>
      <w:r w:rsidR="00FA3BDB">
        <w:t>gage with the affairs of empire,</w:t>
      </w:r>
      <w:r w:rsidRPr="00B740B4">
        <w:rPr>
          <w:rStyle w:val="FootnoteReference"/>
        </w:rPr>
        <w:footnoteReference w:id="365"/>
      </w:r>
      <w:r w:rsidR="00FA3BDB">
        <w:t xml:space="preserve"> and here</w:t>
      </w:r>
      <w:r w:rsidR="00B27480" w:rsidRPr="00B740B4">
        <w:t xml:space="preserve"> discipleship expresses itself by insisting on maintaining the difference between</w:t>
      </w:r>
      <w:r w:rsidR="00FA3BDB">
        <w:t xml:space="preserve"> clean and unclean food as the way the faithful will</w:t>
      </w:r>
      <w:r w:rsidR="00B27480" w:rsidRPr="00B740B4">
        <w:t xml:space="preserve"> mark themselves out (to themselves and to others, and before God) as belonging to a special people and committed to a specific Lord. Works such as Leviticus and Esther take the same stance</w:t>
      </w:r>
      <w:r w:rsidR="00DB53F7">
        <w:t>, though Esther compromises more</w:t>
      </w:r>
      <w:r w:rsidR="00FA3BDB">
        <w:t>.</w:t>
      </w:r>
      <w:r w:rsidR="00DB53F7">
        <w:rPr>
          <w:rStyle w:val="FootnoteReference"/>
        </w:rPr>
        <w:footnoteReference w:id="366"/>
      </w:r>
      <w:r w:rsidR="00FA3BDB">
        <w:t xml:space="preserve"> Also</w:t>
      </w:r>
      <w:r w:rsidR="00B27480" w:rsidRPr="00B740B4">
        <w:t xml:space="preserve"> suggestive is Num 22–25, which juxtaposes the futility of pagan divination (22–24) and the dan</w:t>
      </w:r>
      <w:r w:rsidR="00FA3BDB">
        <w:t>ger of idolatrous feasting (25), and</w:t>
      </w:r>
      <w:r w:rsidR="00B27480" w:rsidRPr="00B740B4">
        <w:t xml:space="preserve"> Rev 2:14, 20 takes up those chapters and reaffirms the association. 1 Cor 8–10 sim</w:t>
      </w:r>
      <w:r w:rsidR="00FA3BDB">
        <w:t>ilarly insists that faithfulness</w:t>
      </w:r>
      <w:r w:rsidR="00B27480" w:rsidRPr="00B740B4">
        <w:t xml:space="preserve"> involves being wary of idolatry and of anythi</w:t>
      </w:r>
      <w:r w:rsidR="00FA3BDB">
        <w:t>ng that looks like idolatry, while</w:t>
      </w:r>
      <w:r w:rsidR="00B27480" w:rsidRPr="00B740B4">
        <w:t xml:space="preserve"> also being wary of taking too seriously beings that are really no-gods. Most impo</w:t>
      </w:r>
      <w:r w:rsidR="00FA3BDB">
        <w:t>rtantly, however, faithfulness</w:t>
      </w:r>
      <w:r w:rsidR="00B27480" w:rsidRPr="00B740B4">
        <w:t xml:space="preserve"> involves being concerned for our neighbors’ edification, and if they d</w:t>
      </w:r>
      <w:r w:rsidR="00FA3BDB">
        <w:t xml:space="preserve">o not share our freedom, </w:t>
      </w:r>
      <w:r w:rsidR="00B27480" w:rsidRPr="00B740B4">
        <w:t>not to insist on exercising it in a misleading way (cf. Rom 14). In Mark 7 discipleship expresses itself by repudiating the distinction between clean and unc</w:t>
      </w:r>
      <w:r w:rsidR="00FA3BDB">
        <w:t>lean food; in this way the faithful</w:t>
      </w:r>
      <w:r w:rsidR="00B27480" w:rsidRPr="00B740B4">
        <w:t xml:space="preserve"> will demonstrate that the source of moral defilement lies elsewhere. Acts 10 takes the same stance on a different basis: God is now abolishing the distinc</w:t>
      </w:r>
      <w:r w:rsidR="0030759C" w:rsidRPr="00B740B4">
        <w:t xml:space="preserve">tion between clean and unclean </w:t>
      </w:r>
      <w:r w:rsidR="00B27480" w:rsidRPr="00B740B4">
        <w:t>which symbolizes and reinforces that</w:t>
      </w:r>
      <w:r w:rsidR="0030759C" w:rsidRPr="00B740B4">
        <w:t xml:space="preserve"> distinction</w:t>
      </w:r>
      <w:r w:rsidR="00B27480" w:rsidRPr="00B740B4">
        <w:t xml:space="preserve"> between Israel and other peoples, because the gospel first preached to Jews is now to be preached to gentiles also.</w:t>
      </w:r>
    </w:p>
    <w:p w:rsidR="00C43831" w:rsidRPr="00B740B4" w:rsidRDefault="00B27480" w:rsidP="00B27480">
      <w:r w:rsidRPr="00B740B4">
        <w:t xml:space="preserve">The gospel word that Daniel proves is 1 Cor 10:13 rather than Acts 10. He emphasizes an aspect of Judaism that may seem unimportant </w:t>
      </w:r>
      <w:r w:rsidR="00FA3BDB">
        <w:t xml:space="preserve">and passing; yet it was </w:t>
      </w:r>
      <w:r w:rsidRPr="00B740B4">
        <w:t xml:space="preserve">the means whereby the Jews maintained their identity, and </w:t>
      </w:r>
      <w:r w:rsidR="00E4778F" w:rsidRPr="00B740B4">
        <w:t xml:space="preserve">it was </w:t>
      </w:r>
      <w:r w:rsidRPr="00B740B4">
        <w:t>God’s mean</w:t>
      </w:r>
      <w:r w:rsidR="00FA3BDB">
        <w:t>s of ensuring that they did so</w:t>
      </w:r>
      <w:r w:rsidRPr="00B740B4">
        <w:t xml:space="preserve">. There is a freedom with which Christ sets us free, but that </w:t>
      </w:r>
      <w:r w:rsidR="00E4778F" w:rsidRPr="00B740B4">
        <w:t>freedom is not the one</w:t>
      </w:r>
      <w:r w:rsidRPr="00B740B4">
        <w:t xml:space="preserve"> claimed by the Hellenizing Jews who eventually abandoned thos</w:t>
      </w:r>
      <w:r w:rsidR="00A02B32" w:rsidRPr="00B740B4">
        <w:t>e emphases of Judaism</w:t>
      </w:r>
      <w:r w:rsidRPr="00B740B4">
        <w:t>.</w:t>
      </w:r>
      <w:r w:rsidR="00A02B32" w:rsidRPr="00B740B4">
        <w:rPr>
          <w:rStyle w:val="FootnoteReference"/>
        </w:rPr>
        <w:footnoteReference w:id="367"/>
      </w:r>
      <w:r w:rsidRPr="00B740B4">
        <w:t xml:space="preserve"> We are reassured that the Daniel who lives at court, stands by the side of the king, and serves the empire, is one who has taken his stand and kept himself pure; and we are challenged about our own willingness </w:t>
      </w:r>
      <w:r w:rsidR="00527264">
        <w:t xml:space="preserve">on one hand </w:t>
      </w:r>
      <w:r w:rsidRPr="00B740B4">
        <w:t xml:space="preserve">to accept an involvement in the world, but </w:t>
      </w:r>
      <w:r w:rsidR="00527264">
        <w:t xml:space="preserve">on the other hand </w:t>
      </w:r>
      <w:r w:rsidRPr="00B740B4">
        <w:t>to recognize that there are points at which we have to draw a line. We are called to be citizens of two worlds, neither surrendering one citizenship by assimilation nor surrendering the other by forming a ghetto.</w:t>
      </w:r>
      <w:r w:rsidR="00A674CF" w:rsidRPr="00B740B4">
        <w:t xml:space="preserve"> There will be</w:t>
      </w:r>
      <w:r w:rsidR="00C43831" w:rsidRPr="00B740B4">
        <w:t xml:space="preserve"> other ways in which (for instance) Western Christians</w:t>
      </w:r>
      <w:r w:rsidR="00527264">
        <w:t>, who</w:t>
      </w:r>
      <w:r w:rsidR="00C43831" w:rsidRPr="00B740B4">
        <w:t xml:space="preserve"> live in a </w:t>
      </w:r>
      <w:r w:rsidR="00934A11" w:rsidRPr="00B740B4">
        <w:t>“</w:t>
      </w:r>
      <w:r w:rsidR="00C43831" w:rsidRPr="00B740B4">
        <w:t>toxic cultu</w:t>
      </w:r>
      <w:r w:rsidR="00A674CF" w:rsidRPr="00B740B4">
        <w:t>re</w:t>
      </w:r>
      <w:r w:rsidR="00934A11" w:rsidRPr="00B740B4">
        <w:t>”</w:t>
      </w:r>
      <w:r w:rsidR="00A674CF" w:rsidRPr="00B740B4">
        <w:t xml:space="preserve"> which stands at odds with thei</w:t>
      </w:r>
      <w:r w:rsidR="00C43831" w:rsidRPr="00B740B4">
        <w:t>r faith,</w:t>
      </w:r>
      <w:r w:rsidR="00C43831" w:rsidRPr="00B740B4">
        <w:rPr>
          <w:rStyle w:val="FootnoteReference"/>
        </w:rPr>
        <w:footnoteReference w:id="368"/>
      </w:r>
      <w:r w:rsidR="00527264">
        <w:t xml:space="preserve"> </w:t>
      </w:r>
      <w:r w:rsidR="00C43831" w:rsidRPr="00B740B4">
        <w:t xml:space="preserve">have to discern where they </w:t>
      </w:r>
      <w:r w:rsidR="00A674CF" w:rsidRPr="00B740B4">
        <w:t xml:space="preserve">must </w:t>
      </w:r>
      <w:r w:rsidR="00C43831" w:rsidRPr="00B740B4">
        <w:t xml:space="preserve">say </w:t>
      </w:r>
      <w:r w:rsidR="00934A11" w:rsidRPr="00B740B4">
        <w:t>“</w:t>
      </w:r>
      <w:r w:rsidR="00C43831" w:rsidRPr="00B740B4">
        <w:t>no.</w:t>
      </w:r>
      <w:r w:rsidR="00934A11" w:rsidRPr="00B740B4">
        <w:t>”</w:t>
      </w:r>
    </w:p>
    <w:p w:rsidR="001C5DAE" w:rsidRDefault="00B27480" w:rsidP="00AD298A">
      <w:r w:rsidRPr="00B740B4">
        <w:rPr>
          <w:b/>
        </w:rPr>
        <w:t>9–14</w:t>
      </w:r>
      <w:r w:rsidR="00527264">
        <w:t xml:space="preserve"> So Daniel takes</w:t>
      </w:r>
      <w:r w:rsidRPr="00B740B4">
        <w:t xml:space="preserve"> his stand. For him to avoid the risk of defilement, however, is for Ashpenaz to take on the risk of his head, if his royal master spots from their appearance that the four young men have not been eating the king’s good food. Yet Ashpenaz is favorably disposed </w:t>
      </w:r>
      <w:r w:rsidR="002D4FFF" w:rsidRPr="00B740B4">
        <w:t xml:space="preserve">towards </w:t>
      </w:r>
      <w:r w:rsidRPr="00B740B4">
        <w:t xml:space="preserve">Daniel and sympathetic to his position, and does not turn his request down. </w:t>
      </w:r>
      <w:r w:rsidR="00AD298A" w:rsidRPr="00B740B4">
        <w:t>(</w:t>
      </w:r>
      <w:r w:rsidR="001C5DAE" w:rsidRPr="001C5DAE">
        <w:t>“The book of Daniel is all about imperial politics.”</w:t>
      </w:r>
      <w:r w:rsidR="001C5DAE" w:rsidRPr="001C5DAE">
        <w:rPr>
          <w:vertAlign w:val="superscript"/>
        </w:rPr>
        <w:footnoteReference w:id="369"/>
      </w:r>
      <w:r w:rsidR="001C5DAE">
        <w:t xml:space="preserve"> </w:t>
      </w:r>
      <w:r w:rsidR="00AD298A" w:rsidRPr="00B740B4">
        <w:t>The writer and most readers of this commentary are not Daniel. They may be Nebuchadnezzar. Th</w:t>
      </w:r>
      <w:r w:rsidR="00527264">
        <w:t>eir best hope may be</w:t>
      </w:r>
      <w:r w:rsidR="00AD298A" w:rsidRPr="00B740B4">
        <w:t xml:space="preserve"> to be Ashpenaz.</w:t>
      </w:r>
      <w:r w:rsidR="00AD298A" w:rsidRPr="00B740B4">
        <w:rPr>
          <w:vertAlign w:val="superscript"/>
        </w:rPr>
        <w:footnoteReference w:id="370"/>
      </w:r>
      <w:r w:rsidR="00AD298A" w:rsidRPr="00B740B4">
        <w:t xml:space="preserve">) </w:t>
      </w:r>
    </w:p>
    <w:p w:rsidR="00AD298A" w:rsidRPr="00B740B4" w:rsidRDefault="00B27480" w:rsidP="00AD298A">
      <w:r w:rsidRPr="00B740B4">
        <w:t>Daniel’s demonstration of his commitments is matched by God’s own. I</w:t>
      </w:r>
      <w:r w:rsidR="00527264">
        <w:t>n the story, i</w:t>
      </w:r>
      <w:r w:rsidRPr="00B740B4">
        <w:t>t begins to look as if things will turn out all right because of who God is, as well as because of who Daniel is.</w:t>
      </w:r>
      <w:r w:rsidR="00527264">
        <w:t xml:space="preserve"> The story has manipulated</w:t>
      </w:r>
      <w:r w:rsidR="00AD298A" w:rsidRPr="00B740B4">
        <w:t xml:space="preserve"> Nebuchadnezzar all through. He thoug</w:t>
      </w:r>
      <w:r w:rsidR="00527264">
        <w:t>ht he was in charge and underst</w:t>
      </w:r>
      <w:r w:rsidR="00AD298A" w:rsidRPr="00B740B4">
        <w:t xml:space="preserve">ood things but he wasn’t and he didn’t. </w:t>
      </w:r>
      <w:r w:rsidR="00934A11" w:rsidRPr="00B740B4">
        <w:t>“</w:t>
      </w:r>
      <w:r w:rsidR="00AD298A" w:rsidRPr="00B740B4">
        <w:t xml:space="preserve">As far as the king knows, his orders have been totally followed and </w:t>
      </w:r>
      <w:r w:rsidR="00AD298A" w:rsidRPr="00B740B4">
        <w:lastRenderedPageBreak/>
        <w:t>completely obeyed,</w:t>
      </w:r>
      <w:r w:rsidR="00934A11" w:rsidRPr="00B740B4">
        <w:t>”</w:t>
      </w:r>
      <w:r w:rsidR="00AD298A" w:rsidRPr="00B740B4">
        <w:t xml:space="preserve"> but unbeknown to him, </w:t>
      </w:r>
      <w:r w:rsidR="00934A11" w:rsidRPr="00B740B4">
        <w:t>“</w:t>
      </w:r>
      <w:r w:rsidR="00AD298A" w:rsidRPr="00B740B4">
        <w:t>Daniel and his three friends negotiate with the king’s servants to change the terms of their subjugation.</w:t>
      </w:r>
      <w:r w:rsidR="00934A11" w:rsidRPr="00B740B4">
        <w:t>”</w:t>
      </w:r>
      <w:r w:rsidR="00AD298A" w:rsidRPr="00B740B4">
        <w:rPr>
          <w:vertAlign w:val="superscript"/>
        </w:rPr>
        <w:footnoteReference w:id="371"/>
      </w:r>
      <w:r w:rsidR="00AD298A" w:rsidRPr="00B740B4">
        <w:t xml:space="preserve"> </w:t>
      </w:r>
    </w:p>
    <w:p w:rsidR="00A674CF" w:rsidRPr="00B740B4" w:rsidRDefault="00B27480" w:rsidP="00AD298A">
      <w:r w:rsidRPr="00B740B4">
        <w:t>For a gentile court-official to be so accommodating was a sufficiently remarkable and unusual experience to require explanation.</w:t>
      </w:r>
      <w:r w:rsidR="00527264">
        <w:t xml:space="preserve"> Through the centuries the faithful</w:t>
      </w:r>
      <w:r w:rsidRPr="00B740B4">
        <w:t xml:space="preserve"> </w:t>
      </w:r>
      <w:r w:rsidR="00527264">
        <w:t xml:space="preserve">have </w:t>
      </w:r>
      <w:r w:rsidRPr="00B740B4">
        <w:t>had to take their stand knowing that it might well mean loss, perhaps suffering and martyrdom. Whatever is meant by God honoring those who honor him (1 Sam 2:30), it is not that he always grants safety and protection to th</w:t>
      </w:r>
      <w:r w:rsidR="00E4778F" w:rsidRPr="00B740B4">
        <w:t>em. Yet sometimes he does grant it</w:t>
      </w:r>
      <w:r w:rsidRPr="00B740B4">
        <w:t xml:space="preserve">, and their faith </w:t>
      </w:r>
      <w:r w:rsidR="00E4778F" w:rsidRPr="00B740B4">
        <w:t xml:space="preserve">then </w:t>
      </w:r>
      <w:r w:rsidRPr="00B740B4">
        <w:t xml:space="preserve">sees the hand of God at work. So it had been once for Joseph, and for the Israelites on the eve of the exodus, and so Solomon prayed it would be in exile (Gen 39:21, cf. </w:t>
      </w:r>
      <w:r w:rsidR="00E4778F" w:rsidRPr="00B740B4">
        <w:rPr>
          <w:i/>
        </w:rPr>
        <w:t>T. Joseph</w:t>
      </w:r>
      <w:r w:rsidRPr="00B740B4">
        <w:t xml:space="preserve"> 2.3; Exod 12:36; 1 Kgs 8:50</w:t>
      </w:r>
      <w:r w:rsidR="00E4778F" w:rsidRPr="00B740B4">
        <w:t>; also Gen 43:14; Ps 106:46). God</w:t>
      </w:r>
      <w:r w:rsidRPr="00B740B4">
        <w:t xml:space="preserve"> can inspire quite unexpected attitudes in friends or foes.</w:t>
      </w:r>
      <w:r w:rsidR="00A02B32" w:rsidRPr="00B740B4">
        <w:rPr>
          <w:rStyle w:val="FootnoteReference"/>
        </w:rPr>
        <w:footnoteReference w:id="372"/>
      </w:r>
      <w:r w:rsidR="00527264">
        <w:t xml:space="preserve"> So b</w:t>
      </w:r>
      <w:r w:rsidRPr="00B740B4">
        <w:t xml:space="preserve">iblical precedent and prayer are once more being followed and fulfilled. Those who have to hold together the claims of the world and the claims of </w:t>
      </w:r>
      <w:r w:rsidR="00527264">
        <w:t xml:space="preserve">the </w:t>
      </w:r>
      <w:r w:rsidRPr="00B740B4">
        <w:t>faith are encouraged to remember that God has been known to ma</w:t>
      </w:r>
      <w:r w:rsidR="00527264">
        <w:t>ke it possible for people to liv</w:t>
      </w:r>
      <w:r w:rsidRPr="00B740B4">
        <w:t xml:space="preserve">e in this world in </w:t>
      </w:r>
      <w:r w:rsidR="00665343" w:rsidRPr="00B740B4">
        <w:t xml:space="preserve">accordance with </w:t>
      </w:r>
      <w:r w:rsidR="00527264">
        <w:t xml:space="preserve">the </w:t>
      </w:r>
      <w:r w:rsidR="00665343" w:rsidRPr="00B740B4">
        <w:t>faith’s claims.</w:t>
      </w:r>
      <w:r w:rsidR="00A674CF" w:rsidRPr="00B740B4">
        <w:t xml:space="preserve"> </w:t>
      </w:r>
      <w:r w:rsidR="00934A11" w:rsidRPr="00B740B4">
        <w:t>“</w:t>
      </w:r>
      <w:r w:rsidR="00A674CF" w:rsidRPr="00B740B4">
        <w:t xml:space="preserve">With the </w:t>
      </w:r>
      <w:r w:rsidR="00A674CF" w:rsidRPr="00B740B4">
        <w:rPr>
          <w:rtl/>
          <w:lang w:bidi="he-IL"/>
        </w:rPr>
        <w:t>חֶסֶד</w:t>
      </w:r>
      <w:r w:rsidR="00A674CF" w:rsidRPr="00B740B4">
        <w:t xml:space="preserve"> of God who delivers and protects with power, the narrator presents, once again, the powerlessness of the colonizer in face of the power of the God of </w:t>
      </w:r>
      <w:r w:rsidR="00A674CF" w:rsidRPr="00B740B4">
        <w:rPr>
          <w:rtl/>
          <w:lang w:bidi="he-IL"/>
        </w:rPr>
        <w:t>חֶסֶד</w:t>
      </w:r>
      <w:r w:rsidR="00A674CF" w:rsidRPr="00B740B4">
        <w:t>.</w:t>
      </w:r>
      <w:r w:rsidR="00934A11" w:rsidRPr="00B740B4">
        <w:t>”</w:t>
      </w:r>
      <w:r w:rsidR="00A674CF" w:rsidRPr="00B740B4">
        <w:rPr>
          <w:vertAlign w:val="superscript"/>
        </w:rPr>
        <w:footnoteReference w:id="373"/>
      </w:r>
    </w:p>
    <w:p w:rsidR="00B27480" w:rsidRPr="00B740B4" w:rsidRDefault="00B27480" w:rsidP="00B27480">
      <w:r w:rsidRPr="00B740B4">
        <w:t xml:space="preserve">Daniel’s purity is not </w:t>
      </w:r>
      <w:r w:rsidR="00527264">
        <w:t>yet secure</w:t>
      </w:r>
      <w:r w:rsidRPr="00B740B4">
        <w:t xml:space="preserve">, however, and sympathy cannot be translated into support until it can be shown that Ashpenaz himself is not about to be endangered. Perhaps Daniel will after all be driven into compromise, or into despair? Divine aid (v 9) does not mean there is no need for the exercise of human responsibility and initiative (v 11): rather </w:t>
      </w:r>
      <w:r w:rsidR="00E4778F" w:rsidRPr="00B740B4">
        <w:t>it opens the way to it</w:t>
      </w:r>
      <w:r w:rsidRPr="00B740B4">
        <w:t>.</w:t>
      </w:r>
      <w:r w:rsidR="00E4778F" w:rsidRPr="00B740B4">
        <w:rPr>
          <w:rStyle w:val="FootnoteReference"/>
        </w:rPr>
        <w:footnoteReference w:id="374"/>
      </w:r>
    </w:p>
    <w:p w:rsidR="00B27480" w:rsidRPr="00B740B4" w:rsidRDefault="00B27480" w:rsidP="00B27480">
      <w:r w:rsidRPr="00B740B4">
        <w:t>Daniel proposes a period of testing to demonstrate that the vegetarian diet he seeks, free from the risk of uncleanness, can be as healthy as the official provision. What gave Daniel the idea and what he expected to emerge from it we are not told. The bold and bald wager, even fixing the terminus ad quem, is out of his mouth before there can be talk of thinking it over or seeking God’s guidance.</w:t>
      </w:r>
      <w:r w:rsidR="00E4778F" w:rsidRPr="00B740B4">
        <w:rPr>
          <w:rStyle w:val="FootnoteReference"/>
        </w:rPr>
        <w:footnoteReference w:id="375"/>
      </w:r>
      <w:r w:rsidR="00E4778F" w:rsidRPr="00B740B4">
        <w:t xml:space="preserve"> Before the Israelites reached Canaan, God tested them by depriving them</w:t>
      </w:r>
      <w:r w:rsidRPr="00B740B4">
        <w:t xml:space="preserve"> o</w:t>
      </w:r>
      <w:r w:rsidR="00E4778F" w:rsidRPr="00B740B4">
        <w:t>f regular provision, to show them</w:t>
      </w:r>
      <w:r w:rsidRPr="00B740B4">
        <w:t xml:space="preserve"> that people do not live on bread alone but by the word t</w:t>
      </w:r>
      <w:r w:rsidR="00527264">
        <w:t>hat God speaks (Deut 8:2–3; 29:6 [5</w:t>
      </w:r>
      <w:r w:rsidRPr="00B740B4">
        <w:t>]).</w:t>
      </w:r>
      <w:r w:rsidR="00E4778F" w:rsidRPr="00B740B4">
        <w:t xml:space="preserve"> After Israel has left Canaan</w:t>
      </w:r>
      <w:r w:rsidRPr="00B740B4">
        <w:t>, Daniel submits to a similar test (and in a sense tests God in the process) to prove the same point.</w:t>
      </w:r>
      <w:r w:rsidR="00E4778F" w:rsidRPr="00B740B4">
        <w:rPr>
          <w:rStyle w:val="FootnoteReference"/>
        </w:rPr>
        <w:footnoteReference w:id="376"/>
      </w:r>
      <w:r w:rsidR="00E4778F" w:rsidRPr="00B740B4">
        <w:t xml:space="preserve"> The person who can do so</w:t>
      </w:r>
      <w:r w:rsidRPr="00B740B4">
        <w:t xml:space="preserve"> is the one who has already discovered how to live with both plenty a</w:t>
      </w:r>
      <w:r w:rsidR="003435AF" w:rsidRPr="00B740B4">
        <w:t>nd poverty (Phil 4:12).</w:t>
      </w:r>
      <w:r w:rsidR="003435AF" w:rsidRPr="00B740B4">
        <w:rPr>
          <w:rStyle w:val="FootnoteReference"/>
        </w:rPr>
        <w:footnoteReference w:id="377"/>
      </w:r>
    </w:p>
    <w:p w:rsidR="00B27480" w:rsidRPr="00B740B4" w:rsidRDefault="00B27480" w:rsidP="00B27480">
      <w:r w:rsidRPr="00B740B4">
        <w:rPr>
          <w:b/>
        </w:rPr>
        <w:t>15–16</w:t>
      </w:r>
      <w:r w:rsidRPr="00B740B4">
        <w:t xml:space="preserve"> All the questions have now been opened up: questions about how to believe in a God who lets Jerusalem fall, about what will happen to young men educated in the learning of a foreign court, about whether they can avoid defilement and satisfy their overlords that there is nothing to be lost by allowing them to do so. Now the answers that have been hinted become more overt.</w:t>
      </w:r>
    </w:p>
    <w:p w:rsidR="00535876" w:rsidRPr="00B740B4" w:rsidRDefault="00B27480" w:rsidP="00535876">
      <w:r w:rsidRPr="00B740B4">
        <w:t xml:space="preserve">First, the test is </w:t>
      </w:r>
      <w:r w:rsidR="001F5F04" w:rsidRPr="00B740B4">
        <w:t>successful; indeed, the four Judahite</w:t>
      </w:r>
      <w:r w:rsidRPr="00B740B4">
        <w:t>s look better after ten days of vegetarian food than the young men who e</w:t>
      </w:r>
      <w:r w:rsidR="00BD1BA1">
        <w:t>at the royal provisions. While it may be that</w:t>
      </w:r>
      <w:r w:rsidRPr="00B740B4">
        <w:t xml:space="preserve"> vegetarian</w:t>
      </w:r>
      <w:r w:rsidR="00BD1BA1">
        <w:t xml:space="preserve"> food is better for you or that</w:t>
      </w:r>
      <w:r w:rsidRPr="00B740B4">
        <w:t xml:space="preserve"> God </w:t>
      </w:r>
      <w:r w:rsidR="00BD1BA1">
        <w:t>has intervened</w:t>
      </w:r>
      <w:r w:rsidRPr="00B740B4">
        <w:t xml:space="preserve"> to prove that people flourish at his word and not </w:t>
      </w:r>
      <w:r w:rsidR="00BD1BA1">
        <w:t>merely because of what they eat,</w:t>
      </w:r>
      <w:r w:rsidRPr="00B740B4">
        <w:t xml:space="preserve"> the story does not tell us why or how this remarkable event </w:t>
      </w:r>
      <w:r w:rsidR="00BD1BA1">
        <w:t>took</w:t>
      </w:r>
      <w:r w:rsidRPr="00B740B4">
        <w:t xml:space="preserve"> place. It only declares </w:t>
      </w:r>
      <w:r w:rsidR="00BD1BA1">
        <w:t>that it did</w:t>
      </w:r>
      <w:r w:rsidRPr="00B740B4">
        <w:t>. So the young men are permanently excused from the royal provision, and their purity is assured for the future. It is possible to be faithful in a pagan court.</w:t>
      </w:r>
    </w:p>
    <w:p w:rsidR="00B00E3B" w:rsidRDefault="00B27480" w:rsidP="00B27480">
      <w:pPr>
        <w:rPr>
          <w:rFonts w:eastAsia="Times New Roman" w:cs="Times New Roman"/>
        </w:rPr>
      </w:pPr>
      <w:r w:rsidRPr="00B740B4">
        <w:rPr>
          <w:b/>
        </w:rPr>
        <w:t>17–20</w:t>
      </w:r>
      <w:r w:rsidRPr="00B740B4">
        <w:t xml:space="preserve"> Indeed, it is possible to be successful there. The OT is not </w:t>
      </w:r>
      <w:r w:rsidR="00D73585" w:rsidRPr="00B740B4">
        <w:t xml:space="preserve">inherently </w:t>
      </w:r>
      <w:r w:rsidRPr="00B740B4">
        <w:t>opposed to divination (and associated purificatory, exorcisti</w:t>
      </w:r>
      <w:r w:rsidR="00D73585" w:rsidRPr="00B740B4">
        <w:t xml:space="preserve">c, and apotropaic rites), </w:t>
      </w:r>
      <w:r w:rsidRPr="00B740B4">
        <w:t>though dreams and casting lot</w:t>
      </w:r>
      <w:r w:rsidR="00BD1BA1">
        <w:t xml:space="preserve">s </w:t>
      </w:r>
      <w:r w:rsidR="00BD1BA1">
        <w:lastRenderedPageBreak/>
        <w:t>are almost its only forms of approved</w:t>
      </w:r>
      <w:r w:rsidRPr="00B740B4">
        <w:t xml:space="preserve"> divin</w:t>
      </w:r>
      <w:r w:rsidR="00D73585" w:rsidRPr="00B740B4">
        <w:t>ation, and they ap</w:t>
      </w:r>
      <w:r w:rsidR="00BD1BA1">
        <w:t>pear rarely; the OT knows</w:t>
      </w:r>
      <w:r w:rsidRPr="00B740B4">
        <w:t xml:space="preserve"> that Yahweh has more distinctive, more direct means of communicating with </w:t>
      </w:r>
      <w:r w:rsidR="00BD1BA1">
        <w:t xml:space="preserve">his people (Deut 18:15). Yet </w:t>
      </w:r>
      <w:r w:rsidR="00D73585" w:rsidRPr="00B740B4">
        <w:t xml:space="preserve">Daniel earns the title </w:t>
      </w:r>
      <w:r w:rsidR="00934A11" w:rsidRPr="00B740B4">
        <w:t>“</w:t>
      </w:r>
      <w:r w:rsidR="00D73585" w:rsidRPr="00B740B4">
        <w:t>prophet</w:t>
      </w:r>
      <w:r w:rsidR="00934A11" w:rsidRPr="00B740B4">
        <w:t>”</w:t>
      </w:r>
      <w:r w:rsidR="00D73585" w:rsidRPr="00B740B4">
        <w:t xml:space="preserve"> from later generations</w:t>
      </w:r>
      <w:r w:rsidRPr="00B740B4">
        <w:t xml:space="preserve"> </w:t>
      </w:r>
      <w:r w:rsidR="00BD1BA1">
        <w:t xml:space="preserve">as a result of </w:t>
      </w:r>
      <w:r w:rsidR="00BD1BA1" w:rsidRPr="00BD1BA1">
        <w:t xml:space="preserve">demonstrating his capacity to divine on the basis of visions and dreams </w:t>
      </w:r>
      <w:r w:rsidRPr="00B740B4">
        <w:t>(4QFlor</w:t>
      </w:r>
      <w:r w:rsidR="00602652">
        <w:t>ilegium</w:t>
      </w:r>
      <w:r w:rsidRPr="00B740B4">
        <w:t xml:space="preserve"> 2.3; Matt 24:15; c</w:t>
      </w:r>
      <w:r w:rsidR="00BD1BA1">
        <w:t>f. Num 12:6). The scriptures’</w:t>
      </w:r>
      <w:r w:rsidR="00D73585" w:rsidRPr="00B740B4">
        <w:t xml:space="preserve"> </w:t>
      </w:r>
      <w:r w:rsidRPr="00B740B4">
        <w:t>attacks on divinat</w:t>
      </w:r>
      <w:r w:rsidR="00D73585" w:rsidRPr="00B740B4">
        <w:t>ion are attacks on the divination</w:t>
      </w:r>
      <w:r w:rsidRPr="00B740B4">
        <w:t xml:space="preserve"> of alien religions (Deut 18:9–14; Isa 47). God, the true God of Israel, is the source of the young men’s insight and of Daniel’s achievements in the Babylonians’ own areas of expertise. There is no positive theology of pagan or secular learning here, but rather the assurance that it can be triumphed over. If there were two </w:t>
      </w:r>
      <w:r w:rsidR="00D73585" w:rsidRPr="00B740B4">
        <w:t xml:space="preserve">main attitudes to foreign insight in the Second Temple </w:t>
      </w:r>
      <w:r w:rsidRPr="00B740B4">
        <w:t>period, Daniel belongs ultimately with the mor</w:t>
      </w:r>
      <w:r w:rsidR="00D73585" w:rsidRPr="00B740B4">
        <w:t>e exclusive, not the more open</w:t>
      </w:r>
      <w:r w:rsidRPr="00B740B4">
        <w:t>.</w:t>
      </w:r>
      <w:r w:rsidR="00D73585" w:rsidRPr="00B740B4">
        <w:rPr>
          <w:rStyle w:val="FootnoteReference"/>
        </w:rPr>
        <w:footnoteReference w:id="378"/>
      </w:r>
      <w:r w:rsidRPr="00B740B4">
        <w:t xml:space="preserve"> By allowing the youn</w:t>
      </w:r>
      <w:r w:rsidR="00D73585" w:rsidRPr="00B740B4">
        <w:t>g men to be open to alien learning</w:t>
      </w:r>
      <w:r w:rsidR="00C230D3">
        <w:t>,</w:t>
      </w:r>
      <w:r w:rsidRPr="00B740B4">
        <w:t xml:space="preserve"> but </w:t>
      </w:r>
      <w:r w:rsidR="00D73585" w:rsidRPr="00B740B4">
        <w:t xml:space="preserve">by </w:t>
      </w:r>
      <w:r w:rsidR="00BD1BA1">
        <w:t>then portraying their learning</w:t>
      </w:r>
      <w:r w:rsidRPr="00B740B4">
        <w:t xml:space="preserve"> as superior, Daniel makes the same points as Isa 47, perhaps more strongly. It asserts that there is insight about life, history, and politics (the affairs th</w:t>
      </w:r>
      <w:r w:rsidR="00BD1BA1">
        <w:t>e young men will be concerned with</w:t>
      </w:r>
      <w:r w:rsidRPr="00B740B4">
        <w:t>) that only God endows. God is the giver in connection with their destiny, even when it does not appear so (v 2), the giver in connection with their relationships, even when these are most threatening (v 9), and the giver in connection with their character and abilities, even when these are under most pressure (v 17). His involvement thus relativizes military power, political power,</w:t>
      </w:r>
      <w:r w:rsidR="00C230D3">
        <w:t xml:space="preserve"> and the power of human insight</w:t>
      </w:r>
      <w:r w:rsidR="00D73585" w:rsidRPr="00B740B4">
        <w:t>.</w:t>
      </w:r>
      <w:r w:rsidRPr="00B740B4">
        <w:t xml:space="preserve"> </w:t>
      </w:r>
      <w:r w:rsidR="00D73585" w:rsidRPr="00B740B4">
        <w:rPr>
          <w:rStyle w:val="FootnoteReference"/>
        </w:rPr>
        <w:footnoteReference w:id="379"/>
      </w:r>
      <w:r w:rsidR="003370EC" w:rsidRPr="00B740B4">
        <w:t xml:space="preserve"> </w:t>
      </w:r>
      <w:r w:rsidR="00CC7E48">
        <w:t xml:space="preserve"> </w:t>
      </w:r>
      <w:r w:rsidR="00934A11" w:rsidRPr="00B740B4">
        <w:t>“</w:t>
      </w:r>
      <w:r w:rsidRPr="00B740B4">
        <w:t>‘God gave’—that</w:t>
      </w:r>
      <w:r w:rsidR="0066363E" w:rsidRPr="00B740B4">
        <w:t xml:space="preserve"> is the G</w:t>
      </w:r>
      <w:r w:rsidR="00C230D3">
        <w:t>ospel of this chapter,</w:t>
      </w:r>
      <w:r w:rsidR="00934A11" w:rsidRPr="00B740B4">
        <w:t>”</w:t>
      </w:r>
      <w:r w:rsidR="00A02B32" w:rsidRPr="00B740B4">
        <w:rPr>
          <w:rStyle w:val="FootnoteReference"/>
        </w:rPr>
        <w:footnoteReference w:id="380"/>
      </w:r>
      <w:r w:rsidR="00C230D3">
        <w:t xml:space="preserve"> a</w:t>
      </w:r>
      <w:r w:rsidR="00CC7E48">
        <w:t xml:space="preserve">nd thus </w:t>
      </w:r>
      <w:r w:rsidR="00CC7E48" w:rsidRPr="00B00E3B">
        <w:t xml:space="preserve">“arguably </w:t>
      </w:r>
      <w:r w:rsidR="00CC7E48" w:rsidRPr="00B00E3B">
        <w:rPr>
          <w:rFonts w:eastAsia="Times New Roman" w:cs="Times New Roman"/>
        </w:rPr>
        <w:t>the most significant theological claim of this chapter</w:t>
      </w:r>
      <w:r w:rsidR="00B00E3B" w:rsidRPr="00B00E3B">
        <w:rPr>
          <w:rFonts w:eastAsia="Times New Roman" w:cs="Times New Roman"/>
        </w:rPr>
        <w:t>.”</w:t>
      </w:r>
      <w:r w:rsidR="00B00E3B" w:rsidRPr="00B00E3B">
        <w:rPr>
          <w:rStyle w:val="FootnoteReference"/>
          <w:rFonts w:eastAsia="Times New Roman" w:cs="Times New Roman"/>
        </w:rPr>
        <w:footnoteReference w:id="381"/>
      </w:r>
      <w:r w:rsidR="00B00E3B">
        <w:rPr>
          <w:rFonts w:eastAsia="Times New Roman" w:cs="Times New Roman"/>
        </w:rPr>
        <w:t xml:space="preserve"> </w:t>
      </w:r>
    </w:p>
    <w:p w:rsidR="0061098F" w:rsidRPr="00B740B4" w:rsidRDefault="00C25A95" w:rsidP="00B27480">
      <w:r>
        <w:t>So i</w:t>
      </w:r>
      <w:r w:rsidR="00B27480" w:rsidRPr="00B740B4">
        <w:t xml:space="preserve">t is hardly surprising that the young men’s counsel turns out to be not merely comparable with but ten times better than that of the king’s other advisers—even if this </w:t>
      </w:r>
      <w:r w:rsidR="003370EC" w:rsidRPr="00B740B4">
        <w:t>claim seems a bold one</w:t>
      </w:r>
      <w:r w:rsidR="00B27480" w:rsidRPr="00B740B4">
        <w:t xml:space="preserve">, whether in a Babylonian, a Persian, or a Greek context. If the God of Israel is God, it is to be expected that he will enable his people to offer better counsel </w:t>
      </w:r>
      <w:r w:rsidR="003370EC" w:rsidRPr="00B740B4">
        <w:t>than those who seek their insight</w:t>
      </w:r>
      <w:r w:rsidR="00C230D3">
        <w:t xml:space="preserve"> from other sources</w:t>
      </w:r>
      <w:r w:rsidR="00B27480" w:rsidRPr="00B740B4">
        <w:t>. The God whom Nebuchadnezzar was seeking to eliminate</w:t>
      </w:r>
      <w:r w:rsidR="003435AF" w:rsidRPr="00B740B4">
        <w:t xml:space="preserve"> (vv 1–7) is triumphing</w:t>
      </w:r>
      <w:r w:rsidR="00B27480" w:rsidRPr="00B740B4">
        <w:t>. The Israelite kingly family has been taken into the service of the Babylonian king but it has found itself in a positio</w:t>
      </w:r>
      <w:r w:rsidR="00C230D3">
        <w:t xml:space="preserve">n of leadership in Babylon, </w:t>
      </w:r>
      <w:r w:rsidR="00B27480" w:rsidRPr="00B740B4">
        <w:t>not through military or political</w:t>
      </w:r>
      <w:r w:rsidR="003370EC" w:rsidRPr="00B740B4">
        <w:t xml:space="preserve"> achievement but through showing itself discerning.</w:t>
      </w:r>
      <w:r w:rsidR="003370EC" w:rsidRPr="00B740B4">
        <w:rPr>
          <w:rStyle w:val="FootnoteReference"/>
        </w:rPr>
        <w:footnoteReference w:id="382"/>
      </w:r>
      <w:r w:rsidR="0061098F" w:rsidRPr="00B740B4">
        <w:t xml:space="preserve"> </w:t>
      </w:r>
      <w:r w:rsidR="0061098F" w:rsidRPr="00B740B4">
        <w:rPr>
          <w:bCs/>
        </w:rPr>
        <w:t>The young men are in a position to bind together conventional wisdom and insight that comes from faith in God.</w:t>
      </w:r>
      <w:r w:rsidR="0061098F" w:rsidRPr="00B740B4">
        <w:rPr>
          <w:rStyle w:val="FootnoteReference"/>
          <w:bCs/>
        </w:rPr>
        <w:footnoteReference w:id="383"/>
      </w:r>
    </w:p>
    <w:p w:rsidR="00CC2664" w:rsidRPr="00B740B4" w:rsidRDefault="00B27480" w:rsidP="00B27480">
      <w:r w:rsidRPr="00B740B4">
        <w:rPr>
          <w:b/>
        </w:rPr>
        <w:t>21</w:t>
      </w:r>
      <w:r w:rsidRPr="00B740B4">
        <w:t xml:space="preserve"> Nor is this triumph a single belated event or one relevant only to the lives of individuals. We started on the broad canvas of a defeat by Nebuchadnezzar, a plundering of the temple, and an exiling of the flower of Israel’s manhoo</w:t>
      </w:r>
      <w:r w:rsidR="003370EC" w:rsidRPr="00B740B4">
        <w:t xml:space="preserve">d, which threaten to break off </w:t>
      </w:r>
      <w:r w:rsidRPr="00B740B4">
        <w:t xml:space="preserve">the story of God, his purpose with Israel, and their relationship with him. But Daniel lived through the seventy years of submission to Babylon prophesied by Jeremiah, on to </w:t>
      </w:r>
      <w:r w:rsidR="00934A11" w:rsidRPr="00B740B4">
        <w:t>“</w:t>
      </w:r>
      <w:r w:rsidRPr="00B740B4">
        <w:t>the first year of Cyrus, king of Persia,</w:t>
      </w:r>
      <w:r w:rsidR="00934A11" w:rsidRPr="00B740B4">
        <w:t>”</w:t>
      </w:r>
      <w:r w:rsidR="001F5F04" w:rsidRPr="00B740B4">
        <w:t xml:space="preserve"> who encouraged Judahite</w:t>
      </w:r>
      <w:r w:rsidRPr="00B740B4">
        <w:t xml:space="preserve"> exiles to return with the temple articles to rebuild th</w:t>
      </w:r>
      <w:r w:rsidR="00CC2664" w:rsidRPr="00B740B4">
        <w:t>e temple (2 Chr 36:22–23</w:t>
      </w:r>
      <w:r w:rsidR="00C230D3">
        <w:t>). Daniel is still in Babylon</w:t>
      </w:r>
      <w:r w:rsidRPr="00B740B4">
        <w:t xml:space="preserve"> when Nebuchadnezzar, who had </w:t>
      </w:r>
      <w:r w:rsidR="00AD298A" w:rsidRPr="00B740B4">
        <w:t>imposed Babylonian authority over Israel</w:t>
      </w:r>
      <w:r w:rsidRPr="00B740B4">
        <w:t>, gives way to Cyru</w:t>
      </w:r>
      <w:r w:rsidR="00AD298A" w:rsidRPr="00B740B4">
        <w:t>s, who terminates it.</w:t>
      </w:r>
      <w:r w:rsidR="00411D63" w:rsidRPr="00B740B4">
        <w:t xml:space="preserve"> </w:t>
      </w:r>
      <w:r w:rsidR="00AD298A" w:rsidRPr="00B740B4">
        <w:t>It’s not exactly the end of the exile, according to chap. 9.</w:t>
      </w:r>
      <w:r w:rsidR="00AD298A" w:rsidRPr="00B740B4">
        <w:rPr>
          <w:vertAlign w:val="superscript"/>
        </w:rPr>
        <w:footnoteReference w:id="384"/>
      </w:r>
      <w:r w:rsidR="00AD298A" w:rsidRPr="00B740B4">
        <w:t xml:space="preserve"> </w:t>
      </w:r>
      <w:r w:rsidR="00C230D3">
        <w:t>But</w:t>
      </w:r>
      <w:r w:rsidR="00CC2664" w:rsidRPr="00B740B4">
        <w:t xml:space="preserve"> people hearing this story </w:t>
      </w:r>
      <w:r w:rsidR="00C230D3">
        <w:t xml:space="preserve">might well have recalled </w:t>
      </w:r>
      <w:r w:rsidR="00CF0D70">
        <w:t xml:space="preserve">that the first year of </w:t>
      </w:r>
      <w:r w:rsidR="00CC2664" w:rsidRPr="00B740B4">
        <w:t>Cyrus w</w:t>
      </w:r>
      <w:r w:rsidR="00C230D3">
        <w:t>as the moment when</w:t>
      </w:r>
      <w:r w:rsidR="00CC2664" w:rsidRPr="00B740B4">
        <w:t xml:space="preserve"> Nebuchadnezzar</w:t>
      </w:r>
      <w:r w:rsidR="00C230D3">
        <w:t>’s action</w:t>
      </w:r>
      <w:r w:rsidR="00CC2664" w:rsidRPr="00B740B4">
        <w:t xml:space="preserve"> was reversed, when Cyrus commissioned Judahit</w:t>
      </w:r>
      <w:r w:rsidR="00C230D3">
        <w:t>es in Babylon to go back homa and</w:t>
      </w:r>
      <w:r w:rsidR="00CC2664" w:rsidRPr="00B740B4">
        <w:t xml:space="preserve"> rebuild the tem</w:t>
      </w:r>
      <w:r w:rsidR="00C230D3">
        <w:t>ple in Jerusalem</w:t>
      </w:r>
      <w:r w:rsidR="00CC2664" w:rsidRPr="00B740B4">
        <w:t xml:space="preserve">—he also being the means of </w:t>
      </w:r>
      <w:r w:rsidR="00C230D3">
        <w:t xml:space="preserve">fulfilling </w:t>
      </w:r>
      <w:r w:rsidR="00CC2664" w:rsidRPr="00B740B4">
        <w:t>Yahweh’s intentio</w:t>
      </w:r>
      <w:r w:rsidR="00C230D3">
        <w:t>ns</w:t>
      </w:r>
      <w:r w:rsidR="00CC2664" w:rsidRPr="00B740B4">
        <w:t xml:space="preserve"> (Isa 44:24—45:7; 2 Chr 36:22-23)</w:t>
      </w:r>
      <w:r w:rsidR="00157D49" w:rsidRPr="00B740B4">
        <w:t>.</w:t>
      </w:r>
      <w:r w:rsidR="00157D49" w:rsidRPr="00B740B4">
        <w:rPr>
          <w:rStyle w:val="FootnoteReference"/>
        </w:rPr>
        <w:footnoteReference w:id="385"/>
      </w:r>
    </w:p>
    <w:p w:rsidR="00C25A95" w:rsidRDefault="00B27480" w:rsidP="00400E09">
      <w:r w:rsidRPr="00B740B4">
        <w:lastRenderedPageBreak/>
        <w:t xml:space="preserve">Daniel offers no answer to the question </w:t>
      </w:r>
      <w:r w:rsidR="00934A11" w:rsidRPr="00B740B4">
        <w:t>“</w:t>
      </w:r>
      <w:r w:rsidRPr="00B740B4">
        <w:t>Why are we here in exile?</w:t>
      </w:r>
      <w:r w:rsidR="00934A11" w:rsidRPr="00B740B4">
        <w:t>”</w:t>
      </w:r>
      <w:r w:rsidRPr="00B740B4">
        <w:t xml:space="preserve"> It was simply God’s will. It can be accepted, partly because it is not without end. A beginni</w:t>
      </w:r>
      <w:r w:rsidR="003370EC" w:rsidRPr="00B740B4">
        <w:t xml:space="preserve">ng in </w:t>
      </w:r>
      <w:r w:rsidR="00934A11" w:rsidRPr="00B740B4">
        <w:t>“</w:t>
      </w:r>
      <w:r w:rsidR="003370EC" w:rsidRPr="00B740B4">
        <w:t>the third year of Jehoiaq</w:t>
      </w:r>
      <w:r w:rsidRPr="00B740B4">
        <w:t>im</w:t>
      </w:r>
      <w:r w:rsidR="00934A11" w:rsidRPr="00B740B4">
        <w:t>”</w:t>
      </w:r>
      <w:r w:rsidRPr="00B740B4">
        <w:t xml:space="preserve"> can be acknowledged and recorded because it contains the seed of an end in </w:t>
      </w:r>
      <w:r w:rsidR="00934A11" w:rsidRPr="00B740B4">
        <w:t>“</w:t>
      </w:r>
      <w:r w:rsidRPr="00B740B4">
        <w:t>the first year of King Cyrus,</w:t>
      </w:r>
      <w:r w:rsidR="00934A11" w:rsidRPr="00B740B4">
        <w:t>”</w:t>
      </w:r>
      <w:r w:rsidRPr="00B740B4">
        <w:t xml:space="preserve"> not by forces immanent in history but by those immanent in the word of God that decides both beginning and end. </w:t>
      </w:r>
      <w:r w:rsidR="00934A11" w:rsidRPr="00B740B4">
        <w:t>“</w:t>
      </w:r>
      <w:r w:rsidRPr="00B740B4">
        <w:t>Nebuchadnezzar</w:t>
      </w:r>
      <w:r w:rsidR="00934A11" w:rsidRPr="00B740B4">
        <w:t>”</w:t>
      </w:r>
      <w:r w:rsidRPr="00B740B4">
        <w:t xml:space="preserve"> spells invasion, siege, defeat, plundering, exile. </w:t>
      </w:r>
      <w:r w:rsidR="00934A11" w:rsidRPr="00B740B4">
        <w:t>“</w:t>
      </w:r>
      <w:r w:rsidRPr="00B740B4">
        <w:t>Cyrus</w:t>
      </w:r>
      <w:r w:rsidR="00934A11" w:rsidRPr="00B740B4">
        <w:t>”</w:t>
      </w:r>
      <w:r w:rsidRPr="00B740B4">
        <w:t xml:space="preserve"> spells the end of each of these. </w:t>
      </w:r>
      <w:r w:rsidR="00934A11" w:rsidRPr="00B740B4">
        <w:t>“</w:t>
      </w:r>
      <w:r w:rsidRPr="00B740B4">
        <w:t>Nebuchadnezzar</w:t>
      </w:r>
      <w:r w:rsidR="00934A11" w:rsidRPr="00B740B4">
        <w:t>”</w:t>
      </w:r>
      <w:r w:rsidRPr="00B740B4">
        <w:t xml:space="preserve"> brings the day of Yahweh’s abandoning his people to darkness and wrath, a historical experience and at the same time a pointer to ultimate Darkness and Wrath. </w:t>
      </w:r>
      <w:r w:rsidR="00934A11" w:rsidRPr="00B740B4">
        <w:t>“</w:t>
      </w:r>
      <w:r w:rsidRPr="00B740B4">
        <w:t>Cyrus</w:t>
      </w:r>
      <w:r w:rsidR="00934A11" w:rsidRPr="00B740B4">
        <w:t>”</w:t>
      </w:r>
      <w:r w:rsidRPr="00B740B4">
        <w:t xml:space="preserve"> suggests deliverance and freedom, restoration and rebuilding, the joy of going home. It, too, is a historical experience yet at the same time a pointer to the deliverance freedom, restoration, and joy of the End (cf. Isa 44:24–45:7).</w:t>
      </w:r>
      <w:r w:rsidR="003370EC" w:rsidRPr="00B740B4">
        <w:t xml:space="preserve"> While t</w:t>
      </w:r>
      <w:r w:rsidRPr="00B740B4">
        <w:t>he fact that the exile does not go on for ever and that Daniel sees it out does not provide an intellectua</w:t>
      </w:r>
      <w:r w:rsidR="003370EC" w:rsidRPr="00B740B4">
        <w:t xml:space="preserve">l answer to why it happens, </w:t>
      </w:r>
      <w:r w:rsidRPr="00B740B4">
        <w:t xml:space="preserve">it </w:t>
      </w:r>
      <w:r w:rsidR="003370EC" w:rsidRPr="00B740B4">
        <w:t>does provide</w:t>
      </w:r>
      <w:r w:rsidRPr="00B740B4">
        <w:t xml:space="preserve"> some practical help for living in exile. On the basis of it, those who wait for Yahweh can find new strength (Isa 40:31). </w:t>
      </w:r>
      <w:r w:rsidR="003435AF" w:rsidRPr="00B740B4">
        <w:t xml:space="preserve">Their faith </w:t>
      </w:r>
      <w:r w:rsidR="003370EC" w:rsidRPr="00B740B4">
        <w:t>can survive and grow</w:t>
      </w:r>
      <w:r w:rsidR="003435AF" w:rsidRPr="00B740B4">
        <w:t>.</w:t>
      </w:r>
      <w:r w:rsidR="00CF0D70">
        <w:t xml:space="preserve"> </w:t>
      </w:r>
    </w:p>
    <w:p w:rsidR="00D922B1" w:rsidRPr="00B740B4" w:rsidRDefault="00411D63" w:rsidP="00400E09">
      <w:r w:rsidRPr="00B740B4">
        <w:t xml:space="preserve">The genius and the limitation of a story </w:t>
      </w:r>
      <w:r w:rsidR="00C25A95">
        <w:t xml:space="preserve">of this kind </w:t>
      </w:r>
      <w:r w:rsidRPr="00B740B4">
        <w:t xml:space="preserve">is its concrete nature. As it may be impossible to move from an </w:t>
      </w:r>
      <w:r w:rsidR="00934A11" w:rsidRPr="00B740B4">
        <w:t>“</w:t>
      </w:r>
      <w:r w:rsidRPr="00B740B4">
        <w:t>is</w:t>
      </w:r>
      <w:r w:rsidR="00934A11" w:rsidRPr="00B740B4">
        <w:t>”</w:t>
      </w:r>
      <w:r w:rsidRPr="00B740B4">
        <w:t xml:space="preserve"> to an </w:t>
      </w:r>
      <w:r w:rsidR="00934A11" w:rsidRPr="00B740B4">
        <w:t>“</w:t>
      </w:r>
      <w:r w:rsidRPr="00B740B4">
        <w:t>ought,</w:t>
      </w:r>
      <w:r w:rsidR="00934A11" w:rsidRPr="00B740B4">
        <w:t>”</w:t>
      </w:r>
      <w:r w:rsidRPr="00B740B4">
        <w:t xml:space="preserve"> it may be impossible to move from a narrative statement to a general statement, from </w:t>
      </w:r>
      <w:r w:rsidR="00934A11" w:rsidRPr="00B740B4">
        <w:t>“</w:t>
      </w:r>
      <w:r w:rsidRPr="00B740B4">
        <w:t>Yahweh enabled Daniel to triumph</w:t>
      </w:r>
      <w:r w:rsidR="00934A11" w:rsidRPr="00B740B4">
        <w:t>”</w:t>
      </w:r>
      <w:r w:rsidRPr="00B740B4">
        <w:t xml:space="preserve"> to </w:t>
      </w:r>
      <w:r w:rsidR="00934A11" w:rsidRPr="00B740B4">
        <w:t>“</w:t>
      </w:r>
      <w:r w:rsidRPr="00B740B4">
        <w:t>Yahweh will enable us to the triumph.</w:t>
      </w:r>
      <w:r w:rsidR="00934A11" w:rsidRPr="00B740B4">
        <w:t>”</w:t>
      </w:r>
      <w:r w:rsidRPr="00B740B4">
        <w:t xml:space="preserve"> But a concrete story describes what Yahweh has neen known to do, and it opens up the possibility that he might do it again, or might do something analogous.</w:t>
      </w:r>
    </w:p>
    <w:p w:rsidR="00C35D91" w:rsidRPr="00B740B4" w:rsidRDefault="00C35D91" w:rsidP="00400E09">
      <w:r w:rsidRPr="00B740B4">
        <w:br w:type="page"/>
      </w:r>
    </w:p>
    <w:p w:rsidR="00C35D91" w:rsidRPr="00B740B4" w:rsidRDefault="00C35D91" w:rsidP="00096F8C">
      <w:pPr>
        <w:pStyle w:val="Heading1"/>
      </w:pPr>
      <w:r w:rsidRPr="00B740B4">
        <w:lastRenderedPageBreak/>
        <w:t xml:space="preserve">The God of </w:t>
      </w:r>
      <w:r w:rsidR="00E025B5" w:rsidRPr="00B740B4">
        <w:t xml:space="preserve">the </w:t>
      </w:r>
      <w:r w:rsidRPr="00B740B4">
        <w:t>Heaven</w:t>
      </w:r>
      <w:r w:rsidR="00E025B5" w:rsidRPr="00B740B4">
        <w:t>s</w:t>
      </w:r>
      <w:r w:rsidRPr="00B740B4">
        <w:t xml:space="preserve"> Reveals the King’s Dream to Daniel and the Empire’s Destiny to Nebuchadnezzar (2:1–49)</w:t>
      </w:r>
    </w:p>
    <w:p w:rsidR="00C35D91" w:rsidRPr="00B740B4" w:rsidRDefault="00C35D91" w:rsidP="009479B1">
      <w:pPr>
        <w:pStyle w:val="Heading2"/>
      </w:pPr>
      <w:r w:rsidRPr="00B740B4">
        <w:t>Pericope Bibliography</w:t>
      </w:r>
    </w:p>
    <w:p w:rsidR="00C35D91" w:rsidRPr="00677C9B" w:rsidRDefault="00C35D91" w:rsidP="00C41B2E">
      <w:pPr>
        <w:pStyle w:val="ListParagraph"/>
        <w:ind w:left="0" w:firstLine="0"/>
      </w:pPr>
      <w:r w:rsidRPr="00B740B4">
        <w:rPr>
          <w:b/>
        </w:rPr>
        <w:t>Alt, A.</w:t>
      </w:r>
      <w:r w:rsidRPr="00B740B4">
        <w:t xml:space="preserve"> </w:t>
      </w:r>
      <w:r w:rsidR="00934A11" w:rsidRPr="00B740B4">
        <w:t>“</w:t>
      </w:r>
      <w:r w:rsidRPr="00B740B4">
        <w:t>Die Deut</w:t>
      </w:r>
      <w:r w:rsidR="006468BB" w:rsidRPr="00B740B4">
        <w:t>ung der Weltgeschichte im AT</w:t>
      </w:r>
      <w:r w:rsidRPr="00B740B4">
        <w:t>.</w:t>
      </w:r>
      <w:r w:rsidR="00934A11" w:rsidRPr="00B740B4">
        <w:t>”</w:t>
      </w:r>
      <w:r w:rsidRPr="00B740B4">
        <w:t xml:space="preserve"> </w:t>
      </w:r>
      <w:r w:rsidRPr="00B740B4">
        <w:rPr>
          <w:b/>
        </w:rPr>
        <w:t xml:space="preserve">Anklesaria, B. T. </w:t>
      </w:r>
      <w:r w:rsidRPr="00B740B4">
        <w:rPr>
          <w:i/>
        </w:rPr>
        <w:t>Zand-î Vohûman Yasn</w:t>
      </w:r>
      <w:r w:rsidRPr="00B740B4">
        <w:t xml:space="preserve">. </w:t>
      </w:r>
      <w:r w:rsidR="009959BF" w:rsidRPr="00B740B4">
        <w:rPr>
          <w:rFonts w:eastAsia="Times-Roman"/>
          <w:b/>
        </w:rPr>
        <w:t xml:space="preserve">Arnold, B. T. </w:t>
      </w:r>
      <w:r w:rsidR="00934A11" w:rsidRPr="00B740B4">
        <w:rPr>
          <w:rFonts w:eastAsia="Times-Roman"/>
          <w:b/>
        </w:rPr>
        <w:t>“</w:t>
      </w:r>
      <w:r w:rsidR="009959BF" w:rsidRPr="00B740B4">
        <w:rPr>
          <w:rFonts w:eastAsia="Times-Roman"/>
        </w:rPr>
        <w:t>The Use of Aramaic in the Hebrew Bible.</w:t>
      </w:r>
      <w:r w:rsidR="00934A11" w:rsidRPr="00B740B4">
        <w:rPr>
          <w:rFonts w:eastAsia="Times-Roman"/>
        </w:rPr>
        <w:t>”</w:t>
      </w:r>
      <w:r w:rsidR="009959BF" w:rsidRPr="00B740B4">
        <w:rPr>
          <w:rFonts w:eastAsia="Times-Roman"/>
        </w:rPr>
        <w:t xml:space="preserve"> </w:t>
      </w:r>
      <w:r w:rsidRPr="00B740B4">
        <w:rPr>
          <w:b/>
        </w:rPr>
        <w:t>Baumgartner, W.</w:t>
      </w:r>
      <w:r w:rsidRPr="00B740B4">
        <w:t xml:space="preserve"> </w:t>
      </w:r>
      <w:r w:rsidR="00934A11" w:rsidRPr="00B740B4">
        <w:t>“</w:t>
      </w:r>
      <w:r w:rsidRPr="00B740B4">
        <w:t>Zum Traumerraten i</w:t>
      </w:r>
      <w:r w:rsidR="006468BB" w:rsidRPr="00B740B4">
        <w:t>n Daniel 2.</w:t>
      </w:r>
      <w:r w:rsidR="00934A11" w:rsidRPr="00B740B4">
        <w:t>”</w:t>
      </w:r>
      <w:r w:rsidRPr="00B740B4">
        <w:t xml:space="preserve"> ———. </w:t>
      </w:r>
      <w:r w:rsidR="00934A11" w:rsidRPr="00B740B4">
        <w:t>“</w:t>
      </w:r>
      <w:r w:rsidRPr="00B740B4">
        <w:t>Zu den vier Reichen v</w:t>
      </w:r>
      <w:r w:rsidR="006468BB" w:rsidRPr="00B740B4">
        <w:t>on Daniel 2.</w:t>
      </w:r>
      <w:r w:rsidR="00934A11" w:rsidRPr="00B740B4">
        <w:t>”</w:t>
      </w:r>
      <w:r w:rsidRPr="00B740B4">
        <w:t xml:space="preserve"> </w:t>
      </w:r>
      <w:r w:rsidRPr="00B740B4">
        <w:rPr>
          <w:b/>
        </w:rPr>
        <w:t>Bergman, B. Z.</w:t>
      </w:r>
      <w:r w:rsidRPr="00B740B4">
        <w:t xml:space="preserve"> </w:t>
      </w:r>
      <w:r w:rsidR="00934A11" w:rsidRPr="00B740B4">
        <w:t>“</w:t>
      </w:r>
      <w:r w:rsidR="001B366F" w:rsidRPr="00B740B4">
        <w:t>Han‘el in Daniel</w:t>
      </w:r>
      <w:r w:rsidRPr="00B740B4">
        <w:t xml:space="preserve"> 2:25 </w:t>
      </w:r>
      <w:r w:rsidR="006468BB" w:rsidRPr="00B740B4">
        <w:t>and 6:19.</w:t>
      </w:r>
      <w:r w:rsidR="00934A11" w:rsidRPr="00B740B4">
        <w:t>”</w:t>
      </w:r>
      <w:r w:rsidRPr="00B740B4">
        <w:t xml:space="preserve"> </w:t>
      </w:r>
      <w:r w:rsidR="00A41B9F" w:rsidRPr="00B740B4">
        <w:rPr>
          <w:b/>
        </w:rPr>
        <w:t>Beyerle, S. “</w:t>
      </w:r>
      <w:r w:rsidR="001B366F" w:rsidRPr="00B740B4">
        <w:t>The ‘God o</w:t>
      </w:r>
      <w:r w:rsidR="00A41B9F" w:rsidRPr="00B740B4">
        <w:t>f Heaven’ in Persian and Hellenistic Times.”</w:t>
      </w:r>
      <w:r w:rsidR="00A41B9F" w:rsidRPr="00B740B4">
        <w:rPr>
          <w:b/>
        </w:rPr>
        <w:t xml:space="preserve"> </w:t>
      </w:r>
      <w:r w:rsidRPr="00B740B4">
        <w:rPr>
          <w:b/>
        </w:rPr>
        <w:t>Birks, T. R.</w:t>
      </w:r>
      <w:r w:rsidR="006468BB" w:rsidRPr="00B740B4">
        <w:t xml:space="preserve"> </w:t>
      </w:r>
      <w:r w:rsidR="006468BB" w:rsidRPr="00B740B4">
        <w:rPr>
          <w:i/>
        </w:rPr>
        <w:t>The Four Prophetic Empires</w:t>
      </w:r>
      <w:r w:rsidR="006468BB" w:rsidRPr="00B740B4">
        <w:t xml:space="preserve">. </w:t>
      </w:r>
      <w:r w:rsidRPr="00B740B4">
        <w:rPr>
          <w:b/>
        </w:rPr>
        <w:t>Brooke, G. J.</w:t>
      </w:r>
      <w:r w:rsidR="006468BB" w:rsidRPr="00B740B4">
        <w:t xml:space="preserve"> </w:t>
      </w:r>
      <w:r w:rsidR="00934A11" w:rsidRPr="00B740B4">
        <w:t>“</w:t>
      </w:r>
      <w:r w:rsidR="006468BB" w:rsidRPr="00B740B4">
        <w:t>Qumran Pesher.</w:t>
      </w:r>
      <w:r w:rsidR="00934A11" w:rsidRPr="00B740B4">
        <w:t>”</w:t>
      </w:r>
      <w:r w:rsidR="006468BB" w:rsidRPr="00B740B4">
        <w:t xml:space="preserve"> </w:t>
      </w:r>
      <w:r w:rsidRPr="00B740B4">
        <w:rPr>
          <w:b/>
        </w:rPr>
        <w:t>Bush, G.</w:t>
      </w:r>
      <w:r w:rsidRPr="00B740B4">
        <w:t xml:space="preserve"> </w:t>
      </w:r>
      <w:r w:rsidRPr="00B740B4">
        <w:rPr>
          <w:i/>
        </w:rPr>
        <w:t>The Prophecies o</w:t>
      </w:r>
      <w:r w:rsidR="00A0067A" w:rsidRPr="00B740B4">
        <w:rPr>
          <w:i/>
        </w:rPr>
        <w:t>f Daniel</w:t>
      </w:r>
      <w:r w:rsidR="00A0067A" w:rsidRPr="00B740B4">
        <w:rPr>
          <w:b/>
        </w:rPr>
        <w:t xml:space="preserve">. </w:t>
      </w:r>
      <w:r w:rsidRPr="00B740B4">
        <w:rPr>
          <w:b/>
        </w:rPr>
        <w:t>Caspari, W.</w:t>
      </w:r>
      <w:r w:rsidRPr="00B740B4">
        <w:t xml:space="preserve"> </w:t>
      </w:r>
      <w:r w:rsidR="00934A11" w:rsidRPr="00B740B4">
        <w:t>“</w:t>
      </w:r>
      <w:r w:rsidRPr="00B740B4">
        <w:t>Eine neue Ti</w:t>
      </w:r>
      <w:r w:rsidR="001B366F" w:rsidRPr="00B740B4">
        <w:t>ergestalt in Daniel</w:t>
      </w:r>
      <w:r w:rsidR="00A0067A" w:rsidRPr="00B740B4">
        <w:t>.</w:t>
      </w:r>
      <w:r w:rsidR="00934A11" w:rsidRPr="00B740B4">
        <w:t>”</w:t>
      </w:r>
      <w:r w:rsidR="00A0067A" w:rsidRPr="00B740B4">
        <w:t xml:space="preserve"> </w:t>
      </w:r>
      <w:r w:rsidRPr="00B740B4">
        <w:rPr>
          <w:b/>
        </w:rPr>
        <w:t>Clerget, J.</w:t>
      </w:r>
      <w:r w:rsidRPr="00B740B4">
        <w:t xml:space="preserve"> </w:t>
      </w:r>
      <w:r w:rsidR="00934A11" w:rsidRPr="00B740B4">
        <w:t>“</w:t>
      </w:r>
      <w:r w:rsidRPr="00B740B4">
        <w:t>L’énigme et son interprétation.</w:t>
      </w:r>
      <w:r w:rsidR="00934A11" w:rsidRPr="00B740B4">
        <w:t>”</w:t>
      </w:r>
      <w:r w:rsidR="0052486A" w:rsidRPr="00B740B4">
        <w:t xml:space="preserve"> </w:t>
      </w:r>
      <w:r w:rsidRPr="00B740B4">
        <w:rPr>
          <w:b/>
        </w:rPr>
        <w:t>Collins, J. J.</w:t>
      </w:r>
      <w:r w:rsidR="0052486A" w:rsidRPr="00B740B4">
        <w:rPr>
          <w:i/>
        </w:rPr>
        <w:t xml:space="preserve"> </w:t>
      </w:r>
      <w:r w:rsidR="00C25A95">
        <w:rPr>
          <w:i/>
        </w:rPr>
        <w:t xml:space="preserve">The </w:t>
      </w:r>
      <w:r w:rsidR="0052486A" w:rsidRPr="00B740B4">
        <w:rPr>
          <w:i/>
        </w:rPr>
        <w:t>Apocalyptic Vision of the Book of Daniel</w:t>
      </w:r>
      <w:r w:rsidR="0052486A" w:rsidRPr="00B740B4">
        <w:t>,</w:t>
      </w:r>
      <w:r w:rsidRPr="00B740B4">
        <w:t xml:space="preserve"> 3</w:t>
      </w:r>
      <w:r w:rsidR="0052486A" w:rsidRPr="00B740B4">
        <w:t xml:space="preserve">4–46. </w:t>
      </w:r>
      <w:r w:rsidR="004E4599" w:rsidRPr="00B740B4">
        <w:t>———. “Nebuch</w:t>
      </w:r>
      <w:r w:rsidR="001B366F" w:rsidRPr="00B740B4">
        <w:t>adnezzar and the Kingdom of God</w:t>
      </w:r>
      <w:r w:rsidR="004E4599" w:rsidRPr="00B740B4">
        <w:t xml:space="preserve">,” in Collins, </w:t>
      </w:r>
      <w:r w:rsidR="0064499A">
        <w:rPr>
          <w:i/>
        </w:rPr>
        <w:t>Seers, Sibyls</w:t>
      </w:r>
      <w:r w:rsidR="004E4599" w:rsidRPr="00B740B4">
        <w:rPr>
          <w:i/>
        </w:rPr>
        <w:t xml:space="preserve"> and Sages</w:t>
      </w:r>
      <w:r w:rsidR="004E4599" w:rsidRPr="00B740B4">
        <w:t xml:space="preserve">, 131-37. </w:t>
      </w:r>
      <w:r w:rsidR="0052486A" w:rsidRPr="00B740B4">
        <w:t xml:space="preserve">———. </w:t>
      </w:r>
      <w:r w:rsidR="00934A11" w:rsidRPr="00B740B4">
        <w:t>“</w:t>
      </w:r>
      <w:r w:rsidR="0052486A" w:rsidRPr="00B740B4">
        <w:t>Persian Apocalypses,</w:t>
      </w:r>
      <w:r w:rsidR="00934A11" w:rsidRPr="00B740B4">
        <w:t>”</w:t>
      </w:r>
      <w:r w:rsidR="0052486A" w:rsidRPr="00B740B4">
        <w:t xml:space="preserve"> in</w:t>
      </w:r>
      <w:r w:rsidRPr="00B740B4">
        <w:t xml:space="preserve"> Collins</w:t>
      </w:r>
      <w:r w:rsidR="0052486A" w:rsidRPr="00B740B4">
        <w:t xml:space="preserve"> (ed.)</w:t>
      </w:r>
      <w:r w:rsidRPr="00B740B4">
        <w:rPr>
          <w:b/>
        </w:rPr>
        <w:t>,</w:t>
      </w:r>
      <w:r w:rsidRPr="00B740B4">
        <w:t xml:space="preserve"> </w:t>
      </w:r>
      <w:r w:rsidRPr="00B740B4">
        <w:rPr>
          <w:i/>
        </w:rPr>
        <w:t>Apocalypse</w:t>
      </w:r>
      <w:r w:rsidRPr="00B740B4">
        <w:t xml:space="preserve">, 207–17. </w:t>
      </w:r>
      <w:r w:rsidRPr="00B740B4">
        <w:rPr>
          <w:b/>
        </w:rPr>
        <w:t>Davies, P. R.</w:t>
      </w:r>
      <w:r w:rsidRPr="00B740B4">
        <w:t xml:space="preserve"> </w:t>
      </w:r>
      <w:r w:rsidR="00934A11" w:rsidRPr="00B740B4">
        <w:t>“</w:t>
      </w:r>
      <w:r w:rsidRPr="00B740B4">
        <w:t>Daniel Chapt</w:t>
      </w:r>
      <w:r w:rsidR="0052486A" w:rsidRPr="00B740B4">
        <w:t>er Two.</w:t>
      </w:r>
      <w:r w:rsidR="00934A11" w:rsidRPr="00B740B4">
        <w:t>”</w:t>
      </w:r>
      <w:r w:rsidR="0052486A" w:rsidRPr="00B740B4">
        <w:t xml:space="preserve"> </w:t>
      </w:r>
      <w:r w:rsidRPr="00B740B4">
        <w:rPr>
          <w:b/>
        </w:rPr>
        <w:t>Düsterwald, F.</w:t>
      </w:r>
      <w:r w:rsidRPr="00B740B4">
        <w:t xml:space="preserve"> </w:t>
      </w:r>
      <w:r w:rsidRPr="00B740B4">
        <w:rPr>
          <w:i/>
        </w:rPr>
        <w:t>Die Weltreiche und das Gottesreich nach den Weissagungen des Propheten Daniel</w:t>
      </w:r>
      <w:r w:rsidR="00D04CEE" w:rsidRPr="00B740B4">
        <w:t xml:space="preserve">. </w:t>
      </w:r>
      <w:r w:rsidRPr="00B740B4">
        <w:rPr>
          <w:b/>
        </w:rPr>
        <w:t>Eddy, S. K.</w:t>
      </w:r>
      <w:r w:rsidRPr="00B740B4">
        <w:t xml:space="preserve"> </w:t>
      </w:r>
      <w:r w:rsidR="00D04CEE" w:rsidRPr="00B740B4">
        <w:rPr>
          <w:i/>
        </w:rPr>
        <w:t xml:space="preserve">The </w:t>
      </w:r>
      <w:r w:rsidRPr="00B740B4">
        <w:rPr>
          <w:i/>
        </w:rPr>
        <w:t>King</w:t>
      </w:r>
      <w:r w:rsidR="00D04CEE" w:rsidRPr="00B740B4">
        <w:rPr>
          <w:i/>
        </w:rPr>
        <w:t xml:space="preserve"> Is Dead</w:t>
      </w:r>
      <w:r w:rsidR="00D04CEE" w:rsidRPr="00B740B4">
        <w:t>,</w:t>
      </w:r>
      <w:r w:rsidRPr="00B740B4">
        <w:t xml:space="preserve"> 16–35. </w:t>
      </w:r>
      <w:r w:rsidRPr="00B740B4">
        <w:rPr>
          <w:b/>
        </w:rPr>
        <w:t>Ehrlich, E. L.</w:t>
      </w:r>
      <w:r w:rsidRPr="00B740B4">
        <w:t xml:space="preserve"> </w:t>
      </w:r>
      <w:r w:rsidRPr="00B740B4">
        <w:rPr>
          <w:i/>
        </w:rPr>
        <w:t>Der Tra</w:t>
      </w:r>
      <w:r w:rsidR="00D04CEE" w:rsidRPr="00B740B4">
        <w:rPr>
          <w:i/>
        </w:rPr>
        <w:t>um im AT</w:t>
      </w:r>
      <w:r w:rsidR="00D04CEE" w:rsidRPr="00B740B4">
        <w:t>,</w:t>
      </w:r>
      <w:r w:rsidRPr="00B740B4">
        <w:t xml:space="preserve"> 90–113. </w:t>
      </w:r>
      <w:r w:rsidRPr="00B740B4">
        <w:rPr>
          <w:b/>
        </w:rPr>
        <w:t>Finkel, A.</w:t>
      </w:r>
      <w:r w:rsidRPr="00B740B4">
        <w:t xml:space="preserve"> </w:t>
      </w:r>
      <w:r w:rsidR="00934A11" w:rsidRPr="00B740B4">
        <w:t>“</w:t>
      </w:r>
      <w:r w:rsidRPr="00B740B4">
        <w:t>The Pesher of</w:t>
      </w:r>
      <w:r w:rsidR="00D04CEE" w:rsidRPr="00B740B4">
        <w:t xml:space="preserve"> Dreams and Scriptures.</w:t>
      </w:r>
      <w:r w:rsidR="00934A11" w:rsidRPr="00B740B4">
        <w:t>”</w:t>
      </w:r>
      <w:r w:rsidR="00D04CEE" w:rsidRPr="00B740B4">
        <w:t xml:space="preserve"> </w:t>
      </w:r>
      <w:r w:rsidRPr="00B740B4">
        <w:rPr>
          <w:b/>
        </w:rPr>
        <w:t>Flusser, D.</w:t>
      </w:r>
      <w:r w:rsidRPr="00B740B4">
        <w:t xml:space="preserve"> </w:t>
      </w:r>
      <w:r w:rsidR="00934A11" w:rsidRPr="00B740B4">
        <w:t>“</w:t>
      </w:r>
      <w:r w:rsidRPr="00B740B4">
        <w:t>The Four Empires in the Fourth Sibyl and in the Book o</w:t>
      </w:r>
      <w:r w:rsidR="00D04CEE" w:rsidRPr="00B740B4">
        <w:t>f Daniel.</w:t>
      </w:r>
      <w:r w:rsidR="00934A11" w:rsidRPr="00B740B4">
        <w:t>”</w:t>
      </w:r>
      <w:r w:rsidR="00D04CEE" w:rsidRPr="00B740B4">
        <w:t xml:space="preserve"> </w:t>
      </w:r>
      <w:r w:rsidR="007C6434" w:rsidRPr="00B740B4">
        <w:rPr>
          <w:rFonts w:asciiTheme="minorHAnsi" w:eastAsia="Times-Roman" w:hAnsiTheme="minorHAnsi"/>
          <w:b/>
          <w:szCs w:val="22"/>
        </w:rPr>
        <w:t xml:space="preserve">Fröhlich, I. </w:t>
      </w:r>
      <w:r w:rsidR="007C6434" w:rsidRPr="00B740B4">
        <w:rPr>
          <w:rFonts w:asciiTheme="minorHAnsi" w:eastAsia="Times-Roman" w:hAnsiTheme="minorHAnsi"/>
          <w:szCs w:val="22"/>
        </w:rPr>
        <w:t>“</w:t>
      </w:r>
      <w:r w:rsidR="007C6434" w:rsidRPr="00B740B4">
        <w:rPr>
          <w:rFonts w:asciiTheme="minorHAnsi" w:hAnsiTheme="minorHAnsi"/>
          <w:szCs w:val="22"/>
        </w:rPr>
        <w:t>Daniel 2 and Deutero-Isaiah,” in van der Woude (ed.),</w:t>
      </w:r>
      <w:r w:rsidR="007C6434" w:rsidRPr="00B740B4">
        <w:rPr>
          <w:rFonts w:asciiTheme="minorHAnsi" w:hAnsiTheme="minorHAnsi"/>
          <w:i/>
          <w:szCs w:val="22"/>
        </w:rPr>
        <w:t xml:space="preserve"> The Book of Daniel</w:t>
      </w:r>
      <w:r w:rsidR="007C6434" w:rsidRPr="00B740B4">
        <w:rPr>
          <w:rFonts w:asciiTheme="minorHAnsi" w:hAnsiTheme="minorHAnsi"/>
          <w:b/>
          <w:szCs w:val="22"/>
        </w:rPr>
        <w:t xml:space="preserve">, </w:t>
      </w:r>
      <w:r w:rsidR="007C6434" w:rsidRPr="00B740B4">
        <w:rPr>
          <w:rFonts w:asciiTheme="minorHAnsi" w:hAnsiTheme="minorHAnsi"/>
          <w:szCs w:val="22"/>
        </w:rPr>
        <w:t>266-270.</w:t>
      </w:r>
      <w:r w:rsidR="007C6434" w:rsidRPr="00B740B4">
        <w:t xml:space="preserve"> </w:t>
      </w:r>
      <w:r w:rsidRPr="00B740B4">
        <w:rPr>
          <w:b/>
        </w:rPr>
        <w:t>Geffcken, J.</w:t>
      </w:r>
      <w:r w:rsidRPr="00B740B4">
        <w:t xml:space="preserve"> </w:t>
      </w:r>
      <w:r w:rsidRPr="00B740B4">
        <w:rPr>
          <w:i/>
        </w:rPr>
        <w:t>Die Oracula Sibyllina</w:t>
      </w:r>
      <w:r w:rsidR="00D04CEE" w:rsidRPr="00B740B4">
        <w:t xml:space="preserve">. </w:t>
      </w:r>
      <w:r w:rsidR="00DA23E2">
        <w:rPr>
          <w:b/>
        </w:rPr>
        <w:t xml:space="preserve">Gianto, A. </w:t>
      </w:r>
      <w:r w:rsidR="00DA23E2">
        <w:t xml:space="preserve">“Notes from a Reading of Daniel 2.” </w:t>
      </w:r>
      <w:r w:rsidRPr="00B740B4">
        <w:rPr>
          <w:b/>
        </w:rPr>
        <w:t>Ginsberg, H. L.</w:t>
      </w:r>
      <w:r w:rsidRPr="00B740B4">
        <w:t xml:space="preserve"> </w:t>
      </w:r>
      <w:r w:rsidR="00934A11" w:rsidRPr="00B740B4">
        <w:t>“</w:t>
      </w:r>
      <w:r w:rsidRPr="00B740B4">
        <w:t xml:space="preserve">‘King of Kings’ and ‘Lord of </w:t>
      </w:r>
      <w:r w:rsidR="00D04CEE" w:rsidRPr="00B740B4">
        <w:t>Kingdoms.’</w:t>
      </w:r>
      <w:r w:rsidR="00934A11" w:rsidRPr="00B740B4">
        <w:t>”</w:t>
      </w:r>
      <w:r w:rsidR="008E3763" w:rsidRPr="00B740B4">
        <w:rPr>
          <w:b/>
        </w:rPr>
        <w:t xml:space="preserve"> Gladd</w:t>
      </w:r>
      <w:r w:rsidR="008E3763" w:rsidRPr="00B740B4">
        <w:rPr>
          <w:rStyle w:val="descrip"/>
          <w:b/>
        </w:rPr>
        <w:t>, B. L.</w:t>
      </w:r>
      <w:r w:rsidR="008E3763" w:rsidRPr="00B740B4">
        <w:rPr>
          <w:rStyle w:val="descrip"/>
        </w:rPr>
        <w:t xml:space="preserve"> </w:t>
      </w:r>
      <w:r w:rsidR="008E3763" w:rsidRPr="00B740B4">
        <w:rPr>
          <w:rStyle w:val="descrip"/>
          <w:i/>
        </w:rPr>
        <w:t xml:space="preserve">Revealing the </w:t>
      </w:r>
      <w:r w:rsidR="008E3763" w:rsidRPr="00B740B4">
        <w:rPr>
          <w:rStyle w:val="descrip"/>
        </w:rPr>
        <w:t>Mysterion, 17-</w:t>
      </w:r>
      <w:r w:rsidR="00FF7B04" w:rsidRPr="00B740B4">
        <w:rPr>
          <w:rStyle w:val="descrip"/>
        </w:rPr>
        <w:t>50.</w:t>
      </w:r>
      <w:r w:rsidR="00D04CEE" w:rsidRPr="00B740B4">
        <w:t xml:space="preserve"> </w:t>
      </w:r>
      <w:r w:rsidRPr="00B740B4">
        <w:rPr>
          <w:b/>
        </w:rPr>
        <w:t>Glasson, T. F.</w:t>
      </w:r>
      <w:r w:rsidRPr="00B740B4">
        <w:t xml:space="preserve"> </w:t>
      </w:r>
      <w:r w:rsidRPr="00B740B4">
        <w:rPr>
          <w:i/>
        </w:rPr>
        <w:t>Greek Influence on Jewish Eschatology.</w:t>
      </w:r>
      <w:r w:rsidR="00D04CEE" w:rsidRPr="00B740B4">
        <w:t xml:space="preserve"> </w:t>
      </w:r>
      <w:r w:rsidRPr="00B740B4">
        <w:t xml:space="preserve">———. </w:t>
      </w:r>
      <w:r w:rsidR="00934A11" w:rsidRPr="00B740B4">
        <w:t>“</w:t>
      </w:r>
      <w:r w:rsidRPr="00B740B4">
        <w:t>Visions of Thy Head</w:t>
      </w:r>
      <w:r w:rsidR="00934A11" w:rsidRPr="00B740B4">
        <w:t>”</w:t>
      </w:r>
      <w:r w:rsidRPr="00B740B4">
        <w:t xml:space="preserve"> (Daniel 2</w:t>
      </w:r>
      <w:r w:rsidRPr="00B740B4">
        <w:rPr>
          <w:vertAlign w:val="superscript"/>
        </w:rPr>
        <w:t>28</w:t>
      </w:r>
      <w:r w:rsidR="00F2562C" w:rsidRPr="00B740B4">
        <w:t>).</w:t>
      </w:r>
      <w:r w:rsidR="00934A11" w:rsidRPr="00B740B4">
        <w:t>”</w:t>
      </w:r>
      <w:r w:rsidRPr="00B740B4">
        <w:t xml:space="preserve"> </w:t>
      </w:r>
      <w:r w:rsidRPr="00B740B4">
        <w:rPr>
          <w:b/>
        </w:rPr>
        <w:t>Gruenthaner, M. J.</w:t>
      </w:r>
      <w:r w:rsidRPr="00B740B4">
        <w:t xml:space="preserve"> </w:t>
      </w:r>
      <w:r w:rsidR="00934A11" w:rsidRPr="00B740B4">
        <w:t>“</w:t>
      </w:r>
      <w:r w:rsidRPr="00B740B4">
        <w:t>The Four Empires of Danie</w:t>
      </w:r>
      <w:r w:rsidR="00F2562C" w:rsidRPr="00B740B4">
        <w:t>l.</w:t>
      </w:r>
      <w:r w:rsidR="00934A11" w:rsidRPr="00B740B4">
        <w:t>”</w:t>
      </w:r>
      <w:r w:rsidR="00F2562C" w:rsidRPr="00B740B4">
        <w:t xml:space="preserve"> </w:t>
      </w:r>
      <w:r w:rsidR="00677C9B" w:rsidRPr="00677C9B">
        <w:rPr>
          <w:b/>
        </w:rPr>
        <w:t>Haag, E.</w:t>
      </w:r>
      <w:r w:rsidR="00677C9B">
        <w:t xml:space="preserve"> </w:t>
      </w:r>
      <w:r w:rsidR="00677C9B" w:rsidRPr="00677C9B">
        <w:t xml:space="preserve">“Weisheit und Heilsgeschichte.” </w:t>
      </w:r>
      <w:r w:rsidRPr="00B740B4">
        <w:rPr>
          <w:b/>
        </w:rPr>
        <w:t>Hanson, J. S.</w:t>
      </w:r>
      <w:r w:rsidRPr="00B740B4">
        <w:t xml:space="preserve"> </w:t>
      </w:r>
      <w:r w:rsidR="00934A11" w:rsidRPr="00B740B4">
        <w:t>“</w:t>
      </w:r>
      <w:r w:rsidRPr="00B740B4">
        <w:t>Dreams and Visions in the Graeco-Rom</w:t>
      </w:r>
      <w:r w:rsidR="001B366F" w:rsidRPr="00B740B4">
        <w:t>an World and Early Christianity</w:t>
      </w:r>
      <w:r w:rsidRPr="00B740B4">
        <w:t>.</w:t>
      </w:r>
      <w:r w:rsidR="001B366F" w:rsidRPr="00B740B4">
        <w:t>”</w:t>
      </w:r>
      <w:r w:rsidRPr="00B740B4">
        <w:t xml:space="preserve"> </w:t>
      </w:r>
      <w:r w:rsidRPr="00B740B4">
        <w:rPr>
          <w:b/>
        </w:rPr>
        <w:t>Hartman, S.</w:t>
      </w:r>
      <w:r w:rsidRPr="00B740B4">
        <w:t xml:space="preserve"> </w:t>
      </w:r>
      <w:r w:rsidR="001B366F" w:rsidRPr="00B740B4">
        <w:t xml:space="preserve">“Datierung der jungavestischen Apokalyptik.” ———. </w:t>
      </w:r>
      <w:r w:rsidR="00934A11" w:rsidRPr="00B740B4">
        <w:t>“</w:t>
      </w:r>
      <w:r w:rsidRPr="00B740B4">
        <w:t>Frȧgan om eventuellt iranskt inflytande pȧ kristendomens och judendomens apokalyptik och djävulsfö</w:t>
      </w:r>
      <w:r w:rsidR="00F2562C" w:rsidRPr="00B740B4">
        <w:t xml:space="preserve">reställning. </w:t>
      </w:r>
      <w:r w:rsidRPr="00B740B4">
        <w:rPr>
          <w:b/>
        </w:rPr>
        <w:t>Hasel, G. F.</w:t>
      </w:r>
      <w:r w:rsidRPr="00B740B4">
        <w:t xml:space="preserve"> </w:t>
      </w:r>
      <w:r w:rsidR="00934A11" w:rsidRPr="00B740B4">
        <w:t>“</w:t>
      </w:r>
      <w:r w:rsidRPr="00B740B4">
        <w:t>The Four World Empires of Daniel 2 against Its Near Eastern Envi</w:t>
      </w:r>
      <w:r w:rsidR="00F2562C" w:rsidRPr="00B740B4">
        <w:t>ronment.</w:t>
      </w:r>
      <w:r w:rsidR="00934A11" w:rsidRPr="00B740B4">
        <w:t>”</w:t>
      </w:r>
      <w:r w:rsidR="00F2562C" w:rsidRPr="00B740B4">
        <w:t xml:space="preserve"> </w:t>
      </w:r>
      <w:r w:rsidRPr="00B740B4">
        <w:rPr>
          <w:b/>
        </w:rPr>
        <w:t xml:space="preserve">Hawkins, J. </w:t>
      </w:r>
      <w:r w:rsidRPr="00B740B4">
        <w:rPr>
          <w:i/>
        </w:rPr>
        <w:t>Treatise on the Second Chapter of the Prophet Daniel</w:t>
      </w:r>
      <w:r w:rsidRPr="00B740B4">
        <w:t xml:space="preserve">. </w:t>
      </w:r>
      <w:r w:rsidRPr="00B740B4">
        <w:rPr>
          <w:b/>
        </w:rPr>
        <w:t>Heller, B.</w:t>
      </w:r>
      <w:r w:rsidRPr="00B740B4">
        <w:t xml:space="preserve"> </w:t>
      </w:r>
      <w:r w:rsidR="00934A11" w:rsidRPr="00B740B4">
        <w:t>“</w:t>
      </w:r>
      <w:r w:rsidRPr="00B740B4">
        <w:t>Das Traumerraten im Buche</w:t>
      </w:r>
      <w:r w:rsidR="00923C14" w:rsidRPr="00B740B4">
        <w:t xml:space="preserve"> Daniel.</w:t>
      </w:r>
      <w:r w:rsidR="00934A11" w:rsidRPr="00B740B4">
        <w:t>”</w:t>
      </w:r>
      <w:r w:rsidR="00923C14" w:rsidRPr="00B740B4">
        <w:t xml:space="preserve"> </w:t>
      </w:r>
      <w:r w:rsidRPr="00B740B4">
        <w:rPr>
          <w:b/>
        </w:rPr>
        <w:t>Hüffken, P.</w:t>
      </w:r>
      <w:r w:rsidRPr="00B740B4">
        <w:t xml:space="preserve"> </w:t>
      </w:r>
      <w:r w:rsidR="00934A11" w:rsidRPr="00B740B4">
        <w:t>“</w:t>
      </w:r>
      <w:r w:rsidRPr="00B740B4">
        <w:t>Heilszeitherrschererwartung im babyloni</w:t>
      </w:r>
      <w:r w:rsidR="00923C14" w:rsidRPr="00B740B4">
        <w:t>schen Raum.</w:t>
      </w:r>
      <w:r w:rsidR="00934A11" w:rsidRPr="00B740B4">
        <w:t>”</w:t>
      </w:r>
      <w:r w:rsidR="00923C14" w:rsidRPr="00B740B4">
        <w:t xml:space="preserve"> </w:t>
      </w:r>
      <w:r w:rsidRPr="00B740B4">
        <w:rPr>
          <w:b/>
        </w:rPr>
        <w:t>Horgan, M. P.</w:t>
      </w:r>
      <w:r w:rsidR="00A07624" w:rsidRPr="00B740B4">
        <w:t xml:space="preserve"> </w:t>
      </w:r>
      <w:r w:rsidR="00A07624" w:rsidRPr="00B740B4">
        <w:rPr>
          <w:i/>
        </w:rPr>
        <w:t>Pesharim</w:t>
      </w:r>
      <w:r w:rsidR="00B76208" w:rsidRPr="00B740B4">
        <w:t xml:space="preserve">. </w:t>
      </w:r>
      <w:r w:rsidR="00C6048B">
        <w:rPr>
          <w:rStyle w:val="b"/>
          <w:rFonts w:asciiTheme="minorHAnsi" w:hAnsiTheme="minorHAnsi"/>
          <w:color w:val="auto"/>
          <w:sz w:val="22"/>
          <w:szCs w:val="22"/>
        </w:rPr>
        <w:t xml:space="preserve">Hunter, E. C. D. </w:t>
      </w:r>
      <w:r w:rsidR="00C6048B">
        <w:rPr>
          <w:rStyle w:val="b"/>
          <w:rFonts w:asciiTheme="minorHAnsi" w:hAnsiTheme="minorHAnsi"/>
          <w:b w:val="0"/>
          <w:color w:val="auto"/>
          <w:sz w:val="22"/>
          <w:szCs w:val="22"/>
        </w:rPr>
        <w:t xml:space="preserve"> “Nebuchadnezzar’s Dream in Daniel 2.” </w:t>
      </w:r>
      <w:r w:rsidR="00B76208" w:rsidRPr="00B740B4">
        <w:rPr>
          <w:b/>
        </w:rPr>
        <w:t>Husser, J.-M</w:t>
      </w:r>
      <w:r w:rsidR="00B76208" w:rsidRPr="00B740B4">
        <w:rPr>
          <w:b/>
          <w:i/>
        </w:rPr>
        <w:t xml:space="preserve">. </w:t>
      </w:r>
      <w:r w:rsidR="00B76208" w:rsidRPr="00B740B4">
        <w:t xml:space="preserve">“La fin et l’origine.” </w:t>
      </w:r>
      <w:r w:rsidRPr="00B740B4">
        <w:rPr>
          <w:b/>
        </w:rPr>
        <w:t xml:space="preserve">Irmscher, J. </w:t>
      </w:r>
      <w:r w:rsidR="00934A11" w:rsidRPr="00B740B4">
        <w:t>“</w:t>
      </w:r>
      <w:r w:rsidRPr="00B740B4">
        <w:t>Die hellenistische Weltreic</w:t>
      </w:r>
      <w:r w:rsidR="00A07624" w:rsidRPr="00B740B4">
        <w:t>hsidee.</w:t>
      </w:r>
      <w:r w:rsidR="00934A11" w:rsidRPr="00B740B4">
        <w:t>”</w:t>
      </w:r>
      <w:r w:rsidR="00A07624" w:rsidRPr="00B740B4">
        <w:t xml:space="preserve"> </w:t>
      </w:r>
      <w:r w:rsidRPr="00B740B4">
        <w:rPr>
          <w:b/>
        </w:rPr>
        <w:t>Jones, B. W.</w:t>
      </w:r>
      <w:r w:rsidRPr="00B740B4">
        <w:t xml:space="preserve"> </w:t>
      </w:r>
      <w:r w:rsidR="00A07624" w:rsidRPr="00B740B4">
        <w:rPr>
          <w:i/>
        </w:rPr>
        <w:t>Ideas of History in the Book of Daniel</w:t>
      </w:r>
      <w:r w:rsidR="00A07624" w:rsidRPr="00B740B4">
        <w:t xml:space="preserve">, </w:t>
      </w:r>
      <w:r w:rsidRPr="00B740B4">
        <w:t xml:space="preserve">292–314. </w:t>
      </w:r>
      <w:r w:rsidR="000F340A" w:rsidRPr="00B740B4">
        <w:rPr>
          <w:rFonts w:asciiTheme="minorHAnsi" w:hAnsiTheme="minorHAnsi"/>
          <w:b/>
          <w:szCs w:val="22"/>
        </w:rPr>
        <w:t>Koch, K.</w:t>
      </w:r>
      <w:r w:rsidR="000F340A">
        <w:rPr>
          <w:rFonts w:asciiTheme="minorHAnsi" w:eastAsiaTheme="minorEastAsia" w:hAnsiTheme="minorHAnsi" w:cstheme="minorBidi"/>
          <w:iCs/>
          <w:szCs w:val="22"/>
        </w:rPr>
        <w:t xml:space="preserve"> </w:t>
      </w:r>
      <w:r w:rsidR="000F340A" w:rsidRPr="00B740B4">
        <w:rPr>
          <w:rFonts w:asciiTheme="minorHAnsi" w:eastAsiaTheme="minorEastAsia" w:hAnsiTheme="minorHAnsi" w:cstheme="minorBidi"/>
          <w:iCs/>
          <w:szCs w:val="22"/>
        </w:rPr>
        <w:t>“Weltgeschichte und Gottesreich</w:t>
      </w:r>
      <w:r w:rsidR="000F340A" w:rsidRPr="00B740B4">
        <w:rPr>
          <w:rFonts w:asciiTheme="minorHAnsi" w:eastAsiaTheme="minorEastAsia" w:hAnsiTheme="minorHAnsi" w:cstheme="minorBidi"/>
          <w:szCs w:val="22"/>
        </w:rPr>
        <w:t xml:space="preserve"> im Danielbuch und die iran</w:t>
      </w:r>
      <w:r w:rsidR="000F340A">
        <w:rPr>
          <w:rFonts w:asciiTheme="minorHAnsi" w:eastAsiaTheme="minorEastAsia" w:hAnsiTheme="minorHAnsi" w:cstheme="minorBidi"/>
          <w:szCs w:val="22"/>
        </w:rPr>
        <w:t xml:space="preserve">ischen Parallelen.” </w:t>
      </w:r>
      <w:r w:rsidR="00131C41" w:rsidRPr="00B740B4">
        <w:rPr>
          <w:rFonts w:asciiTheme="minorHAnsi" w:hAnsiTheme="minorHAnsi"/>
          <w:b/>
          <w:iCs/>
          <w:szCs w:val="22"/>
        </w:rPr>
        <w:t>Labonté</w:t>
      </w:r>
      <w:r w:rsidR="00131C41" w:rsidRPr="00B740B4">
        <w:rPr>
          <w:rFonts w:asciiTheme="minorHAnsi" w:hAnsiTheme="minorHAnsi"/>
          <w:b/>
          <w:szCs w:val="22"/>
        </w:rPr>
        <w:t>, G. G.</w:t>
      </w:r>
      <w:r w:rsidR="00131C41" w:rsidRPr="00B740B4">
        <w:rPr>
          <w:rFonts w:asciiTheme="minorHAnsi" w:hAnsiTheme="minorHAnsi"/>
          <w:szCs w:val="22"/>
        </w:rPr>
        <w:t xml:space="preserve"> “Genèse 41 et Daniel 2,” in van der Woude (ed.),</w:t>
      </w:r>
      <w:r w:rsidR="00131C41" w:rsidRPr="00B740B4">
        <w:rPr>
          <w:rFonts w:asciiTheme="minorHAnsi" w:hAnsiTheme="minorHAnsi"/>
          <w:i/>
          <w:szCs w:val="22"/>
        </w:rPr>
        <w:t xml:space="preserve"> The Book of Daniel</w:t>
      </w:r>
      <w:r w:rsidR="00131C41" w:rsidRPr="00B740B4">
        <w:rPr>
          <w:rFonts w:asciiTheme="minorHAnsi" w:hAnsiTheme="minorHAnsi"/>
          <w:szCs w:val="22"/>
        </w:rPr>
        <w:t xml:space="preserve">, </w:t>
      </w:r>
      <w:r w:rsidR="001B366F" w:rsidRPr="00B740B4">
        <w:rPr>
          <w:rFonts w:asciiTheme="minorHAnsi" w:hAnsiTheme="minorHAnsi"/>
          <w:szCs w:val="22"/>
        </w:rPr>
        <w:t>271-</w:t>
      </w:r>
      <w:r w:rsidR="00131C41" w:rsidRPr="00B740B4">
        <w:rPr>
          <w:rFonts w:asciiTheme="minorHAnsi" w:hAnsiTheme="minorHAnsi"/>
          <w:szCs w:val="22"/>
        </w:rPr>
        <w:t>84.</w:t>
      </w:r>
      <w:r w:rsidR="00131C41" w:rsidRPr="00B740B4">
        <w:t xml:space="preserve"> </w:t>
      </w:r>
      <w:r w:rsidRPr="00B740B4">
        <w:rPr>
          <w:b/>
        </w:rPr>
        <w:t>Lattey, C.</w:t>
      </w:r>
      <w:r w:rsidRPr="00B740B4">
        <w:t xml:space="preserve"> </w:t>
      </w:r>
      <w:r w:rsidR="00934A11" w:rsidRPr="00B740B4">
        <w:t>“</w:t>
      </w:r>
      <w:r w:rsidRPr="00B740B4">
        <w:t>Sovereignty and Rea</w:t>
      </w:r>
      <w:r w:rsidR="00A07624" w:rsidRPr="00B740B4">
        <w:t>lm in Dan. 2, 44.</w:t>
      </w:r>
      <w:r w:rsidR="00934A11" w:rsidRPr="00B740B4">
        <w:t>”</w:t>
      </w:r>
      <w:r w:rsidRPr="00B740B4">
        <w:t xml:space="preserve"> </w:t>
      </w:r>
      <w:r w:rsidR="00206639" w:rsidRPr="00B740B4">
        <w:rPr>
          <w:rFonts w:asciiTheme="minorHAnsi" w:eastAsiaTheme="minorHAnsi" w:hAnsiTheme="minorHAnsi" w:cs="TimesNewRomanPS-BoldMT"/>
          <w:b/>
          <w:bCs/>
          <w:szCs w:val="22"/>
        </w:rPr>
        <w:t xml:space="preserve">Lawson, J. N. </w:t>
      </w:r>
      <w:r w:rsidR="00206639" w:rsidRPr="00B740B4">
        <w:rPr>
          <w:rFonts w:asciiTheme="minorHAnsi" w:eastAsiaTheme="minorHAnsi" w:hAnsiTheme="minorHAnsi" w:cs="TimesNewRomanPS-BoldMT"/>
          <w:bCs/>
          <w:szCs w:val="22"/>
        </w:rPr>
        <w:t>“‘The God Who Reveals Secrets.</w:t>
      </w:r>
      <w:r w:rsidR="00B439AF">
        <w:rPr>
          <w:rFonts w:asciiTheme="minorHAnsi" w:eastAsiaTheme="minorHAnsi" w:hAnsiTheme="minorHAnsi" w:cs="TimesNewRomanPS-BoldMT"/>
          <w:bCs/>
          <w:szCs w:val="22"/>
        </w:rPr>
        <w:t>’</w:t>
      </w:r>
      <w:r w:rsidR="00206639" w:rsidRPr="00B740B4">
        <w:rPr>
          <w:rFonts w:asciiTheme="minorHAnsi" w:eastAsiaTheme="minorHAnsi" w:hAnsiTheme="minorHAnsi" w:cs="TimesNewRomanPS-BoldMT"/>
          <w:bCs/>
          <w:szCs w:val="22"/>
        </w:rPr>
        <w:t xml:space="preserve">” </w:t>
      </w:r>
      <w:r w:rsidR="00206639" w:rsidRPr="00B740B4">
        <w:rPr>
          <w:rFonts w:asciiTheme="minorHAnsi" w:eastAsiaTheme="minorHAnsi" w:hAnsiTheme="minorHAnsi" w:cs="TimesNewRomanPS-BoldMT"/>
          <w:b/>
          <w:bCs/>
          <w:szCs w:val="22"/>
        </w:rPr>
        <w:t xml:space="preserve"> </w:t>
      </w:r>
      <w:r w:rsidRPr="00B740B4">
        <w:rPr>
          <w:b/>
        </w:rPr>
        <w:t>Lebram, J. C. H.</w:t>
      </w:r>
      <w:r w:rsidRPr="00B740B4">
        <w:t xml:space="preserve"> </w:t>
      </w:r>
      <w:r w:rsidR="00934A11" w:rsidRPr="00B740B4">
        <w:t>“</w:t>
      </w:r>
      <w:r w:rsidRPr="00B740B4">
        <w:t>Die Weltreiche im jüdischen Apo</w:t>
      </w:r>
      <w:r w:rsidR="00A07624" w:rsidRPr="00B740B4">
        <w:t>kalyptik.</w:t>
      </w:r>
      <w:r w:rsidR="00934A11" w:rsidRPr="00B740B4">
        <w:t>”</w:t>
      </w:r>
      <w:r w:rsidR="00A07624" w:rsidRPr="00B740B4">
        <w:t xml:space="preserve"> </w:t>
      </w:r>
      <w:r w:rsidR="00595BA4" w:rsidRPr="00B740B4">
        <w:rPr>
          <w:b/>
        </w:rPr>
        <w:t>Lenzi, A.</w:t>
      </w:r>
      <w:r w:rsidR="00595BA4" w:rsidRPr="00B740B4">
        <w:t xml:space="preserve"> </w:t>
      </w:r>
      <w:r w:rsidR="00934A11" w:rsidRPr="00B740B4">
        <w:t>“</w:t>
      </w:r>
      <w:r w:rsidR="00595BA4" w:rsidRPr="00B740B4">
        <w:t>Secrecy, Textual Legitimation, and Intercultural Polemics in the Book of Daniel.</w:t>
      </w:r>
      <w:r w:rsidR="00934A11" w:rsidRPr="00B740B4">
        <w:t>”</w:t>
      </w:r>
      <w:r w:rsidR="00595BA4" w:rsidRPr="00B740B4">
        <w:t xml:space="preserve"> </w:t>
      </w:r>
      <w:r w:rsidRPr="00B740B4">
        <w:rPr>
          <w:b/>
        </w:rPr>
        <w:t>Lüwinger, S.</w:t>
      </w:r>
      <w:r w:rsidRPr="00B740B4">
        <w:t xml:space="preserve"> </w:t>
      </w:r>
      <w:r w:rsidR="00934A11" w:rsidRPr="00B740B4">
        <w:t>“</w:t>
      </w:r>
      <w:r w:rsidR="001B366F" w:rsidRPr="00B740B4">
        <w:t>Nebuchadnezzar’s Dream</w:t>
      </w:r>
      <w:r w:rsidR="00A07624" w:rsidRPr="00B740B4">
        <w:t>.</w:t>
      </w:r>
      <w:r w:rsidR="00934A11" w:rsidRPr="00B740B4">
        <w:t>”</w:t>
      </w:r>
      <w:r w:rsidRPr="00B740B4">
        <w:t xml:space="preserve"> </w:t>
      </w:r>
      <w:r w:rsidR="002229EA" w:rsidRPr="00B740B4">
        <w:rPr>
          <w:rStyle w:val="b"/>
          <w:rFonts w:asciiTheme="minorHAnsi" w:hAnsiTheme="minorHAnsi"/>
          <w:color w:val="auto"/>
          <w:sz w:val="22"/>
          <w:szCs w:val="22"/>
        </w:rPr>
        <w:t xml:space="preserve">McAllister, R. </w:t>
      </w:r>
      <w:r w:rsidR="002229EA" w:rsidRPr="00B740B4">
        <w:rPr>
          <w:rStyle w:val="b"/>
          <w:rFonts w:asciiTheme="minorHAnsi" w:hAnsiTheme="minorHAnsi"/>
          <w:b w:val="0"/>
          <w:color w:val="auto"/>
          <w:sz w:val="22"/>
          <w:szCs w:val="22"/>
        </w:rPr>
        <w:t xml:space="preserve">“Clay in Nebuchadnezzar’s Dream and th e Genesis Creation Accounts.” </w:t>
      </w:r>
      <w:r w:rsidR="00062211" w:rsidRPr="00B740B4">
        <w:rPr>
          <w:b/>
        </w:rPr>
        <w:t>Makujina, J</w:t>
      </w:r>
      <w:r w:rsidR="00062211" w:rsidRPr="00B740B4">
        <w:t xml:space="preserve">. “Dismemberment in Dan 2:5 and 3:29 as an Old Persian Idiom.” </w:t>
      </w:r>
      <w:r w:rsidRPr="00B740B4">
        <w:rPr>
          <w:b/>
        </w:rPr>
        <w:t>Mastin, B. A.</w:t>
      </w:r>
      <w:r w:rsidRPr="00B740B4">
        <w:t xml:space="preserve"> </w:t>
      </w:r>
      <w:r w:rsidR="00934A11" w:rsidRPr="00B740B4">
        <w:t>“</w:t>
      </w:r>
      <w:r w:rsidRPr="00B740B4">
        <w:t>Daniel 2:46 and the Hellenis</w:t>
      </w:r>
      <w:r w:rsidR="00BF2625" w:rsidRPr="00B740B4">
        <w:t>tic World.</w:t>
      </w:r>
      <w:r w:rsidR="00934A11" w:rsidRPr="00B740B4">
        <w:t>”</w:t>
      </w:r>
      <w:r w:rsidR="00BF2625" w:rsidRPr="00B740B4">
        <w:t xml:space="preserve"> ———. </w:t>
      </w:r>
      <w:r w:rsidR="00934A11" w:rsidRPr="00B740B4">
        <w:t>“</w:t>
      </w:r>
      <w:r w:rsidR="00BF2625" w:rsidRPr="00B740B4">
        <w:rPr>
          <w:rFonts w:eastAsiaTheme="minorHAnsi"/>
        </w:rPr>
        <w:t>The Reading of 1QDan</w:t>
      </w:r>
      <w:r w:rsidR="00BF2625" w:rsidRPr="00B740B4">
        <w:rPr>
          <w:rFonts w:eastAsiaTheme="minorHAnsi"/>
          <w:vertAlign w:val="superscript"/>
        </w:rPr>
        <w:t>a</w:t>
      </w:r>
      <w:r w:rsidR="00BF2625" w:rsidRPr="00B740B4">
        <w:rPr>
          <w:rFonts w:eastAsiaTheme="minorHAnsi"/>
        </w:rPr>
        <w:t xml:space="preserve"> at Daniel ii 4.</w:t>
      </w:r>
      <w:r w:rsidR="00934A11" w:rsidRPr="00B740B4">
        <w:rPr>
          <w:rFonts w:eastAsiaTheme="minorHAnsi"/>
        </w:rPr>
        <w:t>”</w:t>
      </w:r>
      <w:r w:rsidR="00BF2625" w:rsidRPr="00B740B4">
        <w:rPr>
          <w:rFonts w:ascii="GVJDB B+ Times" w:eastAsiaTheme="minorHAnsi" w:hAnsi="GVJDB B+ Times"/>
          <w:sz w:val="16"/>
          <w:szCs w:val="18"/>
        </w:rPr>
        <w:t xml:space="preserve"> </w:t>
      </w:r>
      <w:r w:rsidR="00BF2625" w:rsidRPr="00B740B4">
        <w:rPr>
          <w:sz w:val="20"/>
        </w:rPr>
        <w:t xml:space="preserve"> </w:t>
      </w:r>
      <w:r w:rsidRPr="00B740B4">
        <w:rPr>
          <w:b/>
        </w:rPr>
        <w:t>Mendels, D.</w:t>
      </w:r>
      <w:r w:rsidRPr="00B740B4">
        <w:t xml:space="preserve"> </w:t>
      </w:r>
      <w:r w:rsidR="00934A11" w:rsidRPr="00B740B4">
        <w:t>“</w:t>
      </w:r>
      <w:r w:rsidRPr="00B740B4">
        <w:t>The Five Empires.</w:t>
      </w:r>
      <w:r w:rsidR="00934A11" w:rsidRPr="00B740B4">
        <w:t>”</w:t>
      </w:r>
      <w:r w:rsidRPr="00B740B4">
        <w:t xml:space="preserve"> </w:t>
      </w:r>
      <w:r w:rsidR="000F5716" w:rsidRPr="00B740B4">
        <w:rPr>
          <w:b/>
          <w:bCs/>
        </w:rPr>
        <w:t xml:space="preserve">Milán, F. </w:t>
      </w:r>
      <w:r w:rsidR="00934A11" w:rsidRPr="00B740B4">
        <w:rPr>
          <w:bCs/>
        </w:rPr>
        <w:t>“</w:t>
      </w:r>
      <w:r w:rsidR="000F5716" w:rsidRPr="00B740B4">
        <w:rPr>
          <w:bCs/>
        </w:rPr>
        <w:t>El concepto de revelación en el libro de Daniel.</w:t>
      </w:r>
      <w:r w:rsidR="00934A11" w:rsidRPr="00B740B4">
        <w:rPr>
          <w:bCs/>
        </w:rPr>
        <w:t>”</w:t>
      </w:r>
      <w:r w:rsidR="000F5716" w:rsidRPr="00B740B4">
        <w:rPr>
          <w:b/>
          <w:bCs/>
        </w:rPr>
        <w:t xml:space="preserve"> </w:t>
      </w:r>
      <w:r w:rsidR="00040972" w:rsidRPr="00B740B4">
        <w:rPr>
          <w:b/>
          <w:bCs/>
        </w:rPr>
        <w:t>Millard, A. “</w:t>
      </w:r>
      <w:r w:rsidR="00040972" w:rsidRPr="00B740B4">
        <w:rPr>
          <w:bCs/>
        </w:rPr>
        <w:t>Incense</w:t>
      </w:r>
      <w:r w:rsidR="00040972" w:rsidRPr="00B740B4">
        <w:rPr>
          <w:b/>
          <w:bCs/>
        </w:rPr>
        <w:t xml:space="preserve">.” </w:t>
      </w:r>
      <w:r w:rsidRPr="00B740B4">
        <w:rPr>
          <w:b/>
        </w:rPr>
        <w:t xml:space="preserve">Momigliano, A. </w:t>
      </w:r>
      <w:r w:rsidR="00934A11" w:rsidRPr="00B740B4">
        <w:t>“</w:t>
      </w:r>
      <w:r w:rsidRPr="00B740B4">
        <w:t>The Origins of Universal History.</w:t>
      </w:r>
      <w:r w:rsidR="00934A11" w:rsidRPr="00B740B4">
        <w:t>”</w:t>
      </w:r>
      <w:r w:rsidR="00232F77" w:rsidRPr="00B740B4">
        <w:t xml:space="preserve"> </w:t>
      </w:r>
      <w:r w:rsidR="004B1C33" w:rsidRPr="00B740B4">
        <w:rPr>
          <w:b/>
        </w:rPr>
        <w:t xml:space="preserve">Nel, </w:t>
      </w:r>
      <w:r w:rsidR="0007396F" w:rsidRPr="00B740B4">
        <w:rPr>
          <w:b/>
        </w:rPr>
        <w:t>M.</w:t>
      </w:r>
      <w:r w:rsidR="0007396F" w:rsidRPr="00B740B4">
        <w:t xml:space="preserve"> </w:t>
      </w:r>
      <w:r w:rsidR="004B1C33" w:rsidRPr="00B740B4">
        <w:t xml:space="preserve">“Daniël 2 as Satire.” </w:t>
      </w:r>
      <w:r w:rsidR="00160091" w:rsidRPr="00B740B4">
        <w:rPr>
          <w:b/>
          <w:bCs/>
          <w:iCs/>
        </w:rPr>
        <w:t xml:space="preserve">———. </w:t>
      </w:r>
      <w:r w:rsidR="00160091" w:rsidRPr="00B740B4">
        <w:rPr>
          <w:bCs/>
          <w:iCs/>
        </w:rPr>
        <w:t>“A Literary-Historical Analysis of Daniel 2.”</w:t>
      </w:r>
      <w:r w:rsidR="00160091" w:rsidRPr="00B740B4">
        <w:rPr>
          <w:b/>
          <w:bCs/>
          <w:iCs/>
        </w:rPr>
        <w:t xml:space="preserve"> </w:t>
      </w:r>
      <w:r w:rsidRPr="00B740B4">
        <w:rPr>
          <w:b/>
        </w:rPr>
        <w:t>Newton, B. W.</w:t>
      </w:r>
      <w:r w:rsidRPr="00B740B4">
        <w:t xml:space="preserve"> </w:t>
      </w:r>
      <w:r w:rsidRPr="00B740B4">
        <w:rPr>
          <w:i/>
        </w:rPr>
        <w:t>Aids to Prophetic Enquiry</w:t>
      </w:r>
      <w:r w:rsidRPr="00B740B4">
        <w:t xml:space="preserve">. </w:t>
      </w:r>
      <w:r w:rsidRPr="00B740B4">
        <w:rPr>
          <w:b/>
        </w:rPr>
        <w:t xml:space="preserve">Niditch, S., </w:t>
      </w:r>
      <w:r w:rsidRPr="00C25A95">
        <w:t>and</w:t>
      </w:r>
      <w:r w:rsidRPr="00B740B4">
        <w:rPr>
          <w:b/>
        </w:rPr>
        <w:t xml:space="preserve"> Doran, R.</w:t>
      </w:r>
      <w:r w:rsidRPr="00B740B4">
        <w:t xml:space="preserve"> </w:t>
      </w:r>
      <w:r w:rsidR="00934A11" w:rsidRPr="00B740B4">
        <w:t>“</w:t>
      </w:r>
      <w:r w:rsidRPr="00B740B4">
        <w:t xml:space="preserve">The Success Story </w:t>
      </w:r>
      <w:r w:rsidR="00232F77" w:rsidRPr="00B740B4">
        <w:t>of the Wise Courtier.</w:t>
      </w:r>
      <w:r w:rsidR="00934A11" w:rsidRPr="00B740B4">
        <w:t>”</w:t>
      </w:r>
      <w:r w:rsidR="00232F77" w:rsidRPr="00B740B4">
        <w:t xml:space="preserve"> </w:t>
      </w:r>
      <w:r w:rsidRPr="00B740B4">
        <w:rPr>
          <w:b/>
        </w:rPr>
        <w:t>Oppenheim, A. L.</w:t>
      </w:r>
      <w:r w:rsidR="007E4628" w:rsidRPr="00B740B4">
        <w:t xml:space="preserve"> </w:t>
      </w:r>
      <w:r w:rsidR="00934A11" w:rsidRPr="00B740B4">
        <w:t>““</w:t>
      </w:r>
      <w:r w:rsidR="007E4628" w:rsidRPr="00B740B4">
        <w:t>The Interpretation of</w:t>
      </w:r>
      <w:r w:rsidR="00C216D7">
        <w:t xml:space="preserve"> Dreams</w:t>
      </w:r>
      <w:r w:rsidR="007E4628" w:rsidRPr="00B740B4">
        <w:t>.</w:t>
      </w:r>
      <w:r w:rsidR="00934A11" w:rsidRPr="00B740B4">
        <w:t>”</w:t>
      </w:r>
      <w:r w:rsidRPr="00B740B4">
        <w:t xml:space="preserve"> </w:t>
      </w:r>
      <w:r w:rsidR="007000C5" w:rsidRPr="00B740B4">
        <w:rPr>
          <w:b/>
          <w:bCs/>
        </w:rPr>
        <w:t xml:space="preserve">Noegel, S. B. </w:t>
      </w:r>
      <w:r w:rsidR="00934A11" w:rsidRPr="00B740B4">
        <w:rPr>
          <w:bCs/>
        </w:rPr>
        <w:t>“</w:t>
      </w:r>
      <w:r w:rsidR="007000C5" w:rsidRPr="00B740B4">
        <w:rPr>
          <w:bCs/>
        </w:rPr>
        <w:t>Dreams</w:t>
      </w:r>
      <w:r w:rsidR="007000C5" w:rsidRPr="00B740B4">
        <w:t xml:space="preserve"> and </w:t>
      </w:r>
      <w:r w:rsidR="007000C5" w:rsidRPr="00B740B4">
        <w:rPr>
          <w:bCs/>
        </w:rPr>
        <w:t>Dream Interpreters in Mesopotamia and in the Hebrew Bible.</w:t>
      </w:r>
      <w:r w:rsidR="00934A11" w:rsidRPr="00B740B4">
        <w:rPr>
          <w:bCs/>
        </w:rPr>
        <w:t>”</w:t>
      </w:r>
      <w:r w:rsidR="007000C5" w:rsidRPr="00B740B4">
        <w:rPr>
          <w:bCs/>
        </w:rPr>
        <w:t xml:space="preserve">  </w:t>
      </w:r>
      <w:r w:rsidR="00082E43">
        <w:rPr>
          <w:rFonts w:asciiTheme="minorHAnsi" w:hAnsiTheme="minorHAnsi"/>
          <w:b/>
          <w:szCs w:val="22"/>
        </w:rPr>
        <w:t>Olojede, F.</w:t>
      </w:r>
      <w:r w:rsidR="00082E43" w:rsidRPr="00B740B4">
        <w:rPr>
          <w:rFonts w:asciiTheme="minorHAnsi" w:hAnsiTheme="minorHAnsi"/>
          <w:szCs w:val="22"/>
        </w:rPr>
        <w:t xml:space="preserve"> </w:t>
      </w:r>
      <w:r w:rsidR="00082E43">
        <w:rPr>
          <w:rFonts w:asciiTheme="minorHAnsi" w:hAnsiTheme="minorHAnsi"/>
          <w:szCs w:val="22"/>
        </w:rPr>
        <w:t xml:space="preserve"> “</w:t>
      </w:r>
      <w:r w:rsidR="00082E43">
        <w:rPr>
          <w:bCs/>
          <w:szCs w:val="22"/>
        </w:rPr>
        <w:t>Daniel ‘more than a prophet’</w:t>
      </w:r>
      <w:r w:rsidR="00082E43" w:rsidRPr="00082E43">
        <w:rPr>
          <w:bCs/>
          <w:szCs w:val="22"/>
        </w:rPr>
        <w:t>?</w:t>
      </w:r>
      <w:r w:rsidR="00082E43">
        <w:rPr>
          <w:bCs/>
          <w:szCs w:val="22"/>
        </w:rPr>
        <w:t xml:space="preserve">” </w:t>
      </w:r>
      <w:r w:rsidR="00BA50EA" w:rsidRPr="00B740B4">
        <w:rPr>
          <w:b/>
        </w:rPr>
        <w:t>Pfandl</w:t>
      </w:r>
      <w:r w:rsidR="00BA50EA" w:rsidRPr="00B740B4">
        <w:rPr>
          <w:b/>
          <w:i/>
        </w:rPr>
        <w:t xml:space="preserve">. </w:t>
      </w:r>
      <w:r w:rsidR="00BA50EA" w:rsidRPr="00B740B4">
        <w:rPr>
          <w:b/>
        </w:rPr>
        <w:t>G</w:t>
      </w:r>
      <w:r w:rsidR="00BA50EA" w:rsidRPr="00B740B4">
        <w:rPr>
          <w:b/>
          <w:i/>
        </w:rPr>
        <w:t xml:space="preserve">. </w:t>
      </w:r>
      <w:r w:rsidR="00BA50EA" w:rsidRPr="00B740B4">
        <w:t>“Interpretations of the Kingdom of God in Daniel 2:44.”</w:t>
      </w:r>
      <w:r w:rsidR="00BA50EA" w:rsidRPr="00B740B4">
        <w:rPr>
          <w:bCs/>
        </w:rPr>
        <w:t xml:space="preserve"> </w:t>
      </w:r>
      <w:r w:rsidR="00657F08" w:rsidRPr="00B740B4">
        <w:rPr>
          <w:rFonts w:asciiTheme="minorHAnsi" w:eastAsiaTheme="minorHAnsi" w:hAnsiTheme="minorHAnsi" w:cs="TimesNewRoman"/>
          <w:b/>
          <w:szCs w:val="22"/>
        </w:rPr>
        <w:t>Pinker, A.</w:t>
      </w:r>
      <w:r w:rsidR="00657F08" w:rsidRPr="00B740B4">
        <w:rPr>
          <w:rFonts w:asciiTheme="minorHAnsi" w:eastAsiaTheme="minorHAnsi" w:hAnsiTheme="minorHAnsi" w:cs="TimesNewRoman"/>
          <w:szCs w:val="22"/>
        </w:rPr>
        <w:t xml:space="preserve"> “A Dream of a Dream in Daniel 2.” </w:t>
      </w:r>
      <w:r w:rsidRPr="00B740B4">
        <w:rPr>
          <w:b/>
        </w:rPr>
        <w:t xml:space="preserve">Pope, M. H., </w:t>
      </w:r>
      <w:r w:rsidRPr="00C25A95">
        <w:t>and</w:t>
      </w:r>
      <w:r w:rsidRPr="00B740B4">
        <w:rPr>
          <w:b/>
        </w:rPr>
        <w:t xml:space="preserve"> Tigay, J. H.</w:t>
      </w:r>
      <w:r w:rsidRPr="00B740B4">
        <w:t xml:space="preserve"> </w:t>
      </w:r>
      <w:r w:rsidR="00934A11" w:rsidRPr="00B740B4">
        <w:t>“</w:t>
      </w:r>
      <w:r w:rsidRPr="00B740B4">
        <w:t>A Descriptio</w:t>
      </w:r>
      <w:r w:rsidR="00232F77" w:rsidRPr="00B740B4">
        <w:t>n of Baal.</w:t>
      </w:r>
      <w:r w:rsidR="00934A11" w:rsidRPr="00B740B4">
        <w:t>”</w:t>
      </w:r>
      <w:r w:rsidR="00232F77" w:rsidRPr="00B740B4">
        <w:t xml:space="preserve"> </w:t>
      </w:r>
      <w:r w:rsidRPr="00B740B4">
        <w:rPr>
          <w:b/>
        </w:rPr>
        <w:t>Prete, S.</w:t>
      </w:r>
      <w:r w:rsidRPr="00B740B4">
        <w:t xml:space="preserve"> </w:t>
      </w:r>
      <w:r w:rsidR="00934A11" w:rsidRPr="00B740B4">
        <w:t>“</w:t>
      </w:r>
      <w:r w:rsidRPr="00B740B4">
        <w:t>Declino e corrompimento morale nella escatologia occident</w:t>
      </w:r>
      <w:r w:rsidR="00232F77" w:rsidRPr="00B740B4">
        <w:t>ale.</w:t>
      </w:r>
      <w:r w:rsidR="00934A11" w:rsidRPr="00B740B4">
        <w:t>”</w:t>
      </w:r>
      <w:r w:rsidR="00232F77" w:rsidRPr="00B740B4">
        <w:t xml:space="preserve"> </w:t>
      </w:r>
      <w:r w:rsidR="00C41B2E" w:rsidRPr="00B740B4">
        <w:rPr>
          <w:rFonts w:eastAsiaTheme="minorHAnsi"/>
          <w:b/>
          <w:bCs/>
          <w:szCs w:val="22"/>
        </w:rPr>
        <w:t>Prinsloo, G. T. M.</w:t>
      </w:r>
      <w:r w:rsidR="00C41B2E" w:rsidRPr="00B740B4">
        <w:rPr>
          <w:rFonts w:eastAsiaTheme="minorHAnsi"/>
          <w:bCs/>
          <w:szCs w:val="22"/>
        </w:rPr>
        <w:t xml:space="preserve"> “Two Poems in a Sea of Prose.” </w:t>
      </w:r>
      <w:r w:rsidRPr="00B740B4">
        <w:rPr>
          <w:b/>
        </w:rPr>
        <w:t>Rappaport, A.</w:t>
      </w:r>
      <w:r w:rsidRPr="00B740B4">
        <w:t xml:space="preserve"> </w:t>
      </w:r>
      <w:r w:rsidR="00934A11" w:rsidRPr="00B740B4">
        <w:t>“</w:t>
      </w:r>
      <w:r w:rsidR="00124267" w:rsidRPr="00B740B4">
        <w:rPr>
          <w:rFonts w:ascii="Arial" w:hAnsi="Arial" w:cs="Arial"/>
        </w:rPr>
        <w:t>דניאל</w:t>
      </w:r>
      <w:r w:rsidR="00EA20A2" w:rsidRPr="00B740B4">
        <w:rPr>
          <w:rFonts w:ascii="Arial" w:hAnsi="Arial" w:cs="Arial"/>
        </w:rPr>
        <w:t xml:space="preserve"> </w:t>
      </w:r>
      <w:r w:rsidR="006D7923" w:rsidRPr="00B740B4">
        <w:rPr>
          <w:rFonts w:ascii="Arial" w:hAnsi="Arial" w:cs="Arial"/>
        </w:rPr>
        <w:t xml:space="preserve">בספר </w:t>
      </w:r>
      <w:r w:rsidR="00C338AF" w:rsidRPr="00B740B4">
        <w:rPr>
          <w:rFonts w:ascii="Arial" w:hAnsi="Arial" w:cs="Arial"/>
        </w:rPr>
        <w:t>הרביעית</w:t>
      </w:r>
      <w:r w:rsidR="00C338AF" w:rsidRPr="00B740B4">
        <w:t xml:space="preserve">  </w:t>
      </w:r>
      <w:r w:rsidR="00C338AF" w:rsidRPr="00B740B4">
        <w:rPr>
          <w:rFonts w:ascii="Arial" w:hAnsi="Arial" w:cs="Arial"/>
        </w:rPr>
        <w:t>המלכות</w:t>
      </w:r>
      <w:r w:rsidR="00124267" w:rsidRPr="00B740B4">
        <w:rPr>
          <w:rFonts w:ascii="Arial" w:hAnsi="Arial" w:cs="Arial"/>
        </w:rPr>
        <w:t>.</w:t>
      </w:r>
      <w:r w:rsidR="00934A11" w:rsidRPr="00B740B4">
        <w:rPr>
          <w:rFonts w:ascii="Arial" w:hAnsi="Arial" w:cs="Arial"/>
        </w:rPr>
        <w:t>”</w:t>
      </w:r>
      <w:r w:rsidR="00C338AF" w:rsidRPr="00B740B4">
        <w:rPr>
          <w:b/>
        </w:rPr>
        <w:t xml:space="preserve"> </w:t>
      </w:r>
      <w:r w:rsidRPr="00B740B4">
        <w:rPr>
          <w:b/>
        </w:rPr>
        <w:t>Reichel, H. L.</w:t>
      </w:r>
      <w:r w:rsidRPr="00B740B4">
        <w:t xml:space="preserve"> </w:t>
      </w:r>
      <w:r w:rsidR="00934A11" w:rsidRPr="00B740B4">
        <w:t>“</w:t>
      </w:r>
      <w:r w:rsidRPr="00B740B4">
        <w:t>Die vier Weltreiche des Propheten Daniel.</w:t>
      </w:r>
      <w:r w:rsidR="00934A11" w:rsidRPr="00B740B4">
        <w:t>”</w:t>
      </w:r>
      <w:r w:rsidRPr="00B740B4">
        <w:t xml:space="preserve"> </w:t>
      </w:r>
      <w:r w:rsidRPr="00B740B4">
        <w:rPr>
          <w:b/>
        </w:rPr>
        <w:t>Resch, A.</w:t>
      </w:r>
      <w:r w:rsidR="0007396F" w:rsidRPr="00B740B4">
        <w:t xml:space="preserve"> </w:t>
      </w:r>
      <w:r w:rsidRPr="00B740B4">
        <w:rPr>
          <w:i/>
        </w:rPr>
        <w:t>Der Traum im Heilsplan Gottes</w:t>
      </w:r>
      <w:r w:rsidR="00232F77" w:rsidRPr="00B740B4">
        <w:t>,</w:t>
      </w:r>
      <w:r w:rsidRPr="00B740B4">
        <w:t xml:space="preserve"> 117–23. </w:t>
      </w:r>
      <w:r w:rsidR="007E0F96" w:rsidRPr="00B740B4">
        <w:rPr>
          <w:rFonts w:asciiTheme="minorHAnsi" w:eastAsiaTheme="minorHAnsi" w:hAnsiTheme="minorHAnsi" w:cs="TimesNewRomanPS-BoldMT"/>
          <w:b/>
          <w:bCs/>
          <w:szCs w:val="22"/>
        </w:rPr>
        <w:t>Rindge , M. S</w:t>
      </w:r>
      <w:r w:rsidR="007E0F96" w:rsidRPr="00B740B4">
        <w:rPr>
          <w:rFonts w:asciiTheme="minorHAnsi" w:eastAsiaTheme="minorHAnsi" w:hAnsiTheme="minorHAnsi" w:cs="TimesNewRomanPS-BoldMT"/>
          <w:bCs/>
          <w:szCs w:val="22"/>
        </w:rPr>
        <w:t>. “Jewish Identity under Foreign Rule</w:t>
      </w:r>
      <w:r w:rsidR="007E0F96" w:rsidRPr="00B740B4">
        <w:rPr>
          <w:rFonts w:asciiTheme="minorHAnsi" w:eastAsiaTheme="minorHAnsi" w:hAnsiTheme="minorHAnsi" w:cs="TimesNewRomanPS-BoldItalicMT"/>
          <w:bCs/>
          <w:i/>
          <w:iCs/>
          <w:szCs w:val="22"/>
        </w:rPr>
        <w:t xml:space="preserve">.” </w:t>
      </w:r>
      <w:r w:rsidRPr="00B740B4">
        <w:rPr>
          <w:b/>
        </w:rPr>
        <w:t>Rowley, H. H.</w:t>
      </w:r>
      <w:r w:rsidRPr="00B740B4">
        <w:t xml:space="preserve"> </w:t>
      </w:r>
      <w:r w:rsidR="00E078E3" w:rsidRPr="00B740B4">
        <w:rPr>
          <w:i/>
        </w:rPr>
        <w:t>Darius the Mede and the Four World Empires</w:t>
      </w:r>
      <w:r w:rsidR="00E078E3" w:rsidRPr="00B740B4">
        <w:t>,</w:t>
      </w:r>
      <w:r w:rsidR="00E078E3" w:rsidRPr="00B740B4">
        <w:rPr>
          <w:i/>
        </w:rPr>
        <w:t xml:space="preserve"> </w:t>
      </w:r>
      <w:r w:rsidRPr="00B740B4">
        <w:t xml:space="preserve">61–185. </w:t>
      </w:r>
      <w:r w:rsidRPr="00B740B4">
        <w:rPr>
          <w:b/>
        </w:rPr>
        <w:t>Rundgren, F.</w:t>
      </w:r>
      <w:r w:rsidRPr="00B740B4">
        <w:t xml:space="preserve"> </w:t>
      </w:r>
      <w:r w:rsidR="00934A11" w:rsidRPr="00B740B4">
        <w:t>“</w:t>
      </w:r>
      <w:r w:rsidRPr="00B740B4">
        <w:t>An Aramaic Loanword in Daniel</w:t>
      </w:r>
      <w:r w:rsidR="00E078E3" w:rsidRPr="00B740B4">
        <w:t>.</w:t>
      </w:r>
      <w:r w:rsidR="00934A11" w:rsidRPr="00B740B4">
        <w:t>”</w:t>
      </w:r>
      <w:r w:rsidRPr="00B740B4">
        <w:t xml:space="preserve"> </w:t>
      </w:r>
      <w:r w:rsidRPr="00B740B4">
        <w:rPr>
          <w:b/>
        </w:rPr>
        <w:t>Schreiner, J.</w:t>
      </w:r>
      <w:r w:rsidRPr="00B740B4">
        <w:t xml:space="preserve"> </w:t>
      </w:r>
      <w:r w:rsidR="00934A11" w:rsidRPr="00B740B4">
        <w:t>“</w:t>
      </w:r>
      <w:r w:rsidRPr="00B740B4">
        <w:t>‘. . . wird der Gott des Himmels ein Reich errichten, das in Ewigkeit n</w:t>
      </w:r>
      <w:r w:rsidR="0007396F" w:rsidRPr="00B740B4">
        <w:t>icht untergeht.’</w:t>
      </w:r>
      <w:r w:rsidR="00934A11" w:rsidRPr="00B740B4">
        <w:t>”</w:t>
      </w:r>
      <w:r w:rsidR="00E078E3" w:rsidRPr="00B740B4">
        <w:t xml:space="preserve"> </w:t>
      </w:r>
      <w:r w:rsidR="004378EA" w:rsidRPr="00B740B4">
        <w:rPr>
          <w:b/>
          <w:bCs/>
        </w:rPr>
        <w:t>Segal, M</w:t>
      </w:r>
      <w:r w:rsidR="004378EA" w:rsidRPr="00B740B4">
        <w:rPr>
          <w:bCs/>
        </w:rPr>
        <w:t xml:space="preserve">. </w:t>
      </w:r>
      <w:r w:rsidR="00934A11" w:rsidRPr="00B740B4">
        <w:t>“</w:t>
      </w:r>
      <w:r w:rsidR="004378EA" w:rsidRPr="00B740B4">
        <w:rPr>
          <w:bCs/>
        </w:rPr>
        <w:t xml:space="preserve">From </w:t>
      </w:r>
      <w:r w:rsidR="004378EA" w:rsidRPr="00B740B4">
        <w:rPr>
          <w:bCs/>
        </w:rPr>
        <w:lastRenderedPageBreak/>
        <w:t>Joseph to Daniel.</w:t>
      </w:r>
      <w:r w:rsidR="00934A11" w:rsidRPr="00B740B4">
        <w:rPr>
          <w:bCs/>
        </w:rPr>
        <w:t>”</w:t>
      </w:r>
      <w:r w:rsidR="004378EA" w:rsidRPr="00B740B4">
        <w:rPr>
          <w:b/>
          <w:bCs/>
        </w:rPr>
        <w:t xml:space="preserve"> </w:t>
      </w:r>
      <w:r w:rsidR="003F0A15" w:rsidRPr="00B740B4">
        <w:rPr>
          <w:rFonts w:asciiTheme="minorHAnsi" w:eastAsiaTheme="minorHAnsi" w:hAnsiTheme="minorHAnsi" w:cs="TimesNewRomanPS-BoldMT"/>
          <w:b/>
          <w:bCs/>
          <w:szCs w:val="22"/>
        </w:rPr>
        <w:t>Seow, C. L. “</w:t>
      </w:r>
      <w:r w:rsidR="003F0A15" w:rsidRPr="00B740B4">
        <w:rPr>
          <w:rFonts w:asciiTheme="minorHAnsi" w:hAnsiTheme="minorHAnsi"/>
          <w:szCs w:val="22"/>
        </w:rPr>
        <w:t xml:space="preserve">From Mountain to Mountain: The Reign of God in Daniel 2.” </w:t>
      </w:r>
      <w:r w:rsidR="007F0F4A" w:rsidRPr="00B740B4">
        <w:rPr>
          <w:rFonts w:eastAsia="Times-Roman"/>
          <w:b/>
          <w:bCs/>
        </w:rPr>
        <w:t>Sérandour, A. “</w:t>
      </w:r>
      <w:r w:rsidR="007F0F4A" w:rsidRPr="00B740B4">
        <w:rPr>
          <w:rFonts w:eastAsia="Times-Roman"/>
          <w:bCs/>
        </w:rPr>
        <w:t>Hébreu et Araméen dans la Bible</w:t>
      </w:r>
      <w:r w:rsidR="007F0F4A" w:rsidRPr="00B740B4">
        <w:rPr>
          <w:rFonts w:eastAsia="Times-Roman"/>
          <w:bCs/>
          <w:i/>
        </w:rPr>
        <w:t xml:space="preserve">.” </w:t>
      </w:r>
      <w:r w:rsidRPr="00B740B4">
        <w:rPr>
          <w:b/>
        </w:rPr>
        <w:t>Siegman, E.</w:t>
      </w:r>
      <w:r w:rsidRPr="00B740B4">
        <w:t xml:space="preserve"> F. </w:t>
      </w:r>
      <w:r w:rsidR="00934A11" w:rsidRPr="00B740B4">
        <w:t>“</w:t>
      </w:r>
      <w:r w:rsidRPr="00B740B4">
        <w:t>The St</w:t>
      </w:r>
      <w:r w:rsidR="00E078E3" w:rsidRPr="00B740B4">
        <w:t>one Hewn from the Mountain.</w:t>
      </w:r>
      <w:r w:rsidR="00934A11" w:rsidRPr="00B740B4">
        <w:t>”</w:t>
      </w:r>
      <w:r w:rsidRPr="00B740B4">
        <w:t xml:space="preserve"> </w:t>
      </w:r>
      <w:r w:rsidR="004378EA" w:rsidRPr="00B740B4">
        <w:rPr>
          <w:rStyle w:val="b"/>
          <w:color w:val="auto"/>
          <w:sz w:val="22"/>
          <w:szCs w:val="22"/>
        </w:rPr>
        <w:t>Snell, D. C.</w:t>
      </w:r>
      <w:r w:rsidR="004378EA" w:rsidRPr="00B740B4">
        <w:t xml:space="preserve"> </w:t>
      </w:r>
      <w:r w:rsidR="00934A11" w:rsidRPr="00B740B4">
        <w:t>“</w:t>
      </w:r>
      <w:r w:rsidR="004378EA" w:rsidRPr="00B740B4">
        <w:t>Why Is There Aramaic in the Bible?</w:t>
      </w:r>
      <w:r w:rsidR="00934A11" w:rsidRPr="00B740B4">
        <w:t>”</w:t>
      </w:r>
      <w:r w:rsidR="004378EA" w:rsidRPr="00B740B4">
        <w:t xml:space="preserve"> </w:t>
      </w:r>
      <w:r w:rsidRPr="00B740B4">
        <w:rPr>
          <w:b/>
        </w:rPr>
        <w:t>Stevenson, W. B.</w:t>
      </w:r>
      <w:r w:rsidRPr="00B740B4">
        <w:t xml:space="preserve"> </w:t>
      </w:r>
      <w:r w:rsidR="00934A11" w:rsidRPr="00B740B4">
        <w:t>“</w:t>
      </w:r>
      <w:r w:rsidRPr="00B740B4">
        <w:t xml:space="preserve">The Identification of the Four Kingdoms in the Book of </w:t>
      </w:r>
      <w:r w:rsidR="00C338AF" w:rsidRPr="00B740B4">
        <w:t>Daniel.</w:t>
      </w:r>
      <w:r w:rsidR="00934A11" w:rsidRPr="00B740B4">
        <w:t>”</w:t>
      </w:r>
      <w:r w:rsidR="00C338AF" w:rsidRPr="00B740B4">
        <w:t xml:space="preserve"> </w:t>
      </w:r>
      <w:r w:rsidRPr="00B740B4">
        <w:rPr>
          <w:b/>
        </w:rPr>
        <w:t>Swain, J. W.</w:t>
      </w:r>
      <w:r w:rsidRPr="00B740B4">
        <w:t xml:space="preserve"> </w:t>
      </w:r>
      <w:r w:rsidR="00934A11" w:rsidRPr="00B740B4">
        <w:t>“</w:t>
      </w:r>
      <w:r w:rsidRPr="00B740B4">
        <w:t>The Theory of the Four Monar</w:t>
      </w:r>
      <w:r w:rsidR="00C338AF" w:rsidRPr="00B740B4">
        <w:t>chies.</w:t>
      </w:r>
      <w:r w:rsidR="00934A11" w:rsidRPr="00B740B4">
        <w:t>”</w:t>
      </w:r>
      <w:r w:rsidR="00C338AF" w:rsidRPr="00B740B4">
        <w:t xml:space="preserve"> </w:t>
      </w:r>
      <w:r w:rsidR="00A07624" w:rsidRPr="00B740B4">
        <w:rPr>
          <w:b/>
        </w:rPr>
        <w:t>Van</w:t>
      </w:r>
      <w:r w:rsidR="00A07624" w:rsidRPr="00B740B4">
        <w:t xml:space="preserve"> </w:t>
      </w:r>
      <w:r w:rsidR="00A07624" w:rsidRPr="00B740B4">
        <w:rPr>
          <w:b/>
        </w:rPr>
        <w:t>Hoonacker, A.</w:t>
      </w:r>
      <w:r w:rsidR="00A07624" w:rsidRPr="00B740B4">
        <w:t xml:space="preserve"> </w:t>
      </w:r>
      <w:r w:rsidR="00934A11" w:rsidRPr="00B740B4">
        <w:t>“</w:t>
      </w:r>
      <w:r w:rsidR="00A07624" w:rsidRPr="00B740B4">
        <w:t>The Four Empires of the Book of Daniel.</w:t>
      </w:r>
      <w:r w:rsidR="00934A11" w:rsidRPr="00B740B4">
        <w:t>”</w:t>
      </w:r>
      <w:r w:rsidR="0007396F" w:rsidRPr="00B740B4">
        <w:t xml:space="preserve"> ———. </w:t>
      </w:r>
      <w:r w:rsidR="00934A11" w:rsidRPr="00B740B4">
        <w:t>“</w:t>
      </w:r>
      <w:r w:rsidR="00A07624" w:rsidRPr="00B740B4">
        <w:t>L’historiographie du livre de Daniel.</w:t>
      </w:r>
      <w:r w:rsidR="00934A11" w:rsidRPr="00B740B4">
        <w:t>”</w:t>
      </w:r>
      <w:r w:rsidR="00A07624" w:rsidRPr="00B740B4">
        <w:t xml:space="preserve"> </w:t>
      </w:r>
      <w:r w:rsidR="00945116" w:rsidRPr="00B740B4">
        <w:rPr>
          <w:b/>
        </w:rPr>
        <w:t>Venter, P. M.</w:t>
      </w:r>
      <w:r w:rsidR="00945116" w:rsidRPr="00B740B4">
        <w:t xml:space="preserve"> </w:t>
      </w:r>
      <w:r w:rsidR="00934A11" w:rsidRPr="00B740B4">
        <w:rPr>
          <w:bCs/>
        </w:rPr>
        <w:t>“</w:t>
      </w:r>
      <w:r w:rsidR="00945116" w:rsidRPr="00B740B4">
        <w:rPr>
          <w:bCs/>
        </w:rPr>
        <w:t>The Function of Poetic Speech in the Narrative in Daniel 2.</w:t>
      </w:r>
      <w:r w:rsidR="00934A11" w:rsidRPr="00B740B4">
        <w:rPr>
          <w:bCs/>
        </w:rPr>
        <w:t>”</w:t>
      </w:r>
      <w:r w:rsidR="00945116" w:rsidRPr="00B740B4">
        <w:rPr>
          <w:bCs/>
        </w:rPr>
        <w:t xml:space="preserve"> </w:t>
      </w:r>
      <w:r w:rsidRPr="00B740B4">
        <w:rPr>
          <w:b/>
        </w:rPr>
        <w:t>Wallace, R.</w:t>
      </w:r>
      <w:r w:rsidRPr="00B740B4">
        <w:t xml:space="preserve"> </w:t>
      </w:r>
      <w:r w:rsidR="00934A11" w:rsidRPr="00B740B4">
        <w:t>“</w:t>
      </w:r>
      <w:r w:rsidRPr="00B740B4">
        <w:t>Tyrant, Kingd</w:t>
      </w:r>
      <w:r w:rsidR="00C338AF" w:rsidRPr="00B740B4">
        <w:t>om, and Church.</w:t>
      </w:r>
      <w:r w:rsidR="00934A11" w:rsidRPr="00B740B4">
        <w:t>”</w:t>
      </w:r>
      <w:r w:rsidR="00C338AF" w:rsidRPr="00B740B4">
        <w:t xml:space="preserve"> </w:t>
      </w:r>
      <w:r w:rsidR="00930A8F" w:rsidRPr="00B740B4">
        <w:rPr>
          <w:b/>
          <w:bCs/>
        </w:rPr>
        <w:t xml:space="preserve">Watts, J. W. </w:t>
      </w:r>
      <w:r w:rsidR="00930A8F" w:rsidRPr="00B740B4">
        <w:rPr>
          <w:bCs/>
        </w:rPr>
        <w:t>“Daniel’s Praise,” in Watts,</w:t>
      </w:r>
      <w:r w:rsidR="00930A8F" w:rsidRPr="00B740B4">
        <w:rPr>
          <w:b/>
          <w:bCs/>
        </w:rPr>
        <w:t xml:space="preserve"> </w:t>
      </w:r>
      <w:r w:rsidR="00930A8F" w:rsidRPr="00B740B4">
        <w:rPr>
          <w:bCs/>
          <w:i/>
        </w:rPr>
        <w:t>Psalm and Story</w:t>
      </w:r>
      <w:r w:rsidR="00930A8F" w:rsidRPr="00B740B4">
        <w:rPr>
          <w:bCs/>
        </w:rPr>
        <w:t xml:space="preserve">, 145-54. </w:t>
      </w:r>
      <w:r w:rsidRPr="00B740B4">
        <w:rPr>
          <w:b/>
        </w:rPr>
        <w:t>Walton, J. H.</w:t>
      </w:r>
      <w:r w:rsidRPr="00B740B4">
        <w:t xml:space="preserve"> </w:t>
      </w:r>
      <w:r w:rsidR="00934A11" w:rsidRPr="00B740B4">
        <w:t>“</w:t>
      </w:r>
      <w:r w:rsidRPr="00B740B4">
        <w:t>The Four Kingdoms of</w:t>
      </w:r>
      <w:r w:rsidR="00C338AF" w:rsidRPr="00B740B4">
        <w:t xml:space="preserve"> Daniel.</w:t>
      </w:r>
      <w:r w:rsidR="00934A11" w:rsidRPr="00B740B4">
        <w:t>”</w:t>
      </w:r>
      <w:r w:rsidR="00C338AF" w:rsidRPr="00B740B4">
        <w:t xml:space="preserve"> </w:t>
      </w:r>
      <w:r w:rsidR="00C338AF" w:rsidRPr="00B740B4">
        <w:rPr>
          <w:b/>
        </w:rPr>
        <w:t xml:space="preserve">West, E. W. </w:t>
      </w:r>
      <w:r w:rsidR="00C338AF" w:rsidRPr="00B740B4">
        <w:t>(tr</w:t>
      </w:r>
      <w:r w:rsidRPr="00B740B4">
        <w:t>ans</w:t>
      </w:r>
      <w:r w:rsidR="00C338AF" w:rsidRPr="00B740B4">
        <w:t>)</w:t>
      </w:r>
      <w:r w:rsidRPr="00B740B4">
        <w:t xml:space="preserve">. </w:t>
      </w:r>
      <w:r w:rsidRPr="00B740B4">
        <w:rPr>
          <w:i/>
        </w:rPr>
        <w:t>Pahlavi Texts</w:t>
      </w:r>
      <w:r w:rsidR="0007396F" w:rsidRPr="00B740B4">
        <w:t xml:space="preserve">. </w:t>
      </w:r>
    </w:p>
    <w:p w:rsidR="00124267" w:rsidRPr="00B740B4" w:rsidRDefault="00124267" w:rsidP="009479B1">
      <w:pPr>
        <w:pStyle w:val="Heading2"/>
      </w:pPr>
      <w:r w:rsidRPr="00B740B4">
        <w:t>Translation</w:t>
      </w:r>
    </w:p>
    <w:p w:rsidR="0084151E" w:rsidRPr="00B740B4" w:rsidRDefault="00124267" w:rsidP="00124267">
      <w:r w:rsidRPr="00B740B4">
        <w:rPr>
          <w:rStyle w:val="ver"/>
        </w:rPr>
        <w:t>1</w:t>
      </w:r>
      <w:r w:rsidRPr="00B740B4">
        <w:rPr>
          <w:rStyle w:val="i"/>
          <w:color w:val="auto"/>
          <w:szCs w:val="22"/>
        </w:rPr>
        <w:t>In t</w:t>
      </w:r>
      <w:r w:rsidR="00C73F23" w:rsidRPr="00B740B4">
        <w:rPr>
          <w:rStyle w:val="i"/>
          <w:color w:val="auto"/>
          <w:szCs w:val="22"/>
        </w:rPr>
        <w:t>he second</w:t>
      </w:r>
      <w:r w:rsidR="00447F48" w:rsidRPr="00B740B4">
        <w:rPr>
          <w:rStyle w:val="i"/>
          <w:color w:val="auto"/>
          <w:szCs w:val="22"/>
          <w:vertAlign w:val="superscript"/>
        </w:rPr>
        <w:t>a</w:t>
      </w:r>
      <w:r w:rsidR="00C73F23" w:rsidRPr="00B740B4">
        <w:rPr>
          <w:rStyle w:val="i"/>
          <w:color w:val="auto"/>
          <w:szCs w:val="22"/>
        </w:rPr>
        <w:t xml:space="preserve"> year of </w:t>
      </w:r>
      <w:r w:rsidR="00C73F23" w:rsidRPr="00B740B4">
        <w:rPr>
          <w:i/>
          <w:lang w:val="en-GB"/>
        </w:rPr>
        <w:t>Nebukadne’</w:t>
      </w:r>
      <w:r w:rsidR="00C73F23" w:rsidRPr="00B740B4">
        <w:rPr>
          <w:i/>
        </w:rPr>
        <w:t>ṣṣ</w:t>
      </w:r>
      <w:r w:rsidR="00C73F23" w:rsidRPr="00B740B4">
        <w:rPr>
          <w:i/>
          <w:lang w:val="en-GB"/>
        </w:rPr>
        <w:t>ar</w:t>
      </w:r>
      <w:r w:rsidR="00C73F23" w:rsidRPr="00B740B4">
        <w:rPr>
          <w:rStyle w:val="i"/>
          <w:color w:val="auto"/>
          <w:szCs w:val="22"/>
        </w:rPr>
        <w:t xml:space="preserve">’s reign, </w:t>
      </w:r>
      <w:r w:rsidR="00C73F23" w:rsidRPr="00B740B4">
        <w:rPr>
          <w:i/>
          <w:lang w:val="en-GB"/>
        </w:rPr>
        <w:t>Nebukadne’</w:t>
      </w:r>
      <w:r w:rsidR="00C73F23" w:rsidRPr="00B740B4">
        <w:rPr>
          <w:i/>
        </w:rPr>
        <w:t>ṣṣ</w:t>
      </w:r>
      <w:r w:rsidR="00C73F23" w:rsidRPr="00B740B4">
        <w:rPr>
          <w:i/>
          <w:lang w:val="en-GB"/>
        </w:rPr>
        <w:t>ar</w:t>
      </w:r>
      <w:r w:rsidR="00962BBD" w:rsidRPr="00B740B4">
        <w:rPr>
          <w:rStyle w:val="i"/>
          <w:color w:val="auto"/>
          <w:szCs w:val="22"/>
        </w:rPr>
        <w:t xml:space="preserve"> had </w:t>
      </w:r>
      <w:r w:rsidRPr="00B740B4">
        <w:rPr>
          <w:rStyle w:val="i"/>
          <w:color w:val="auto"/>
          <w:szCs w:val="22"/>
        </w:rPr>
        <w:t>dream</w:t>
      </w:r>
      <w:r w:rsidR="00962BBD" w:rsidRPr="00B740B4">
        <w:rPr>
          <w:rStyle w:val="i"/>
          <w:color w:val="auto"/>
          <w:szCs w:val="22"/>
        </w:rPr>
        <w:t>s</w:t>
      </w:r>
      <w:r w:rsidR="00763529" w:rsidRPr="00B740B4">
        <w:rPr>
          <w:rStyle w:val="i"/>
          <w:color w:val="auto"/>
          <w:szCs w:val="22"/>
        </w:rPr>
        <w:t>,</w:t>
      </w:r>
      <w:r w:rsidR="00763529" w:rsidRPr="00B740B4">
        <w:rPr>
          <w:rStyle w:val="fnref"/>
        </w:rPr>
        <w:t>b</w:t>
      </w:r>
      <w:r w:rsidRPr="00B740B4">
        <w:t xml:space="preserve"> </w:t>
      </w:r>
      <w:r w:rsidR="00C903C9" w:rsidRPr="00B740B4">
        <w:rPr>
          <w:rStyle w:val="i"/>
          <w:color w:val="auto"/>
          <w:szCs w:val="22"/>
        </w:rPr>
        <w:t>and h</w:t>
      </w:r>
      <w:r w:rsidR="00DF1A53" w:rsidRPr="00B740B4">
        <w:rPr>
          <w:rStyle w:val="i"/>
          <w:color w:val="auto"/>
          <w:szCs w:val="22"/>
        </w:rPr>
        <w:t xml:space="preserve">is spirit </w:t>
      </w:r>
      <w:r w:rsidR="00C903C9" w:rsidRPr="00B740B4">
        <w:rPr>
          <w:rStyle w:val="i"/>
          <w:color w:val="auto"/>
          <w:szCs w:val="22"/>
        </w:rPr>
        <w:t>was troubl</w:t>
      </w:r>
      <w:r w:rsidRPr="00B740B4">
        <w:rPr>
          <w:rStyle w:val="i"/>
          <w:color w:val="auto"/>
          <w:szCs w:val="22"/>
        </w:rPr>
        <w:t>ed</w:t>
      </w:r>
      <w:r w:rsidR="00C903C9" w:rsidRPr="00B740B4">
        <w:rPr>
          <w:rStyle w:val="i"/>
          <w:color w:val="auto"/>
          <w:szCs w:val="22"/>
        </w:rPr>
        <w:t>.</w:t>
      </w:r>
      <w:r w:rsidRPr="00B740B4">
        <w:t xml:space="preserve"> </w:t>
      </w:r>
      <w:r w:rsidR="00C903C9" w:rsidRPr="00B740B4">
        <w:rPr>
          <w:rStyle w:val="i"/>
          <w:color w:val="auto"/>
          <w:szCs w:val="22"/>
        </w:rPr>
        <w:t>B</w:t>
      </w:r>
      <w:r w:rsidRPr="00B740B4">
        <w:rPr>
          <w:rStyle w:val="i"/>
          <w:color w:val="auto"/>
          <w:szCs w:val="22"/>
        </w:rPr>
        <w:t>ut sleep came over him.</w:t>
      </w:r>
      <w:r w:rsidR="00763529" w:rsidRPr="00B740B4">
        <w:rPr>
          <w:rStyle w:val="fnref"/>
        </w:rPr>
        <w:t>c</w:t>
      </w:r>
      <w:r w:rsidRPr="00B740B4">
        <w:t xml:space="preserve"> </w:t>
      </w:r>
      <w:r w:rsidRPr="00B740B4">
        <w:rPr>
          <w:rStyle w:val="ver"/>
        </w:rPr>
        <w:t>2</w:t>
      </w:r>
      <w:r w:rsidR="00A063E1">
        <w:rPr>
          <w:rStyle w:val="i"/>
          <w:color w:val="auto"/>
          <w:szCs w:val="22"/>
        </w:rPr>
        <w:t>So t</w:t>
      </w:r>
      <w:r w:rsidR="00ED4749">
        <w:rPr>
          <w:rStyle w:val="i"/>
          <w:color w:val="auto"/>
          <w:szCs w:val="22"/>
        </w:rPr>
        <w:t xml:space="preserve">he king said to summon </w:t>
      </w:r>
      <w:r w:rsidRPr="00B740B4">
        <w:rPr>
          <w:rStyle w:val="i"/>
          <w:color w:val="auto"/>
          <w:szCs w:val="22"/>
        </w:rPr>
        <w:t>the diviners, the chanters,</w:t>
      </w:r>
      <w:r w:rsidR="00C73F23" w:rsidRPr="00B740B4">
        <w:rPr>
          <w:rStyle w:val="i"/>
          <w:color w:val="auto"/>
          <w:szCs w:val="22"/>
        </w:rPr>
        <w:t xml:space="preserve"> the charmers, and the </w:t>
      </w:r>
      <w:r w:rsidR="00C73F23" w:rsidRPr="00B740B4">
        <w:rPr>
          <w:i/>
        </w:rPr>
        <w:t>Kasdites</w:t>
      </w:r>
      <w:r w:rsidR="00052A7B" w:rsidRPr="00B740B4">
        <w:rPr>
          <w:i/>
          <w:vertAlign w:val="superscript"/>
        </w:rPr>
        <w:t>a</w:t>
      </w:r>
      <w:r w:rsidR="00ED4749">
        <w:rPr>
          <w:rStyle w:val="i"/>
          <w:color w:val="auto"/>
          <w:szCs w:val="22"/>
        </w:rPr>
        <w:t xml:space="preserve"> </w:t>
      </w:r>
      <w:r w:rsidRPr="00B740B4">
        <w:rPr>
          <w:rStyle w:val="i"/>
          <w:color w:val="auto"/>
          <w:szCs w:val="22"/>
        </w:rPr>
        <w:t xml:space="preserve">to explain to </w:t>
      </w:r>
      <w:r w:rsidR="00962BBD" w:rsidRPr="00B740B4">
        <w:rPr>
          <w:rStyle w:val="i"/>
          <w:color w:val="auto"/>
          <w:szCs w:val="22"/>
        </w:rPr>
        <w:t>the king what he had dreamed, and</w:t>
      </w:r>
      <w:r w:rsidRPr="00B740B4">
        <w:rPr>
          <w:rStyle w:val="i"/>
          <w:color w:val="auto"/>
          <w:szCs w:val="22"/>
        </w:rPr>
        <w:t xml:space="preserve"> they came and to</w:t>
      </w:r>
      <w:r w:rsidR="00962BBD" w:rsidRPr="00B740B4">
        <w:rPr>
          <w:rStyle w:val="i"/>
          <w:color w:val="auto"/>
          <w:szCs w:val="22"/>
        </w:rPr>
        <w:t xml:space="preserve">ok their places before the king. </w:t>
      </w:r>
      <w:r w:rsidR="00A063E1">
        <w:rPr>
          <w:rStyle w:val="ver"/>
        </w:rPr>
        <w:t>3</w:t>
      </w:r>
      <w:r w:rsidR="00962BBD" w:rsidRPr="00A063E1">
        <w:rPr>
          <w:rStyle w:val="i"/>
          <w:color w:val="auto"/>
          <w:szCs w:val="22"/>
        </w:rPr>
        <w:t>T</w:t>
      </w:r>
      <w:r w:rsidRPr="00A063E1">
        <w:rPr>
          <w:rStyle w:val="i"/>
          <w:color w:val="auto"/>
          <w:szCs w:val="22"/>
        </w:rPr>
        <w:t>he</w:t>
      </w:r>
      <w:r w:rsidRPr="00B740B4">
        <w:rPr>
          <w:rStyle w:val="i"/>
          <w:color w:val="auto"/>
          <w:szCs w:val="22"/>
        </w:rPr>
        <w:t xml:space="preserve"> king said to t</w:t>
      </w:r>
      <w:r w:rsidR="005A54F4" w:rsidRPr="00B740B4">
        <w:rPr>
          <w:rStyle w:val="i"/>
          <w:color w:val="auto"/>
          <w:szCs w:val="22"/>
        </w:rPr>
        <w:t xml:space="preserve">hem, </w:t>
      </w:r>
      <w:r w:rsidR="00934A11" w:rsidRPr="00B740B4">
        <w:rPr>
          <w:rStyle w:val="i"/>
          <w:color w:val="auto"/>
          <w:szCs w:val="22"/>
        </w:rPr>
        <w:t>“</w:t>
      </w:r>
      <w:r w:rsidR="00A378A7" w:rsidRPr="00B740B4">
        <w:rPr>
          <w:rStyle w:val="i"/>
          <w:color w:val="auto"/>
          <w:szCs w:val="22"/>
        </w:rPr>
        <w:t>I ha</w:t>
      </w:r>
      <w:r w:rsidR="005A54F4" w:rsidRPr="00B740B4">
        <w:rPr>
          <w:rStyle w:val="i"/>
          <w:color w:val="auto"/>
          <w:szCs w:val="22"/>
        </w:rPr>
        <w:t>ve had a dream and my spirit is troubled</w:t>
      </w:r>
      <w:r w:rsidRPr="00B740B4">
        <w:t xml:space="preserve"> </w:t>
      </w:r>
      <w:r w:rsidRPr="00B740B4">
        <w:rPr>
          <w:rStyle w:val="i"/>
          <w:color w:val="auto"/>
          <w:szCs w:val="22"/>
        </w:rPr>
        <w:t>to know what I dreamed.</w:t>
      </w:r>
      <w:r w:rsidR="00934A11" w:rsidRPr="00B740B4">
        <w:rPr>
          <w:rStyle w:val="i"/>
          <w:color w:val="auto"/>
          <w:szCs w:val="22"/>
        </w:rPr>
        <w:t>”</w:t>
      </w:r>
      <w:r w:rsidRPr="00B740B4">
        <w:t xml:space="preserve"> </w:t>
      </w:r>
      <w:r w:rsidRPr="00B740B4">
        <w:rPr>
          <w:rStyle w:val="ver"/>
        </w:rPr>
        <w:t>4</w:t>
      </w:r>
      <w:r w:rsidR="00C73F23" w:rsidRPr="00B740B4">
        <w:rPr>
          <w:rStyle w:val="i"/>
          <w:color w:val="auto"/>
          <w:szCs w:val="22"/>
        </w:rPr>
        <w:t xml:space="preserve">The </w:t>
      </w:r>
      <w:r w:rsidR="00C73F23" w:rsidRPr="00B740B4">
        <w:rPr>
          <w:i/>
        </w:rPr>
        <w:t>Kasdites</w:t>
      </w:r>
      <w:r w:rsidRPr="00B740B4">
        <w:rPr>
          <w:rStyle w:val="i"/>
          <w:color w:val="auto"/>
          <w:szCs w:val="22"/>
        </w:rPr>
        <w:t xml:space="preserve"> spoke to the king (in Aramaic):</w:t>
      </w:r>
      <w:r w:rsidRPr="00B740B4">
        <w:rPr>
          <w:rStyle w:val="fnref"/>
        </w:rPr>
        <w:t>a</w:t>
      </w:r>
      <w:r w:rsidRPr="00B740B4">
        <w:t xml:space="preserve"> </w:t>
      </w:r>
      <w:r w:rsidR="00934A11" w:rsidRPr="00B740B4">
        <w:rPr>
          <w:rStyle w:val="i"/>
          <w:color w:val="auto"/>
          <w:szCs w:val="22"/>
        </w:rPr>
        <w:t>“</w:t>
      </w:r>
      <w:r w:rsidRPr="00B740B4">
        <w:rPr>
          <w:rStyle w:val="i"/>
          <w:color w:val="auto"/>
          <w:szCs w:val="22"/>
        </w:rPr>
        <w:t>Long</w:t>
      </w:r>
      <w:r w:rsidRPr="00B740B4">
        <w:rPr>
          <w:rStyle w:val="fnref"/>
        </w:rPr>
        <w:t>b</w:t>
      </w:r>
      <w:r w:rsidRPr="00B740B4">
        <w:t xml:space="preserve"> </w:t>
      </w:r>
      <w:r w:rsidRPr="00B740B4">
        <w:rPr>
          <w:rStyle w:val="i"/>
          <w:color w:val="auto"/>
          <w:szCs w:val="22"/>
        </w:rPr>
        <w:t>live the king! Tell your servants the dream, and we will explain the interpretation.</w:t>
      </w:r>
      <w:r w:rsidR="00934A11" w:rsidRPr="00B740B4">
        <w:rPr>
          <w:rStyle w:val="i"/>
          <w:color w:val="auto"/>
          <w:szCs w:val="22"/>
        </w:rPr>
        <w:t>”</w:t>
      </w:r>
      <w:r w:rsidRPr="00B740B4">
        <w:rPr>
          <w:rStyle w:val="fnref"/>
        </w:rPr>
        <w:t>c</w:t>
      </w:r>
      <w:r w:rsidRPr="00B740B4">
        <w:t xml:space="preserve"> </w:t>
      </w:r>
      <w:r w:rsidRPr="00B740B4">
        <w:rPr>
          <w:rStyle w:val="ver"/>
        </w:rPr>
        <w:t>5</w:t>
      </w:r>
      <w:r w:rsidR="00085F90" w:rsidRPr="00B740B4">
        <w:rPr>
          <w:rStyle w:val="i"/>
          <w:color w:val="auto"/>
          <w:szCs w:val="22"/>
        </w:rPr>
        <w:t>The king respond</w:t>
      </w:r>
      <w:r w:rsidRPr="00B740B4">
        <w:rPr>
          <w:rStyle w:val="i"/>
          <w:color w:val="auto"/>
          <w:szCs w:val="22"/>
        </w:rPr>
        <w:t>ed</w:t>
      </w:r>
      <w:r w:rsidRPr="00B740B4">
        <w:rPr>
          <w:rStyle w:val="fnref"/>
        </w:rPr>
        <w:t>a</w:t>
      </w:r>
      <w:r w:rsidRPr="00B740B4">
        <w:t xml:space="preserve"> </w:t>
      </w:r>
      <w:r w:rsidR="00085F90" w:rsidRPr="00B740B4">
        <w:rPr>
          <w:i/>
        </w:rPr>
        <w:t>to</w:t>
      </w:r>
      <w:r w:rsidR="00085F90" w:rsidRPr="00B740B4">
        <w:t xml:space="preserve"> </w:t>
      </w:r>
      <w:r w:rsidR="00C73F23" w:rsidRPr="00B740B4">
        <w:rPr>
          <w:rStyle w:val="i"/>
          <w:color w:val="auto"/>
          <w:szCs w:val="22"/>
        </w:rPr>
        <w:t xml:space="preserve">the </w:t>
      </w:r>
      <w:r w:rsidR="00C73F23" w:rsidRPr="00B740B4">
        <w:rPr>
          <w:i/>
        </w:rPr>
        <w:t>Kasdites</w:t>
      </w:r>
      <w:r w:rsidR="003450D6" w:rsidRPr="00B740B4">
        <w:rPr>
          <w:rStyle w:val="i"/>
          <w:color w:val="auto"/>
          <w:szCs w:val="22"/>
        </w:rPr>
        <w:t xml:space="preserve">, </w:t>
      </w:r>
      <w:r w:rsidR="00934A11" w:rsidRPr="00B740B4">
        <w:rPr>
          <w:rStyle w:val="i"/>
          <w:color w:val="auto"/>
          <w:szCs w:val="22"/>
        </w:rPr>
        <w:t>“</w:t>
      </w:r>
      <w:r w:rsidR="00BE3FC3">
        <w:rPr>
          <w:rStyle w:val="i"/>
          <w:color w:val="auto"/>
          <w:szCs w:val="22"/>
        </w:rPr>
        <w:t xml:space="preserve">The thing </w:t>
      </w:r>
      <w:r w:rsidR="003450D6" w:rsidRPr="00B740B4">
        <w:rPr>
          <w:rStyle w:val="i"/>
          <w:color w:val="auto"/>
          <w:szCs w:val="22"/>
        </w:rPr>
        <w:t xml:space="preserve">is </w:t>
      </w:r>
      <w:r w:rsidR="00C70B82" w:rsidRPr="00B740B4">
        <w:rPr>
          <w:rStyle w:val="i"/>
          <w:color w:val="auto"/>
          <w:szCs w:val="22"/>
        </w:rPr>
        <w:t>determined</w:t>
      </w:r>
      <w:r w:rsidRPr="00B740B4">
        <w:rPr>
          <w:rStyle w:val="fnref"/>
        </w:rPr>
        <w:t>b</w:t>
      </w:r>
      <w:r w:rsidRPr="00B740B4">
        <w:t xml:space="preserve"> </w:t>
      </w:r>
      <w:r w:rsidR="00C70B82" w:rsidRPr="00B740B4">
        <w:rPr>
          <w:i/>
        </w:rPr>
        <w:t xml:space="preserve">by me: </w:t>
      </w:r>
      <w:r w:rsidR="00B010A3">
        <w:rPr>
          <w:rStyle w:val="i"/>
          <w:color w:val="auto"/>
          <w:szCs w:val="22"/>
        </w:rPr>
        <w:t>if you cannot let</w:t>
      </w:r>
      <w:r w:rsidRPr="00B740B4">
        <w:rPr>
          <w:rStyle w:val="i"/>
          <w:color w:val="auto"/>
          <w:szCs w:val="22"/>
        </w:rPr>
        <w:t xml:space="preserve"> me </w:t>
      </w:r>
      <w:r w:rsidR="00B010A3">
        <w:rPr>
          <w:rStyle w:val="i"/>
          <w:color w:val="auto"/>
          <w:szCs w:val="22"/>
        </w:rPr>
        <w:t xml:space="preserve">know </w:t>
      </w:r>
      <w:r w:rsidRPr="00B740B4">
        <w:rPr>
          <w:rStyle w:val="i"/>
          <w:color w:val="auto"/>
          <w:szCs w:val="22"/>
        </w:rPr>
        <w:t>the dream and its interpretation, you will be torn limb from limb</w:t>
      </w:r>
      <w:r w:rsidR="00062211" w:rsidRPr="00B740B4">
        <w:rPr>
          <w:rStyle w:val="i"/>
          <w:color w:val="auto"/>
          <w:szCs w:val="22"/>
          <w:vertAlign w:val="superscript"/>
        </w:rPr>
        <w:t>c</w:t>
      </w:r>
      <w:r w:rsidRPr="00B740B4">
        <w:rPr>
          <w:rStyle w:val="i"/>
          <w:color w:val="auto"/>
          <w:szCs w:val="22"/>
        </w:rPr>
        <w:t xml:space="preserve"> and your houses will be turned into rubble.</w:t>
      </w:r>
      <w:r w:rsidR="00062211" w:rsidRPr="00B740B4">
        <w:rPr>
          <w:rStyle w:val="fnref"/>
        </w:rPr>
        <w:t>d</w:t>
      </w:r>
      <w:r w:rsidRPr="00B740B4">
        <w:t xml:space="preserve"> </w:t>
      </w:r>
      <w:r w:rsidRPr="00B740B4">
        <w:rPr>
          <w:rStyle w:val="ver"/>
        </w:rPr>
        <w:t>6</w:t>
      </w:r>
      <w:r w:rsidRPr="00B740B4">
        <w:rPr>
          <w:rStyle w:val="i"/>
          <w:color w:val="auto"/>
          <w:szCs w:val="22"/>
        </w:rPr>
        <w:t>But if you can tell me the dream and its interpretation, you will acquire from me gifts, a reward, and great honor. Now</w:t>
      </w:r>
      <w:r w:rsidRPr="00B740B4">
        <w:rPr>
          <w:rStyle w:val="fnref"/>
        </w:rPr>
        <w:t>a</w:t>
      </w:r>
      <w:r w:rsidRPr="00B740B4">
        <w:t xml:space="preserve"> </w:t>
      </w:r>
      <w:r w:rsidRPr="00B740B4">
        <w:rPr>
          <w:rStyle w:val="i"/>
          <w:color w:val="auto"/>
          <w:szCs w:val="22"/>
        </w:rPr>
        <w:t>tell me the dream and its interpretation.</w:t>
      </w:r>
      <w:r w:rsidR="00934A11" w:rsidRPr="00B740B4">
        <w:rPr>
          <w:rStyle w:val="i"/>
          <w:color w:val="auto"/>
          <w:szCs w:val="22"/>
        </w:rPr>
        <w:t>”</w:t>
      </w:r>
      <w:r w:rsidRPr="00B740B4">
        <w:t xml:space="preserve"> </w:t>
      </w:r>
    </w:p>
    <w:p w:rsidR="00124267" w:rsidRPr="00B740B4" w:rsidRDefault="00124267" w:rsidP="00124267">
      <w:r w:rsidRPr="00B740B4">
        <w:rPr>
          <w:rStyle w:val="ver"/>
        </w:rPr>
        <w:t>7</w:t>
      </w:r>
      <w:r w:rsidR="00085F90" w:rsidRPr="00B740B4">
        <w:rPr>
          <w:rStyle w:val="i"/>
          <w:color w:val="auto"/>
          <w:szCs w:val="22"/>
        </w:rPr>
        <w:t>They respond</w:t>
      </w:r>
      <w:r w:rsidRPr="00B740B4">
        <w:rPr>
          <w:rStyle w:val="i"/>
          <w:color w:val="auto"/>
          <w:szCs w:val="22"/>
        </w:rPr>
        <w:t xml:space="preserve">ed a second time, </w:t>
      </w:r>
      <w:r w:rsidR="00934A11" w:rsidRPr="00B740B4">
        <w:rPr>
          <w:rStyle w:val="i"/>
          <w:color w:val="auto"/>
          <w:szCs w:val="22"/>
        </w:rPr>
        <w:t>“</w:t>
      </w:r>
      <w:r w:rsidRPr="00B740B4">
        <w:rPr>
          <w:rStyle w:val="i"/>
          <w:color w:val="auto"/>
          <w:szCs w:val="22"/>
        </w:rPr>
        <w:t>Let the king tell</w:t>
      </w:r>
      <w:r w:rsidR="00640363" w:rsidRPr="00B740B4">
        <w:rPr>
          <w:rStyle w:val="i"/>
          <w:color w:val="auto"/>
          <w:szCs w:val="22"/>
          <w:vertAlign w:val="superscript"/>
        </w:rPr>
        <w:t>a</w:t>
      </w:r>
      <w:r w:rsidRPr="00B740B4">
        <w:t xml:space="preserve"> </w:t>
      </w:r>
      <w:r w:rsidRPr="00B740B4">
        <w:rPr>
          <w:rStyle w:val="i"/>
          <w:color w:val="auto"/>
          <w:szCs w:val="22"/>
        </w:rPr>
        <w:t>his servants</w:t>
      </w:r>
      <w:r w:rsidR="00B010A3">
        <w:rPr>
          <w:rStyle w:val="i"/>
          <w:color w:val="auto"/>
          <w:szCs w:val="22"/>
        </w:rPr>
        <w:t xml:space="preserve"> the dream, and we will explain</w:t>
      </w:r>
      <w:r w:rsidRPr="00B740B4">
        <w:rPr>
          <w:rStyle w:val="i"/>
          <w:color w:val="auto"/>
          <w:szCs w:val="22"/>
        </w:rPr>
        <w:t xml:space="preserve"> the interpretation</w:t>
      </w:r>
      <w:r w:rsidR="00B010A3">
        <w:rPr>
          <w:rStyle w:val="i"/>
          <w:color w:val="auto"/>
          <w:szCs w:val="22"/>
        </w:rPr>
        <w:t xml:space="preserve"> to him</w:t>
      </w:r>
      <w:r w:rsidRPr="00B740B4">
        <w:rPr>
          <w:rStyle w:val="i"/>
          <w:color w:val="auto"/>
          <w:szCs w:val="22"/>
        </w:rPr>
        <w:t>.</w:t>
      </w:r>
      <w:r w:rsidR="00934A11" w:rsidRPr="00B740B4">
        <w:rPr>
          <w:rStyle w:val="i"/>
          <w:color w:val="auto"/>
          <w:szCs w:val="22"/>
        </w:rPr>
        <w:t>”</w:t>
      </w:r>
      <w:r w:rsidRPr="00B740B4">
        <w:t xml:space="preserve"> </w:t>
      </w:r>
      <w:r w:rsidRPr="00B740B4">
        <w:rPr>
          <w:rStyle w:val="ver"/>
        </w:rPr>
        <w:t>8</w:t>
      </w:r>
      <w:r w:rsidR="00085F90" w:rsidRPr="00B740B4">
        <w:rPr>
          <w:rStyle w:val="i"/>
          <w:color w:val="auto"/>
          <w:szCs w:val="22"/>
        </w:rPr>
        <w:t>The king respond</w:t>
      </w:r>
      <w:r w:rsidRPr="00B740B4">
        <w:rPr>
          <w:rStyle w:val="i"/>
          <w:color w:val="auto"/>
          <w:szCs w:val="22"/>
        </w:rPr>
        <w:t xml:space="preserve">ed, </w:t>
      </w:r>
      <w:r w:rsidR="00934A11" w:rsidRPr="00B740B4">
        <w:rPr>
          <w:rStyle w:val="i"/>
          <w:color w:val="auto"/>
          <w:szCs w:val="22"/>
        </w:rPr>
        <w:t>“</w:t>
      </w:r>
      <w:r w:rsidRPr="00B740B4">
        <w:rPr>
          <w:rStyle w:val="i"/>
          <w:color w:val="auto"/>
          <w:szCs w:val="22"/>
        </w:rPr>
        <w:t>I know very well that you are buying the time,</w:t>
      </w:r>
      <w:r w:rsidRPr="00B740B4">
        <w:rPr>
          <w:rStyle w:val="fnref"/>
        </w:rPr>
        <w:t>a</w:t>
      </w:r>
      <w:r w:rsidRPr="00B740B4">
        <w:t xml:space="preserve"> </w:t>
      </w:r>
      <w:r w:rsidRPr="00B740B4">
        <w:rPr>
          <w:rStyle w:val="i"/>
          <w:color w:val="auto"/>
          <w:szCs w:val="22"/>
        </w:rPr>
        <w:t>because</w:t>
      </w:r>
      <w:r w:rsidRPr="00B740B4">
        <w:rPr>
          <w:rStyle w:val="fnref"/>
        </w:rPr>
        <w:t>b</w:t>
      </w:r>
      <w:r w:rsidRPr="00B740B4">
        <w:t xml:space="preserve"> </w:t>
      </w:r>
      <w:r w:rsidRPr="00B740B4">
        <w:rPr>
          <w:rStyle w:val="i"/>
          <w:color w:val="auto"/>
          <w:szCs w:val="22"/>
        </w:rPr>
        <w:t xml:space="preserve">you </w:t>
      </w:r>
      <w:r w:rsidR="00827615">
        <w:rPr>
          <w:rStyle w:val="i"/>
          <w:color w:val="auto"/>
          <w:szCs w:val="22"/>
        </w:rPr>
        <w:t>have seen</w:t>
      </w:r>
      <w:r w:rsidR="00827615">
        <w:rPr>
          <w:rStyle w:val="i"/>
          <w:color w:val="auto"/>
          <w:szCs w:val="22"/>
          <w:vertAlign w:val="superscript"/>
        </w:rPr>
        <w:t>c</w:t>
      </w:r>
      <w:r w:rsidRPr="00B740B4">
        <w:rPr>
          <w:rStyle w:val="i"/>
          <w:color w:val="auto"/>
          <w:szCs w:val="22"/>
        </w:rPr>
        <w:t xml:space="preserve"> that I have made a firm decision</w:t>
      </w:r>
      <w:r w:rsidRPr="00B740B4">
        <w:t xml:space="preserve"> </w:t>
      </w:r>
      <w:r w:rsidRPr="00B740B4">
        <w:rPr>
          <w:rStyle w:val="ver"/>
        </w:rPr>
        <w:t>9</w:t>
      </w:r>
      <w:r w:rsidRPr="00B740B4">
        <w:rPr>
          <w:rStyle w:val="fnref"/>
        </w:rPr>
        <w:t>a</w:t>
      </w:r>
      <w:r w:rsidR="00B010A3">
        <w:rPr>
          <w:rStyle w:val="i"/>
          <w:color w:val="auto"/>
          <w:szCs w:val="22"/>
        </w:rPr>
        <w:t>that if you cannot let</w:t>
      </w:r>
      <w:r w:rsidRPr="00B740B4">
        <w:rPr>
          <w:rStyle w:val="i"/>
          <w:color w:val="auto"/>
          <w:szCs w:val="22"/>
        </w:rPr>
        <w:t xml:space="preserve"> me </w:t>
      </w:r>
      <w:r w:rsidR="00B010A3">
        <w:rPr>
          <w:rStyle w:val="i"/>
          <w:color w:val="auto"/>
          <w:szCs w:val="22"/>
        </w:rPr>
        <w:t xml:space="preserve">know </w:t>
      </w:r>
      <w:r w:rsidRPr="00B740B4">
        <w:rPr>
          <w:rStyle w:val="i"/>
          <w:color w:val="auto"/>
          <w:szCs w:val="22"/>
        </w:rPr>
        <w:t>what I have dreame</w:t>
      </w:r>
      <w:r w:rsidR="004B2306">
        <w:rPr>
          <w:rStyle w:val="i"/>
          <w:color w:val="auto"/>
          <w:szCs w:val="22"/>
        </w:rPr>
        <w:t>d, there is a specific edict</w:t>
      </w:r>
      <w:r w:rsidRPr="00B740B4">
        <w:rPr>
          <w:rStyle w:val="i"/>
          <w:color w:val="auto"/>
          <w:szCs w:val="22"/>
        </w:rPr>
        <w:t xml:space="preserve"> for you.</w:t>
      </w:r>
      <w:r w:rsidRPr="00B740B4">
        <w:rPr>
          <w:rStyle w:val="fnref"/>
        </w:rPr>
        <w:t>a</w:t>
      </w:r>
      <w:r w:rsidRPr="00B740B4">
        <w:t xml:space="preserve"> </w:t>
      </w:r>
      <w:r w:rsidRPr="00B740B4">
        <w:rPr>
          <w:rStyle w:val="i"/>
          <w:color w:val="auto"/>
          <w:szCs w:val="22"/>
        </w:rPr>
        <w:t>You have arranged with each other</w:t>
      </w:r>
      <w:r w:rsidRPr="00B740B4">
        <w:rPr>
          <w:rStyle w:val="fnref"/>
        </w:rPr>
        <w:t>b</w:t>
      </w:r>
      <w:r w:rsidRPr="00B740B4">
        <w:t xml:space="preserve"> </w:t>
      </w:r>
      <w:r w:rsidRPr="00B740B4">
        <w:rPr>
          <w:rStyle w:val="i"/>
          <w:color w:val="auto"/>
          <w:szCs w:val="22"/>
        </w:rPr>
        <w:t>to make a lying, base response before me, hoping the situation may change. Now</w:t>
      </w:r>
      <w:r w:rsidRPr="00B740B4">
        <w:rPr>
          <w:rStyle w:val="fnref"/>
        </w:rPr>
        <w:t>c</w:t>
      </w:r>
      <w:r w:rsidRPr="00B740B4">
        <w:t xml:space="preserve"> </w:t>
      </w:r>
      <w:r w:rsidRPr="00B740B4">
        <w:rPr>
          <w:rStyle w:val="i"/>
          <w:color w:val="auto"/>
          <w:szCs w:val="22"/>
        </w:rPr>
        <w:t>tell me the dream, and I will know you can explain its interpretation to me.</w:t>
      </w:r>
      <w:r w:rsidR="00934A11" w:rsidRPr="00B740B4">
        <w:rPr>
          <w:rStyle w:val="i"/>
          <w:color w:val="auto"/>
          <w:szCs w:val="22"/>
        </w:rPr>
        <w:t>”</w:t>
      </w:r>
      <w:r w:rsidRPr="00B740B4">
        <w:t xml:space="preserve"> </w:t>
      </w:r>
      <w:r w:rsidRPr="00B740B4">
        <w:rPr>
          <w:rStyle w:val="ver"/>
        </w:rPr>
        <w:t>10</w:t>
      </w:r>
      <w:r w:rsidR="00C73F23" w:rsidRPr="00B740B4">
        <w:rPr>
          <w:rStyle w:val="i"/>
          <w:color w:val="auto"/>
          <w:szCs w:val="22"/>
        </w:rPr>
        <w:t xml:space="preserve">The </w:t>
      </w:r>
      <w:r w:rsidR="00C73F23" w:rsidRPr="00B740B4">
        <w:rPr>
          <w:i/>
        </w:rPr>
        <w:t>Kasdites</w:t>
      </w:r>
      <w:r w:rsidRPr="00B740B4">
        <w:rPr>
          <w:rStyle w:val="i"/>
          <w:color w:val="auto"/>
          <w:szCs w:val="22"/>
        </w:rPr>
        <w:t xml:space="preserve"> responded before the king, </w:t>
      </w:r>
      <w:r w:rsidR="00934A11" w:rsidRPr="00B740B4">
        <w:rPr>
          <w:rStyle w:val="i"/>
          <w:color w:val="auto"/>
          <w:szCs w:val="22"/>
        </w:rPr>
        <w:t>“</w:t>
      </w:r>
      <w:r w:rsidRPr="00B740B4">
        <w:rPr>
          <w:rStyle w:val="i"/>
          <w:color w:val="auto"/>
          <w:szCs w:val="22"/>
        </w:rPr>
        <w:t>There is no one on earth who cou</w:t>
      </w:r>
      <w:r w:rsidR="005F1B9C">
        <w:rPr>
          <w:rStyle w:val="i"/>
          <w:color w:val="auto"/>
          <w:szCs w:val="22"/>
        </w:rPr>
        <w:t xml:space="preserve">ld explain the thing </w:t>
      </w:r>
      <w:r w:rsidR="00A16596">
        <w:rPr>
          <w:rStyle w:val="i"/>
          <w:color w:val="auto"/>
          <w:szCs w:val="22"/>
        </w:rPr>
        <w:t>that the king asks</w:t>
      </w:r>
      <w:r w:rsidRPr="00B740B4">
        <w:rPr>
          <w:rStyle w:val="i"/>
          <w:color w:val="auto"/>
          <w:szCs w:val="22"/>
        </w:rPr>
        <w:t>. Hence</w:t>
      </w:r>
      <w:r w:rsidRPr="00B740B4">
        <w:rPr>
          <w:rStyle w:val="fnref"/>
        </w:rPr>
        <w:t>a</w:t>
      </w:r>
      <w:r w:rsidRPr="00B740B4">
        <w:t xml:space="preserve"> </w:t>
      </w:r>
      <w:r w:rsidRPr="00B740B4">
        <w:rPr>
          <w:rStyle w:val="i"/>
          <w:color w:val="auto"/>
          <w:szCs w:val="22"/>
        </w:rPr>
        <w:t>no great king or ruler</w:t>
      </w:r>
      <w:r w:rsidRPr="00B740B4">
        <w:rPr>
          <w:rStyle w:val="fnref"/>
        </w:rPr>
        <w:t>b</w:t>
      </w:r>
      <w:r w:rsidRPr="00B740B4">
        <w:t xml:space="preserve"> </w:t>
      </w:r>
      <w:r w:rsidRPr="00B740B4">
        <w:rPr>
          <w:rStyle w:val="i"/>
          <w:color w:val="auto"/>
          <w:szCs w:val="22"/>
        </w:rPr>
        <w:t>has ever asked such a thing of an</w:t>
      </w:r>
      <w:r w:rsidR="00C73F23" w:rsidRPr="00B740B4">
        <w:rPr>
          <w:rStyle w:val="i"/>
          <w:color w:val="auto"/>
          <w:szCs w:val="22"/>
        </w:rPr>
        <w:t xml:space="preserve">y diviner or chanter or </w:t>
      </w:r>
      <w:r w:rsidR="00C73F23" w:rsidRPr="00B740B4">
        <w:rPr>
          <w:i/>
        </w:rPr>
        <w:t>Kasdite</w:t>
      </w:r>
      <w:r w:rsidRPr="00B740B4">
        <w:rPr>
          <w:rStyle w:val="i"/>
          <w:color w:val="auto"/>
          <w:szCs w:val="22"/>
        </w:rPr>
        <w:t>.</w:t>
      </w:r>
      <w:r w:rsidRPr="00B740B4">
        <w:t xml:space="preserve"> </w:t>
      </w:r>
      <w:r w:rsidRPr="00B740B4">
        <w:rPr>
          <w:rStyle w:val="ver"/>
        </w:rPr>
        <w:t>11</w:t>
      </w:r>
      <w:r w:rsidRPr="00B740B4">
        <w:rPr>
          <w:rStyle w:val="i"/>
          <w:color w:val="auto"/>
          <w:szCs w:val="22"/>
        </w:rPr>
        <w:t>The thing which the king is asking is so formidable, there is no one else who can explain it before the king but the gods, and their home is not among mere human beings.</w:t>
      </w:r>
      <w:r w:rsidR="00934A11" w:rsidRPr="00B740B4">
        <w:rPr>
          <w:rStyle w:val="i"/>
          <w:color w:val="auto"/>
          <w:szCs w:val="22"/>
        </w:rPr>
        <w:t>”</w:t>
      </w:r>
      <w:r w:rsidRPr="00B740B4">
        <w:rPr>
          <w:rStyle w:val="fnref"/>
        </w:rPr>
        <w:t>a</w:t>
      </w:r>
      <w:r w:rsidRPr="00B740B4">
        <w:t xml:space="preserve"> </w:t>
      </w:r>
      <w:r w:rsidRPr="00B740B4">
        <w:rPr>
          <w:rStyle w:val="ver"/>
        </w:rPr>
        <w:t>12</w:t>
      </w:r>
      <w:r w:rsidR="00640363" w:rsidRPr="00B740B4">
        <w:rPr>
          <w:rStyle w:val="i"/>
          <w:color w:val="auto"/>
          <w:szCs w:val="22"/>
        </w:rPr>
        <w:t xml:space="preserve">At this the king </w:t>
      </w:r>
      <w:r w:rsidR="00266A00" w:rsidRPr="00B740B4">
        <w:rPr>
          <w:rStyle w:val="i"/>
          <w:color w:val="auto"/>
          <w:szCs w:val="22"/>
        </w:rPr>
        <w:t>got</w:t>
      </w:r>
      <w:r w:rsidR="00640363" w:rsidRPr="00B740B4">
        <w:rPr>
          <w:rStyle w:val="i"/>
          <w:color w:val="auto"/>
          <w:szCs w:val="22"/>
        </w:rPr>
        <w:t xml:space="preserve"> </w:t>
      </w:r>
      <w:r w:rsidR="00266A00" w:rsidRPr="00B740B4">
        <w:rPr>
          <w:rStyle w:val="i"/>
          <w:color w:val="auto"/>
          <w:szCs w:val="22"/>
        </w:rPr>
        <w:t xml:space="preserve">angry, indeed quite </w:t>
      </w:r>
      <w:r w:rsidRPr="00B740B4">
        <w:rPr>
          <w:rStyle w:val="i"/>
          <w:color w:val="auto"/>
          <w:szCs w:val="22"/>
        </w:rPr>
        <w:t>furious</w:t>
      </w:r>
      <w:r w:rsidR="00266A00" w:rsidRPr="00B740B4">
        <w:rPr>
          <w:rStyle w:val="i"/>
          <w:color w:val="auto"/>
          <w:szCs w:val="22"/>
        </w:rPr>
        <w:t>,</w:t>
      </w:r>
      <w:r w:rsidRPr="00B740B4">
        <w:rPr>
          <w:rStyle w:val="i"/>
          <w:color w:val="auto"/>
          <w:szCs w:val="22"/>
        </w:rPr>
        <w:t xml:space="preserve"> and sa</w:t>
      </w:r>
      <w:r w:rsidR="00962BBD" w:rsidRPr="00B740B4">
        <w:rPr>
          <w:rStyle w:val="i"/>
          <w:color w:val="auto"/>
          <w:szCs w:val="22"/>
        </w:rPr>
        <w:t>id that all the expert</w:t>
      </w:r>
      <w:r w:rsidR="00C73F23" w:rsidRPr="00B740B4">
        <w:rPr>
          <w:rStyle w:val="i"/>
          <w:color w:val="auto"/>
          <w:szCs w:val="22"/>
        </w:rPr>
        <w:t>s in Babel</w:t>
      </w:r>
      <w:r w:rsidRPr="00B740B4">
        <w:rPr>
          <w:rStyle w:val="i"/>
          <w:color w:val="auto"/>
          <w:szCs w:val="22"/>
        </w:rPr>
        <w:t xml:space="preserve"> were to be put to death.</w:t>
      </w:r>
    </w:p>
    <w:p w:rsidR="001D2DC3" w:rsidRPr="00B740B4" w:rsidRDefault="00124267" w:rsidP="00124267">
      <w:r w:rsidRPr="00B740B4">
        <w:rPr>
          <w:rStyle w:val="ver"/>
        </w:rPr>
        <w:t>13</w:t>
      </w:r>
      <w:r w:rsidRPr="00B740B4">
        <w:rPr>
          <w:rStyle w:val="i"/>
          <w:color w:val="auto"/>
          <w:szCs w:val="22"/>
        </w:rPr>
        <w:t xml:space="preserve">So </w:t>
      </w:r>
      <w:r w:rsidR="00962BBD" w:rsidRPr="00B740B4">
        <w:rPr>
          <w:rStyle w:val="i"/>
          <w:color w:val="auto"/>
          <w:szCs w:val="22"/>
        </w:rPr>
        <w:t>the edict went out that the expert</w:t>
      </w:r>
      <w:r w:rsidRPr="00B740B4">
        <w:rPr>
          <w:rStyle w:val="i"/>
          <w:color w:val="auto"/>
          <w:szCs w:val="22"/>
        </w:rPr>
        <w:t xml:space="preserve">s were to </w:t>
      </w:r>
      <w:r w:rsidR="0062655A" w:rsidRPr="00B740B4">
        <w:rPr>
          <w:rStyle w:val="i"/>
          <w:color w:val="auto"/>
          <w:szCs w:val="22"/>
        </w:rPr>
        <w:t xml:space="preserve">be </w:t>
      </w:r>
      <w:r w:rsidRPr="00B740B4">
        <w:rPr>
          <w:rStyle w:val="i"/>
          <w:color w:val="auto"/>
          <w:szCs w:val="22"/>
        </w:rPr>
        <w:t>killed,</w:t>
      </w:r>
      <w:r w:rsidRPr="00B740B4">
        <w:rPr>
          <w:rStyle w:val="fnref"/>
        </w:rPr>
        <w:t>a</w:t>
      </w:r>
      <w:r w:rsidRPr="00B740B4">
        <w:t xml:space="preserve"> </w:t>
      </w:r>
      <w:r w:rsidRPr="00B740B4">
        <w:rPr>
          <w:rStyle w:val="i"/>
          <w:color w:val="auto"/>
          <w:szCs w:val="22"/>
        </w:rPr>
        <w:t>and search was made for 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Pr="00B740B4">
        <w:rPr>
          <w:rStyle w:val="i"/>
          <w:color w:val="auto"/>
          <w:szCs w:val="22"/>
        </w:rPr>
        <w:t>l and his friends so that they could be killed.</w:t>
      </w:r>
      <w:r w:rsidRPr="00B740B4">
        <w:t xml:space="preserve"> </w:t>
      </w:r>
      <w:r w:rsidRPr="00B740B4">
        <w:rPr>
          <w:rStyle w:val="ver"/>
        </w:rPr>
        <w:t>14</w:t>
      </w:r>
      <w:r w:rsidRPr="00B740B4">
        <w:rPr>
          <w:rStyle w:val="i"/>
          <w:color w:val="auto"/>
          <w:szCs w:val="22"/>
        </w:rPr>
        <w:t>Then 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00D96B06" w:rsidRPr="00B740B4">
        <w:rPr>
          <w:rStyle w:val="i"/>
          <w:color w:val="auto"/>
          <w:szCs w:val="22"/>
        </w:rPr>
        <w:t>l repli</w:t>
      </w:r>
      <w:r w:rsidRPr="00B740B4">
        <w:rPr>
          <w:rStyle w:val="i"/>
          <w:color w:val="auto"/>
          <w:szCs w:val="22"/>
        </w:rPr>
        <w:t>ed with shrewd judgment</w:t>
      </w:r>
      <w:r w:rsidRPr="00B740B4">
        <w:rPr>
          <w:rStyle w:val="fnref"/>
        </w:rPr>
        <w:t>a</w:t>
      </w:r>
      <w:r w:rsidRPr="00B740B4">
        <w:t xml:space="preserve"> </w:t>
      </w:r>
      <w:r w:rsidR="00C73F23" w:rsidRPr="00B740B4">
        <w:rPr>
          <w:rStyle w:val="i"/>
          <w:color w:val="auto"/>
          <w:szCs w:val="22"/>
        </w:rPr>
        <w:t>to Aryok</w:t>
      </w:r>
      <w:r w:rsidRPr="00B740B4">
        <w:rPr>
          <w:rStyle w:val="i"/>
          <w:color w:val="auto"/>
          <w:szCs w:val="22"/>
        </w:rPr>
        <w:t>,</w:t>
      </w:r>
      <w:r w:rsidRPr="00B740B4">
        <w:rPr>
          <w:rStyle w:val="fnref"/>
        </w:rPr>
        <w:t>b</w:t>
      </w:r>
      <w:r w:rsidRPr="00B740B4">
        <w:t xml:space="preserve"> </w:t>
      </w:r>
      <w:r w:rsidRPr="00B740B4">
        <w:rPr>
          <w:rStyle w:val="i"/>
          <w:color w:val="auto"/>
          <w:szCs w:val="22"/>
        </w:rPr>
        <w:t>the royal chief of police,</w:t>
      </w:r>
      <w:r w:rsidRPr="00B740B4">
        <w:rPr>
          <w:rStyle w:val="fnref"/>
        </w:rPr>
        <w:t>c</w:t>
      </w:r>
      <w:r w:rsidRPr="00B740B4">
        <w:t xml:space="preserve"> </w:t>
      </w:r>
      <w:r w:rsidRPr="00B740B4">
        <w:rPr>
          <w:rStyle w:val="i"/>
          <w:color w:val="auto"/>
          <w:szCs w:val="22"/>
        </w:rPr>
        <w:t xml:space="preserve">who had gone </w:t>
      </w:r>
      <w:r w:rsidR="00962BBD" w:rsidRPr="00B740B4">
        <w:rPr>
          <w:rStyle w:val="i"/>
          <w:color w:val="auto"/>
          <w:szCs w:val="22"/>
        </w:rPr>
        <w:t>out to kill the expert</w:t>
      </w:r>
      <w:r w:rsidR="00C73F23" w:rsidRPr="00B740B4">
        <w:rPr>
          <w:rStyle w:val="i"/>
          <w:color w:val="auto"/>
          <w:szCs w:val="22"/>
        </w:rPr>
        <w:t>s in Babel</w:t>
      </w:r>
      <w:r w:rsidRPr="00B740B4">
        <w:rPr>
          <w:rStyle w:val="i"/>
          <w:color w:val="auto"/>
          <w:szCs w:val="22"/>
        </w:rPr>
        <w:t>.</w:t>
      </w:r>
      <w:r w:rsidRPr="00B740B4">
        <w:t xml:space="preserve"> </w:t>
      </w:r>
      <w:r w:rsidRPr="00B740B4">
        <w:rPr>
          <w:rStyle w:val="ver"/>
        </w:rPr>
        <w:t>15</w:t>
      </w:r>
      <w:r w:rsidR="00D96B06" w:rsidRPr="00B740B4">
        <w:rPr>
          <w:rStyle w:val="i"/>
          <w:color w:val="auto"/>
          <w:szCs w:val="22"/>
        </w:rPr>
        <w:t>He respond</w:t>
      </w:r>
      <w:r w:rsidR="00C73F23" w:rsidRPr="00B740B4">
        <w:rPr>
          <w:rStyle w:val="i"/>
          <w:color w:val="auto"/>
          <w:szCs w:val="22"/>
        </w:rPr>
        <w:t>ed to Aryok</w:t>
      </w:r>
      <w:r w:rsidRPr="00B740B4">
        <w:rPr>
          <w:rStyle w:val="i"/>
          <w:color w:val="auto"/>
          <w:szCs w:val="22"/>
        </w:rPr>
        <w:t xml:space="preserve">, </w:t>
      </w:r>
      <w:r w:rsidR="00934A11" w:rsidRPr="00B740B4">
        <w:rPr>
          <w:rStyle w:val="i"/>
          <w:color w:val="auto"/>
          <w:szCs w:val="22"/>
        </w:rPr>
        <w:t>“</w:t>
      </w:r>
      <w:r w:rsidRPr="00B740B4">
        <w:rPr>
          <w:rStyle w:val="i"/>
          <w:color w:val="auto"/>
          <w:szCs w:val="22"/>
        </w:rPr>
        <w:t>Royal marshal,</w:t>
      </w:r>
      <w:r w:rsidRPr="00B740B4">
        <w:rPr>
          <w:rStyle w:val="fnref"/>
        </w:rPr>
        <w:t>a</w:t>
      </w:r>
      <w:r w:rsidRPr="00B740B4">
        <w:t xml:space="preserve"> </w:t>
      </w:r>
      <w:r w:rsidRPr="00B740B4">
        <w:rPr>
          <w:rStyle w:val="i"/>
          <w:color w:val="auto"/>
          <w:szCs w:val="22"/>
        </w:rPr>
        <w:t>why has this severe</w:t>
      </w:r>
      <w:r w:rsidRPr="00B740B4">
        <w:rPr>
          <w:rStyle w:val="fnref"/>
        </w:rPr>
        <w:t>b</w:t>
      </w:r>
      <w:r w:rsidRPr="00B740B4">
        <w:t xml:space="preserve"> </w:t>
      </w:r>
      <w:r w:rsidRPr="00B740B4">
        <w:rPr>
          <w:rStyle w:val="i"/>
          <w:color w:val="auto"/>
          <w:szCs w:val="22"/>
        </w:rPr>
        <w:t>decree come from the king?</w:t>
      </w:r>
      <w:r w:rsidR="00934A11" w:rsidRPr="00B740B4">
        <w:rPr>
          <w:rStyle w:val="i"/>
          <w:color w:val="auto"/>
          <w:szCs w:val="22"/>
        </w:rPr>
        <w:t>”</w:t>
      </w:r>
      <w:r w:rsidRPr="00B740B4">
        <w:t xml:space="preserve"> </w:t>
      </w:r>
      <w:r w:rsidRPr="00B740B4">
        <w:rPr>
          <w:rStyle w:val="fnref"/>
        </w:rPr>
        <w:t>c</w:t>
      </w:r>
      <w:r w:rsidR="00C73F23" w:rsidRPr="00B740B4">
        <w:rPr>
          <w:rStyle w:val="i"/>
          <w:color w:val="auto"/>
          <w:szCs w:val="22"/>
        </w:rPr>
        <w:t>Aryok</w:t>
      </w:r>
      <w:r w:rsidR="0091106A" w:rsidRPr="00B740B4">
        <w:rPr>
          <w:rStyle w:val="i"/>
          <w:color w:val="auto"/>
          <w:szCs w:val="22"/>
        </w:rPr>
        <w:t xml:space="preserve"> </w:t>
      </w:r>
      <w:r w:rsidRPr="00B740B4">
        <w:rPr>
          <w:rStyle w:val="i"/>
          <w:color w:val="auto"/>
          <w:szCs w:val="22"/>
        </w:rPr>
        <w:t xml:space="preserve">explained </w:t>
      </w:r>
      <w:r w:rsidR="00ED4749">
        <w:rPr>
          <w:rStyle w:val="i"/>
          <w:color w:val="auto"/>
          <w:szCs w:val="22"/>
        </w:rPr>
        <w:t xml:space="preserve">the </w:t>
      </w:r>
      <w:r w:rsidR="005F1B9C">
        <w:rPr>
          <w:rStyle w:val="i"/>
          <w:color w:val="auto"/>
          <w:szCs w:val="22"/>
        </w:rPr>
        <w:t>thing</w:t>
      </w:r>
      <w:r w:rsidRPr="00B740B4">
        <w:rPr>
          <w:rStyle w:val="i"/>
          <w:color w:val="auto"/>
          <w:szCs w:val="22"/>
        </w:rPr>
        <w:t xml:space="preserve"> to 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Pr="00B740B4">
        <w:rPr>
          <w:rStyle w:val="i"/>
          <w:color w:val="auto"/>
          <w:szCs w:val="22"/>
        </w:rPr>
        <w:t>l,</w:t>
      </w:r>
      <w:r w:rsidRPr="00B740B4">
        <w:t xml:space="preserve"> </w:t>
      </w:r>
      <w:r w:rsidRPr="00B740B4">
        <w:rPr>
          <w:rStyle w:val="ver"/>
        </w:rPr>
        <w:t>16</w:t>
      </w:r>
      <w:r w:rsidRPr="00B740B4">
        <w:rPr>
          <w:rStyle w:val="i"/>
          <w:color w:val="auto"/>
          <w:szCs w:val="22"/>
        </w:rPr>
        <w:t>and 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Pr="00B740B4">
        <w:rPr>
          <w:rStyle w:val="i"/>
          <w:color w:val="auto"/>
          <w:szCs w:val="22"/>
        </w:rPr>
        <w:t>l went and</w:t>
      </w:r>
      <w:r w:rsidRPr="00B740B4">
        <w:rPr>
          <w:rStyle w:val="fnref"/>
        </w:rPr>
        <w:t>a</w:t>
      </w:r>
      <w:r w:rsidRPr="00B740B4">
        <w:t xml:space="preserve"> </w:t>
      </w:r>
      <w:r w:rsidRPr="00B740B4">
        <w:rPr>
          <w:rStyle w:val="i"/>
          <w:color w:val="auto"/>
          <w:szCs w:val="22"/>
        </w:rPr>
        <w:t>asked the king to give him a period of time and he would tell the king the interpretation.</w:t>
      </w:r>
      <w:r w:rsidRPr="00B740B4">
        <w:t xml:space="preserve"> </w:t>
      </w:r>
      <w:r w:rsidRPr="00B740B4">
        <w:rPr>
          <w:rStyle w:val="ver"/>
        </w:rPr>
        <w:t>17</w:t>
      </w:r>
      <w:r w:rsidRPr="00B740B4">
        <w:rPr>
          <w:rStyle w:val="i"/>
          <w:color w:val="auto"/>
          <w:szCs w:val="22"/>
        </w:rPr>
        <w:t>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00C140A8" w:rsidRPr="00B740B4">
        <w:rPr>
          <w:rStyle w:val="i"/>
          <w:color w:val="auto"/>
          <w:szCs w:val="22"/>
        </w:rPr>
        <w:t xml:space="preserve">l came </w:t>
      </w:r>
      <w:r w:rsidR="00C73F23" w:rsidRPr="00B740B4">
        <w:rPr>
          <w:rStyle w:val="i"/>
          <w:color w:val="auto"/>
          <w:szCs w:val="22"/>
        </w:rPr>
        <w:t xml:space="preserve">home and let his friends </w:t>
      </w:r>
      <w:r w:rsidR="005F68BF">
        <w:rPr>
          <w:rStyle w:val="i"/>
          <w:color w:val="auto"/>
          <w:szCs w:val="22"/>
        </w:rPr>
        <w:t>Ḥananyah</w:t>
      </w:r>
      <w:r w:rsidRPr="00B740B4">
        <w:rPr>
          <w:rStyle w:val="i"/>
          <w:color w:val="auto"/>
          <w:szCs w:val="22"/>
        </w:rPr>
        <w:t>, Mi</w:t>
      </w:r>
      <w:r w:rsidR="005F68BF">
        <w:rPr>
          <w:rStyle w:val="i"/>
          <w:color w:val="auto"/>
          <w:szCs w:val="22"/>
        </w:rPr>
        <w:t>š</w:t>
      </w:r>
      <w:r w:rsidRPr="00B740B4">
        <w:rPr>
          <w:rStyle w:val="i"/>
          <w:color w:val="auto"/>
          <w:szCs w:val="22"/>
        </w:rPr>
        <w:t>a</w:t>
      </w:r>
      <w:r w:rsidR="00C73F23" w:rsidRPr="00B740B4">
        <w:rPr>
          <w:rStyle w:val="i"/>
          <w:color w:val="auto"/>
          <w:szCs w:val="22"/>
        </w:rPr>
        <w:t>’</w:t>
      </w:r>
      <w:r w:rsidRPr="00B740B4">
        <w:rPr>
          <w:rStyle w:val="i"/>
          <w:color w:val="auto"/>
          <w:szCs w:val="22"/>
        </w:rPr>
        <w:t>el,</w:t>
      </w:r>
      <w:r w:rsidR="00C73F23" w:rsidRPr="00B740B4">
        <w:rPr>
          <w:rStyle w:val="i"/>
          <w:color w:val="auto"/>
          <w:szCs w:val="22"/>
        </w:rPr>
        <w:t xml:space="preserve"> and </w:t>
      </w:r>
      <w:r w:rsidR="00B20356">
        <w:rPr>
          <w:rStyle w:val="i"/>
          <w:color w:val="auto"/>
          <w:szCs w:val="22"/>
        </w:rPr>
        <w:t>‘Azaryah</w:t>
      </w:r>
      <w:r w:rsidR="005F1B9C">
        <w:rPr>
          <w:rStyle w:val="i"/>
          <w:color w:val="auto"/>
          <w:szCs w:val="22"/>
        </w:rPr>
        <w:t xml:space="preserve"> know about the thing</w:t>
      </w:r>
      <w:r w:rsidRPr="00B740B4">
        <w:rPr>
          <w:rStyle w:val="i"/>
          <w:color w:val="auto"/>
          <w:szCs w:val="22"/>
        </w:rPr>
        <w:t>,</w:t>
      </w:r>
      <w:r w:rsidRPr="00B740B4">
        <w:t xml:space="preserve"> </w:t>
      </w:r>
      <w:r w:rsidRPr="00B740B4">
        <w:rPr>
          <w:rStyle w:val="ver"/>
        </w:rPr>
        <w:t>18</w:t>
      </w:r>
      <w:r w:rsidRPr="00B740B4">
        <w:rPr>
          <w:rStyle w:val="i"/>
          <w:color w:val="auto"/>
          <w:szCs w:val="22"/>
        </w:rPr>
        <w:t>for them to ask for compassion</w:t>
      </w:r>
      <w:r w:rsidRPr="00B740B4">
        <w:rPr>
          <w:rStyle w:val="fnref"/>
        </w:rPr>
        <w:t>a</w:t>
      </w:r>
      <w:r w:rsidRPr="00B740B4">
        <w:t xml:space="preserve"> </w:t>
      </w:r>
      <w:r w:rsidRPr="00B740B4">
        <w:rPr>
          <w:rStyle w:val="i"/>
          <w:color w:val="auto"/>
          <w:szCs w:val="22"/>
        </w:rPr>
        <w:t xml:space="preserve">from the God of </w:t>
      </w:r>
      <w:r w:rsidR="00C73F23" w:rsidRPr="00B740B4">
        <w:rPr>
          <w:rStyle w:val="i"/>
          <w:color w:val="auto"/>
          <w:szCs w:val="22"/>
        </w:rPr>
        <w:t xml:space="preserve">the </w:t>
      </w:r>
      <w:r w:rsidRPr="00B740B4">
        <w:rPr>
          <w:rStyle w:val="i"/>
          <w:color w:val="auto"/>
          <w:szCs w:val="22"/>
        </w:rPr>
        <w:t>heaven</w:t>
      </w:r>
      <w:r w:rsidR="00C73F23" w:rsidRPr="00B740B4">
        <w:rPr>
          <w:rStyle w:val="i"/>
          <w:color w:val="auto"/>
          <w:szCs w:val="22"/>
        </w:rPr>
        <w:t>s</w:t>
      </w:r>
      <w:r w:rsidRPr="00B740B4">
        <w:rPr>
          <w:rStyle w:val="i"/>
          <w:color w:val="auto"/>
          <w:szCs w:val="22"/>
        </w:rPr>
        <w:t xml:space="preserve"> regarding this mystery, so that 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Pr="00B740B4">
        <w:rPr>
          <w:rStyle w:val="i"/>
          <w:color w:val="auto"/>
          <w:szCs w:val="22"/>
        </w:rPr>
        <w:t>l and his friends might not perish</w:t>
      </w:r>
      <w:r w:rsidR="00962BBD" w:rsidRPr="00B740B4">
        <w:rPr>
          <w:rStyle w:val="i"/>
          <w:color w:val="auto"/>
          <w:szCs w:val="22"/>
        </w:rPr>
        <w:t>,</w:t>
      </w:r>
      <w:r w:rsidRPr="00B740B4">
        <w:rPr>
          <w:rStyle w:val="i"/>
          <w:color w:val="auto"/>
          <w:szCs w:val="22"/>
        </w:rPr>
        <w:t xml:space="preserve"> with </w:t>
      </w:r>
      <w:r w:rsidR="00962BBD" w:rsidRPr="00B740B4">
        <w:rPr>
          <w:rStyle w:val="i"/>
          <w:color w:val="auto"/>
          <w:szCs w:val="22"/>
        </w:rPr>
        <w:t>the rest of the expert</w:t>
      </w:r>
      <w:r w:rsidR="00C73F23" w:rsidRPr="00B740B4">
        <w:rPr>
          <w:rStyle w:val="i"/>
          <w:color w:val="auto"/>
          <w:szCs w:val="22"/>
        </w:rPr>
        <w:t>s in Babel</w:t>
      </w:r>
      <w:r w:rsidRPr="00B740B4">
        <w:rPr>
          <w:rStyle w:val="i"/>
          <w:color w:val="auto"/>
          <w:szCs w:val="22"/>
        </w:rPr>
        <w:t>.</w:t>
      </w:r>
      <w:r w:rsidRPr="00B740B4">
        <w:t xml:space="preserve"> </w:t>
      </w:r>
    </w:p>
    <w:p w:rsidR="00124267" w:rsidRPr="00B740B4" w:rsidRDefault="00124267" w:rsidP="00124267">
      <w:pPr>
        <w:rPr>
          <w:rStyle w:val="fnref"/>
        </w:rPr>
      </w:pPr>
      <w:r w:rsidRPr="00B740B4">
        <w:rPr>
          <w:rStyle w:val="ver"/>
        </w:rPr>
        <w:t>19</w:t>
      </w:r>
      <w:r w:rsidR="002F392E">
        <w:rPr>
          <w:rStyle w:val="i"/>
          <w:color w:val="auto"/>
          <w:szCs w:val="22"/>
        </w:rPr>
        <w:t>T</w:t>
      </w:r>
      <w:r w:rsidRPr="00B740B4">
        <w:rPr>
          <w:rStyle w:val="i"/>
          <w:color w:val="auto"/>
          <w:szCs w:val="22"/>
        </w:rPr>
        <w:t>he mystery was revealed to 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Pr="00B740B4">
        <w:rPr>
          <w:rStyle w:val="i"/>
          <w:color w:val="auto"/>
          <w:szCs w:val="22"/>
        </w:rPr>
        <w:t>l in a vision during the night. 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Pr="00B740B4">
        <w:rPr>
          <w:rStyle w:val="i"/>
          <w:color w:val="auto"/>
          <w:szCs w:val="22"/>
        </w:rPr>
        <w:t xml:space="preserve">l blessed the God of </w:t>
      </w:r>
      <w:r w:rsidR="00C73F23" w:rsidRPr="00B740B4">
        <w:rPr>
          <w:rStyle w:val="i"/>
          <w:color w:val="auto"/>
          <w:szCs w:val="22"/>
        </w:rPr>
        <w:t xml:space="preserve">the </w:t>
      </w:r>
      <w:r w:rsidRPr="00B740B4">
        <w:rPr>
          <w:rStyle w:val="i"/>
          <w:color w:val="auto"/>
          <w:szCs w:val="22"/>
        </w:rPr>
        <w:t>heaven</w:t>
      </w:r>
      <w:r w:rsidR="00C73F23" w:rsidRPr="00B740B4">
        <w:rPr>
          <w:rStyle w:val="i"/>
          <w:color w:val="auto"/>
          <w:szCs w:val="22"/>
        </w:rPr>
        <w:t>s</w:t>
      </w:r>
      <w:r w:rsidRPr="00B740B4">
        <w:rPr>
          <w:rStyle w:val="i"/>
          <w:color w:val="auto"/>
          <w:szCs w:val="22"/>
        </w:rPr>
        <w:t>.</w:t>
      </w:r>
      <w:r w:rsidRPr="00B740B4">
        <w:t xml:space="preserve"> </w:t>
      </w:r>
      <w:r w:rsidRPr="00B740B4">
        <w:rPr>
          <w:rStyle w:val="ver"/>
        </w:rPr>
        <w:t>20</w:t>
      </w:r>
      <w:r w:rsidRPr="00B740B4">
        <w:rPr>
          <w:rStyle w:val="i"/>
          <w:color w:val="auto"/>
          <w:szCs w:val="22"/>
        </w:rPr>
        <w:t>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00B0105D" w:rsidRPr="00B740B4">
        <w:rPr>
          <w:rStyle w:val="i"/>
          <w:color w:val="auto"/>
          <w:szCs w:val="22"/>
        </w:rPr>
        <w:t>l averr</w:t>
      </w:r>
      <w:r w:rsidRPr="00B740B4">
        <w:rPr>
          <w:rStyle w:val="i"/>
          <w:color w:val="auto"/>
          <w:szCs w:val="22"/>
        </w:rPr>
        <w:t>ed,</w:t>
      </w:r>
      <w:r w:rsidRPr="00B740B4">
        <w:rPr>
          <w:rStyle w:val="fnref"/>
        </w:rPr>
        <w:t>a</w:t>
      </w:r>
    </w:p>
    <w:p w:rsidR="00C73F23" w:rsidRPr="00B740B4" w:rsidRDefault="00C73F23" w:rsidP="00124267"/>
    <w:p w:rsidR="00124267" w:rsidRPr="00B740B4" w:rsidRDefault="00124267" w:rsidP="00124267">
      <w:pPr>
        <w:rPr>
          <w:vertAlign w:val="superscript"/>
        </w:rPr>
      </w:pPr>
      <w:r w:rsidRPr="00B740B4">
        <w:rPr>
          <w:rStyle w:val="fnref"/>
        </w:rPr>
        <w:t>b</w:t>
      </w:r>
      <w:r w:rsidRPr="00B740B4">
        <w:rPr>
          <w:rStyle w:val="i"/>
          <w:color w:val="auto"/>
          <w:szCs w:val="22"/>
        </w:rPr>
        <w:t>May the name of God</w:t>
      </w:r>
      <w:r w:rsidR="00A159A9" w:rsidRPr="00B740B4">
        <w:rPr>
          <w:rStyle w:val="i"/>
          <w:color w:val="auto"/>
          <w:szCs w:val="22"/>
          <w:vertAlign w:val="superscript"/>
        </w:rPr>
        <w:t>b</w:t>
      </w:r>
    </w:p>
    <w:p w:rsidR="00124267" w:rsidRPr="00B740B4" w:rsidRDefault="00C73F23" w:rsidP="00124267">
      <w:r w:rsidRPr="00B740B4">
        <w:rPr>
          <w:rStyle w:val="i"/>
          <w:color w:val="auto"/>
          <w:szCs w:val="22"/>
        </w:rPr>
        <w:tab/>
      </w:r>
      <w:r w:rsidR="00124267" w:rsidRPr="00B740B4">
        <w:rPr>
          <w:rStyle w:val="i"/>
          <w:color w:val="auto"/>
          <w:szCs w:val="22"/>
        </w:rPr>
        <w:t>be</w:t>
      </w:r>
      <w:r w:rsidR="00A159A9" w:rsidRPr="00B740B4">
        <w:rPr>
          <w:rStyle w:val="fnref"/>
        </w:rPr>
        <w:t>c</w:t>
      </w:r>
      <w:r w:rsidR="00124267" w:rsidRPr="00B740B4">
        <w:t xml:space="preserve"> </w:t>
      </w:r>
      <w:r w:rsidR="00124267" w:rsidRPr="00B740B4">
        <w:rPr>
          <w:rStyle w:val="i"/>
          <w:color w:val="auto"/>
          <w:szCs w:val="22"/>
        </w:rPr>
        <w:t>bl</w:t>
      </w:r>
      <w:r w:rsidRPr="00B740B4">
        <w:rPr>
          <w:rStyle w:val="i"/>
          <w:color w:val="auto"/>
          <w:szCs w:val="22"/>
        </w:rPr>
        <w:t>essed from eternity to eternity;</w:t>
      </w:r>
      <w:r w:rsidR="00A159A9" w:rsidRPr="00B740B4">
        <w:rPr>
          <w:rStyle w:val="fnref"/>
        </w:rPr>
        <w:t>d</w:t>
      </w:r>
    </w:p>
    <w:p w:rsidR="00B010A3" w:rsidRDefault="00B010A3" w:rsidP="00124267">
      <w:pPr>
        <w:rPr>
          <w:rStyle w:val="i"/>
          <w:color w:val="auto"/>
          <w:szCs w:val="22"/>
        </w:rPr>
      </w:pPr>
      <w:r>
        <w:rPr>
          <w:rStyle w:val="i"/>
          <w:color w:val="auto"/>
          <w:szCs w:val="22"/>
        </w:rPr>
        <w:t xml:space="preserve">Because </w:t>
      </w:r>
      <w:r w:rsidR="00962BBD" w:rsidRPr="00B740B4">
        <w:rPr>
          <w:rStyle w:val="i"/>
          <w:color w:val="auto"/>
          <w:szCs w:val="22"/>
        </w:rPr>
        <w:t>expertise</w:t>
      </w:r>
      <w:r w:rsidR="00124267" w:rsidRPr="00B740B4">
        <w:rPr>
          <w:rStyle w:val="i"/>
          <w:color w:val="auto"/>
          <w:szCs w:val="22"/>
        </w:rPr>
        <w:t xml:space="preserve"> and might</w:t>
      </w:r>
      <w:r w:rsidR="00E25EDE" w:rsidRPr="00B740B4">
        <w:rPr>
          <w:rStyle w:val="i"/>
          <w:color w:val="auto"/>
          <w:szCs w:val="22"/>
          <w:vertAlign w:val="superscript"/>
        </w:rPr>
        <w:t>e</w:t>
      </w:r>
      <w:r w:rsidR="00124267" w:rsidRPr="00B740B4">
        <w:rPr>
          <w:rStyle w:val="i"/>
          <w:color w:val="auto"/>
          <w:szCs w:val="22"/>
        </w:rPr>
        <w:t xml:space="preserve"> </w:t>
      </w:r>
    </w:p>
    <w:p w:rsidR="00124267" w:rsidRPr="00B740B4" w:rsidRDefault="00B010A3" w:rsidP="00124267">
      <w:r>
        <w:rPr>
          <w:rStyle w:val="i"/>
          <w:color w:val="auto"/>
          <w:szCs w:val="22"/>
        </w:rPr>
        <w:tab/>
      </w:r>
      <w:r w:rsidR="00124267" w:rsidRPr="00B740B4">
        <w:rPr>
          <w:rStyle w:val="i"/>
          <w:color w:val="auto"/>
          <w:szCs w:val="22"/>
        </w:rPr>
        <w:t>are his.</w:t>
      </w:r>
    </w:p>
    <w:p w:rsidR="00124267" w:rsidRPr="00B740B4" w:rsidRDefault="00124267" w:rsidP="00124267">
      <w:r w:rsidRPr="00B740B4">
        <w:rPr>
          <w:rStyle w:val="ver"/>
        </w:rPr>
        <w:t>21</w:t>
      </w:r>
      <w:r w:rsidRPr="00B740B4">
        <w:rPr>
          <w:rStyle w:val="i"/>
          <w:color w:val="auto"/>
          <w:szCs w:val="22"/>
        </w:rPr>
        <w:t xml:space="preserve">He </w:t>
      </w:r>
      <w:r w:rsidR="00F3404F" w:rsidRPr="00B740B4">
        <w:rPr>
          <w:rStyle w:val="i"/>
          <w:color w:val="auto"/>
          <w:szCs w:val="22"/>
        </w:rPr>
        <w:t xml:space="preserve">is the one who </w:t>
      </w:r>
      <w:r w:rsidRPr="00B740B4">
        <w:rPr>
          <w:rStyle w:val="i"/>
          <w:color w:val="auto"/>
          <w:szCs w:val="22"/>
        </w:rPr>
        <w:t>changes times and eras;</w:t>
      </w:r>
      <w:r w:rsidRPr="00B740B4">
        <w:rPr>
          <w:rStyle w:val="fnref"/>
        </w:rPr>
        <w:t>a</w:t>
      </w:r>
    </w:p>
    <w:p w:rsidR="00124267" w:rsidRPr="00B740B4" w:rsidRDefault="00C73F23" w:rsidP="00124267">
      <w:r w:rsidRPr="00B740B4">
        <w:rPr>
          <w:rStyle w:val="i"/>
          <w:color w:val="auto"/>
          <w:szCs w:val="22"/>
        </w:rPr>
        <w:lastRenderedPageBreak/>
        <w:tab/>
      </w:r>
      <w:r w:rsidR="00124267" w:rsidRPr="00B740B4">
        <w:rPr>
          <w:rStyle w:val="i"/>
          <w:color w:val="auto"/>
          <w:szCs w:val="22"/>
        </w:rPr>
        <w:t>he removes kings and establishes kings.</w:t>
      </w:r>
    </w:p>
    <w:p w:rsidR="00124267" w:rsidRPr="00B740B4" w:rsidRDefault="00962BBD" w:rsidP="00124267">
      <w:r w:rsidRPr="00B740B4">
        <w:rPr>
          <w:rStyle w:val="i"/>
          <w:color w:val="auto"/>
          <w:szCs w:val="22"/>
        </w:rPr>
        <w:t>He gives their expertise to the experts</w:t>
      </w:r>
    </w:p>
    <w:p w:rsidR="00124267" w:rsidRPr="00B740B4" w:rsidRDefault="00C73F23" w:rsidP="00124267">
      <w:r w:rsidRPr="00B740B4">
        <w:rPr>
          <w:rStyle w:val="i"/>
          <w:color w:val="auto"/>
          <w:szCs w:val="22"/>
        </w:rPr>
        <w:tab/>
      </w:r>
      <w:r w:rsidR="00124267" w:rsidRPr="00B740B4">
        <w:rPr>
          <w:rStyle w:val="i"/>
          <w:color w:val="auto"/>
          <w:szCs w:val="22"/>
        </w:rPr>
        <w:t>and their knowledge to those who possess insight.</w:t>
      </w:r>
    </w:p>
    <w:p w:rsidR="00B010A3" w:rsidRDefault="00124267" w:rsidP="00124267">
      <w:pPr>
        <w:rPr>
          <w:rStyle w:val="i"/>
          <w:color w:val="auto"/>
          <w:szCs w:val="22"/>
        </w:rPr>
      </w:pPr>
      <w:r w:rsidRPr="00B740B4">
        <w:rPr>
          <w:rStyle w:val="ver"/>
        </w:rPr>
        <w:t>22</w:t>
      </w:r>
      <w:r w:rsidRPr="00B740B4">
        <w:rPr>
          <w:rStyle w:val="i"/>
          <w:color w:val="auto"/>
          <w:szCs w:val="22"/>
        </w:rPr>
        <w:t xml:space="preserve">He </w:t>
      </w:r>
      <w:r w:rsidR="00F3404F" w:rsidRPr="00B740B4">
        <w:rPr>
          <w:rStyle w:val="i"/>
          <w:color w:val="auto"/>
          <w:szCs w:val="22"/>
        </w:rPr>
        <w:t xml:space="preserve">is the one who </w:t>
      </w:r>
      <w:r w:rsidRPr="00B740B4">
        <w:rPr>
          <w:rStyle w:val="i"/>
          <w:color w:val="auto"/>
          <w:szCs w:val="22"/>
        </w:rPr>
        <w:t xml:space="preserve">reveals </w:t>
      </w:r>
    </w:p>
    <w:p w:rsidR="00124267" w:rsidRPr="00B740B4" w:rsidRDefault="00B010A3" w:rsidP="00124267">
      <w:r>
        <w:rPr>
          <w:rStyle w:val="i"/>
          <w:color w:val="auto"/>
          <w:szCs w:val="22"/>
        </w:rPr>
        <w:tab/>
      </w:r>
      <w:r w:rsidR="00124267" w:rsidRPr="00B740B4">
        <w:rPr>
          <w:rStyle w:val="i"/>
          <w:color w:val="auto"/>
          <w:szCs w:val="22"/>
        </w:rPr>
        <w:t>things deeply hidden;</w:t>
      </w:r>
    </w:p>
    <w:p w:rsidR="00124267" w:rsidRPr="00B740B4" w:rsidRDefault="00B010A3" w:rsidP="00124267">
      <w:r>
        <w:rPr>
          <w:rStyle w:val="i"/>
          <w:color w:val="auto"/>
          <w:szCs w:val="22"/>
        </w:rPr>
        <w:t>H</w:t>
      </w:r>
      <w:r w:rsidR="00124267" w:rsidRPr="00B740B4">
        <w:rPr>
          <w:rStyle w:val="i"/>
          <w:color w:val="auto"/>
          <w:szCs w:val="22"/>
        </w:rPr>
        <w:t>e knows what lies in darkness,</w:t>
      </w:r>
    </w:p>
    <w:p w:rsidR="00124267" w:rsidRPr="00B740B4" w:rsidRDefault="00C73F23" w:rsidP="00124267">
      <w:r w:rsidRPr="00B740B4">
        <w:rPr>
          <w:rStyle w:val="i"/>
          <w:color w:val="auto"/>
          <w:szCs w:val="22"/>
        </w:rPr>
        <w:tab/>
      </w:r>
      <w:r w:rsidR="00124267" w:rsidRPr="00B740B4">
        <w:rPr>
          <w:rStyle w:val="i"/>
          <w:color w:val="auto"/>
          <w:szCs w:val="22"/>
        </w:rPr>
        <w:t>and light sojourns</w:t>
      </w:r>
      <w:r w:rsidR="00156B14" w:rsidRPr="00B740B4">
        <w:rPr>
          <w:rStyle w:val="i"/>
          <w:color w:val="auto"/>
          <w:szCs w:val="22"/>
          <w:vertAlign w:val="superscript"/>
        </w:rPr>
        <w:t>a</w:t>
      </w:r>
      <w:r w:rsidR="00124267" w:rsidRPr="00B740B4">
        <w:rPr>
          <w:rStyle w:val="i"/>
          <w:color w:val="auto"/>
          <w:szCs w:val="22"/>
        </w:rPr>
        <w:t xml:space="preserve"> with him.</w:t>
      </w:r>
    </w:p>
    <w:p w:rsidR="0009337E" w:rsidRPr="00B740B4" w:rsidRDefault="00124267" w:rsidP="00124267">
      <w:pPr>
        <w:rPr>
          <w:rStyle w:val="i"/>
          <w:color w:val="auto"/>
          <w:szCs w:val="22"/>
        </w:rPr>
      </w:pPr>
      <w:r w:rsidRPr="00B740B4">
        <w:rPr>
          <w:rStyle w:val="ver"/>
          <w:i/>
        </w:rPr>
        <w:t>23</w:t>
      </w:r>
      <w:r w:rsidR="0009337E" w:rsidRPr="00B740B4">
        <w:rPr>
          <w:rStyle w:val="i"/>
          <w:color w:val="auto"/>
          <w:szCs w:val="22"/>
        </w:rPr>
        <w:t>You</w:t>
      </w:r>
      <w:r w:rsidR="0009337E" w:rsidRPr="00B740B4">
        <w:rPr>
          <w:rStyle w:val="i"/>
          <w:i w:val="0"/>
          <w:color w:val="auto"/>
          <w:szCs w:val="22"/>
        </w:rPr>
        <w:t xml:space="preserve">, </w:t>
      </w:r>
      <w:r w:rsidR="0009337E" w:rsidRPr="00B740B4">
        <w:rPr>
          <w:rStyle w:val="i"/>
          <w:color w:val="auto"/>
          <w:szCs w:val="22"/>
        </w:rPr>
        <w:t>G</w:t>
      </w:r>
      <w:r w:rsidR="00DE7F74" w:rsidRPr="00B740B4">
        <w:rPr>
          <w:rStyle w:val="i"/>
          <w:color w:val="auto"/>
          <w:szCs w:val="22"/>
        </w:rPr>
        <w:t>od of my ancestor</w:t>
      </w:r>
      <w:r w:rsidRPr="00B740B4">
        <w:rPr>
          <w:rStyle w:val="i"/>
          <w:color w:val="auto"/>
          <w:szCs w:val="22"/>
        </w:rPr>
        <w:t xml:space="preserve">s, </w:t>
      </w:r>
    </w:p>
    <w:p w:rsidR="00124267" w:rsidRPr="00B740B4" w:rsidRDefault="0009337E" w:rsidP="00124267">
      <w:r w:rsidRPr="00B740B4">
        <w:rPr>
          <w:rStyle w:val="i"/>
          <w:color w:val="auto"/>
          <w:szCs w:val="22"/>
        </w:rPr>
        <w:tab/>
      </w:r>
      <w:r w:rsidR="00814D0E" w:rsidRPr="00B740B4">
        <w:rPr>
          <w:rStyle w:val="i"/>
          <w:color w:val="auto"/>
          <w:szCs w:val="22"/>
        </w:rPr>
        <w:t>I confess</w:t>
      </w:r>
      <w:r w:rsidR="00124267" w:rsidRPr="00B740B4">
        <w:rPr>
          <w:rStyle w:val="fnref"/>
        </w:rPr>
        <w:t>a</w:t>
      </w:r>
      <w:r w:rsidR="00124267" w:rsidRPr="00B740B4">
        <w:t xml:space="preserve"> </w:t>
      </w:r>
      <w:r w:rsidR="00124267" w:rsidRPr="00B740B4">
        <w:rPr>
          <w:rStyle w:val="i"/>
          <w:color w:val="auto"/>
          <w:szCs w:val="22"/>
        </w:rPr>
        <w:t>and praise</w:t>
      </w:r>
      <w:r w:rsidR="00B010A3">
        <w:rPr>
          <w:rStyle w:val="i"/>
          <w:color w:val="auto"/>
          <w:szCs w:val="22"/>
        </w:rPr>
        <w:t>.</w:t>
      </w:r>
      <w:r w:rsidR="00124267" w:rsidRPr="00B740B4">
        <w:rPr>
          <w:rStyle w:val="fnref"/>
        </w:rPr>
        <w:t>b</w:t>
      </w:r>
    </w:p>
    <w:p w:rsidR="00B010A3" w:rsidRDefault="00B010A3" w:rsidP="00124267">
      <w:pPr>
        <w:rPr>
          <w:rStyle w:val="i"/>
          <w:color w:val="auto"/>
          <w:szCs w:val="22"/>
        </w:rPr>
      </w:pPr>
      <w:r>
        <w:rPr>
          <w:rStyle w:val="i"/>
          <w:color w:val="auto"/>
          <w:szCs w:val="22"/>
        </w:rPr>
        <w:t xml:space="preserve">Because </w:t>
      </w:r>
      <w:r w:rsidR="00C73F23" w:rsidRPr="00B740B4">
        <w:rPr>
          <w:rStyle w:val="i"/>
          <w:color w:val="auto"/>
          <w:szCs w:val="22"/>
        </w:rPr>
        <w:t>y</w:t>
      </w:r>
      <w:r w:rsidR="00962BBD" w:rsidRPr="00B740B4">
        <w:rPr>
          <w:rStyle w:val="i"/>
          <w:color w:val="auto"/>
          <w:szCs w:val="22"/>
        </w:rPr>
        <w:t xml:space="preserve">ou have given me </w:t>
      </w:r>
    </w:p>
    <w:p w:rsidR="00124267" w:rsidRPr="00B740B4" w:rsidRDefault="00B010A3" w:rsidP="00124267">
      <w:r>
        <w:rPr>
          <w:rStyle w:val="i"/>
          <w:color w:val="auto"/>
          <w:szCs w:val="22"/>
        </w:rPr>
        <w:tab/>
      </w:r>
      <w:r w:rsidR="00962BBD" w:rsidRPr="00B740B4">
        <w:rPr>
          <w:rStyle w:val="i"/>
          <w:color w:val="auto"/>
          <w:szCs w:val="22"/>
        </w:rPr>
        <w:t>expertise</w:t>
      </w:r>
      <w:r w:rsidR="00124267" w:rsidRPr="00B740B4">
        <w:rPr>
          <w:rStyle w:val="i"/>
          <w:color w:val="auto"/>
          <w:szCs w:val="22"/>
        </w:rPr>
        <w:t xml:space="preserve"> and might.</w:t>
      </w:r>
      <w:r w:rsidR="00124267" w:rsidRPr="00B740B4">
        <w:rPr>
          <w:rStyle w:val="fnref"/>
        </w:rPr>
        <w:t>c</w:t>
      </w:r>
    </w:p>
    <w:p w:rsidR="00124267" w:rsidRPr="00B740B4" w:rsidRDefault="005F1B9C" w:rsidP="00124267">
      <w:r>
        <w:rPr>
          <w:rStyle w:val="i"/>
          <w:color w:val="auto"/>
          <w:szCs w:val="22"/>
        </w:rPr>
        <w:t xml:space="preserve">You have let </w:t>
      </w:r>
      <w:r w:rsidR="00124267" w:rsidRPr="00B740B4">
        <w:rPr>
          <w:rStyle w:val="i"/>
          <w:color w:val="auto"/>
          <w:szCs w:val="22"/>
        </w:rPr>
        <w:t xml:space="preserve">me </w:t>
      </w:r>
      <w:r>
        <w:rPr>
          <w:rStyle w:val="i"/>
          <w:color w:val="auto"/>
          <w:szCs w:val="22"/>
        </w:rPr>
        <w:t>k</w:t>
      </w:r>
      <w:r w:rsidR="00124267" w:rsidRPr="00B740B4">
        <w:rPr>
          <w:rStyle w:val="i"/>
          <w:color w:val="auto"/>
          <w:szCs w:val="22"/>
        </w:rPr>
        <w:t xml:space="preserve">now </w:t>
      </w:r>
      <w:r>
        <w:rPr>
          <w:rStyle w:val="i"/>
          <w:color w:val="auto"/>
          <w:szCs w:val="22"/>
        </w:rPr>
        <w:t xml:space="preserve">now </w:t>
      </w:r>
      <w:r w:rsidR="00124267" w:rsidRPr="00B740B4">
        <w:rPr>
          <w:rStyle w:val="i"/>
          <w:color w:val="auto"/>
          <w:szCs w:val="22"/>
        </w:rPr>
        <w:t>what we asked of you;</w:t>
      </w:r>
    </w:p>
    <w:p w:rsidR="00124267" w:rsidRPr="00B740B4" w:rsidRDefault="00C73F23" w:rsidP="00124267">
      <w:pPr>
        <w:rPr>
          <w:rStyle w:val="i"/>
          <w:color w:val="auto"/>
          <w:szCs w:val="22"/>
          <w:vertAlign w:val="superscript"/>
        </w:rPr>
      </w:pPr>
      <w:r w:rsidRPr="00B740B4">
        <w:rPr>
          <w:rStyle w:val="i"/>
          <w:color w:val="auto"/>
          <w:szCs w:val="22"/>
        </w:rPr>
        <w:tab/>
      </w:r>
      <w:r w:rsidR="005F1B9C">
        <w:rPr>
          <w:rStyle w:val="i"/>
          <w:color w:val="auto"/>
          <w:szCs w:val="22"/>
        </w:rPr>
        <w:t>you have let</w:t>
      </w:r>
      <w:r w:rsidR="00124267" w:rsidRPr="00B740B4">
        <w:rPr>
          <w:rStyle w:val="i"/>
          <w:color w:val="auto"/>
          <w:szCs w:val="22"/>
        </w:rPr>
        <w:t xml:space="preserve"> us </w:t>
      </w:r>
      <w:r w:rsidR="005F1B9C">
        <w:rPr>
          <w:rStyle w:val="i"/>
          <w:color w:val="auto"/>
          <w:szCs w:val="22"/>
        </w:rPr>
        <w:t xml:space="preserve">know </w:t>
      </w:r>
      <w:r w:rsidR="00124267" w:rsidRPr="00B740B4">
        <w:rPr>
          <w:rStyle w:val="i"/>
          <w:color w:val="auto"/>
          <w:szCs w:val="22"/>
        </w:rPr>
        <w:t>the</w:t>
      </w:r>
      <w:r w:rsidR="005F1B9C">
        <w:rPr>
          <w:rStyle w:val="i"/>
          <w:color w:val="auto"/>
          <w:szCs w:val="22"/>
        </w:rPr>
        <w:t xml:space="preserve"> thing that the  king asked</w:t>
      </w:r>
      <w:r w:rsidR="00124267" w:rsidRPr="00B740B4">
        <w:rPr>
          <w:rStyle w:val="i"/>
          <w:color w:val="auto"/>
          <w:szCs w:val="22"/>
        </w:rPr>
        <w:t>.</w:t>
      </w:r>
      <w:r w:rsidR="00927650" w:rsidRPr="00B740B4">
        <w:rPr>
          <w:rStyle w:val="i"/>
          <w:color w:val="auto"/>
          <w:szCs w:val="22"/>
          <w:vertAlign w:val="superscript"/>
        </w:rPr>
        <w:t>d</w:t>
      </w:r>
    </w:p>
    <w:p w:rsidR="00C73F23" w:rsidRPr="00B740B4" w:rsidRDefault="00C73F23" w:rsidP="00124267"/>
    <w:p w:rsidR="00E025B5" w:rsidRPr="00B740B4" w:rsidRDefault="00124267" w:rsidP="00124267">
      <w:pPr>
        <w:rPr>
          <w:rStyle w:val="i"/>
          <w:color w:val="auto"/>
          <w:szCs w:val="22"/>
        </w:rPr>
      </w:pPr>
      <w:r w:rsidRPr="00B740B4">
        <w:rPr>
          <w:rStyle w:val="ver"/>
        </w:rPr>
        <w:t>24</w:t>
      </w:r>
      <w:r w:rsidRPr="00B740B4">
        <w:rPr>
          <w:rStyle w:val="i"/>
          <w:color w:val="auto"/>
          <w:szCs w:val="22"/>
        </w:rPr>
        <w:t>Thus 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Pr="00B740B4">
        <w:rPr>
          <w:rStyle w:val="i"/>
          <w:color w:val="auto"/>
          <w:szCs w:val="22"/>
        </w:rPr>
        <w:t>l went</w:t>
      </w:r>
      <w:r w:rsidR="00C140A8" w:rsidRPr="00B740B4">
        <w:rPr>
          <w:rStyle w:val="i"/>
          <w:color w:val="auto"/>
          <w:szCs w:val="22"/>
        </w:rPr>
        <w:t xml:space="preserve"> to</w:t>
      </w:r>
      <w:r w:rsidRPr="00B740B4">
        <w:rPr>
          <w:rStyle w:val="fnref"/>
        </w:rPr>
        <w:t>a</w:t>
      </w:r>
      <w:r w:rsidRPr="00B740B4">
        <w:t xml:space="preserve"> </w:t>
      </w:r>
      <w:r w:rsidR="00C73F23" w:rsidRPr="00B740B4">
        <w:rPr>
          <w:rStyle w:val="i"/>
          <w:color w:val="auto"/>
          <w:szCs w:val="22"/>
        </w:rPr>
        <w:t>Aryok</w:t>
      </w:r>
      <w:r w:rsidRPr="00B740B4">
        <w:rPr>
          <w:rStyle w:val="i"/>
          <w:color w:val="auto"/>
          <w:szCs w:val="22"/>
        </w:rPr>
        <w:t>, whom the king had delega</w:t>
      </w:r>
      <w:r w:rsidR="00962BBD" w:rsidRPr="00B740B4">
        <w:rPr>
          <w:rStyle w:val="i"/>
          <w:color w:val="auto"/>
          <w:szCs w:val="22"/>
        </w:rPr>
        <w:t>ted to kill the expert</w:t>
      </w:r>
      <w:r w:rsidR="00C73F23" w:rsidRPr="00B740B4">
        <w:rPr>
          <w:rStyle w:val="i"/>
          <w:color w:val="auto"/>
          <w:szCs w:val="22"/>
        </w:rPr>
        <w:t>s in Babel</w:t>
      </w:r>
      <w:r w:rsidR="00C140A8" w:rsidRPr="00B740B4">
        <w:rPr>
          <w:rStyle w:val="i"/>
          <w:color w:val="auto"/>
          <w:szCs w:val="22"/>
        </w:rPr>
        <w:t>. He came</w:t>
      </w:r>
      <w:r w:rsidRPr="00B740B4">
        <w:rPr>
          <w:rStyle w:val="fnref"/>
        </w:rPr>
        <w:t>a</w:t>
      </w:r>
      <w:r w:rsidRPr="00B740B4">
        <w:t xml:space="preserve"> </w:t>
      </w:r>
      <w:r w:rsidRPr="00B740B4">
        <w:rPr>
          <w:rStyle w:val="i"/>
          <w:color w:val="auto"/>
          <w:szCs w:val="22"/>
        </w:rPr>
        <w:t xml:space="preserve">and said to him, </w:t>
      </w:r>
      <w:r w:rsidR="00934A11" w:rsidRPr="00B740B4">
        <w:rPr>
          <w:rStyle w:val="i"/>
          <w:color w:val="auto"/>
          <w:szCs w:val="22"/>
        </w:rPr>
        <w:t>“</w:t>
      </w:r>
      <w:r w:rsidRPr="00B740B4">
        <w:rPr>
          <w:rStyle w:val="i"/>
          <w:color w:val="auto"/>
          <w:szCs w:val="22"/>
        </w:rPr>
        <w:t>Do not kill</w:t>
      </w:r>
      <w:r w:rsidRPr="00B740B4">
        <w:rPr>
          <w:rStyle w:val="fnref"/>
        </w:rPr>
        <w:t>b</w:t>
      </w:r>
      <w:r w:rsidRPr="00B740B4">
        <w:t xml:space="preserve"> </w:t>
      </w:r>
      <w:r w:rsidR="00962BBD" w:rsidRPr="00B740B4">
        <w:rPr>
          <w:rStyle w:val="i"/>
          <w:color w:val="auto"/>
          <w:szCs w:val="22"/>
        </w:rPr>
        <w:t xml:space="preserve">the experts in </w:t>
      </w:r>
      <w:r w:rsidR="00C73F23" w:rsidRPr="00B740B4">
        <w:rPr>
          <w:rStyle w:val="i"/>
          <w:color w:val="auto"/>
          <w:szCs w:val="22"/>
        </w:rPr>
        <w:t>Babel</w:t>
      </w:r>
      <w:r w:rsidRPr="00B740B4">
        <w:rPr>
          <w:rStyle w:val="i"/>
          <w:color w:val="auto"/>
          <w:szCs w:val="22"/>
        </w:rPr>
        <w:t>. Take me before the king, and I will explain the interpretation to the king.</w:t>
      </w:r>
      <w:r w:rsidR="00934A11" w:rsidRPr="00B740B4">
        <w:rPr>
          <w:rStyle w:val="i"/>
          <w:color w:val="auto"/>
          <w:szCs w:val="22"/>
        </w:rPr>
        <w:t>”</w:t>
      </w:r>
      <w:r w:rsidRPr="00B740B4">
        <w:t xml:space="preserve"> </w:t>
      </w:r>
      <w:r w:rsidRPr="00B740B4">
        <w:rPr>
          <w:rStyle w:val="ver"/>
        </w:rPr>
        <w:t>25</w:t>
      </w:r>
      <w:r w:rsidRPr="00B740B4">
        <w:rPr>
          <w:rStyle w:val="i"/>
          <w:color w:val="auto"/>
          <w:szCs w:val="22"/>
        </w:rPr>
        <w:t>With urgency</w:t>
      </w:r>
      <w:r w:rsidRPr="00B740B4">
        <w:rPr>
          <w:rStyle w:val="fnref"/>
        </w:rPr>
        <w:t>a</w:t>
      </w:r>
      <w:r w:rsidRPr="00B740B4">
        <w:t xml:space="preserve"> </w:t>
      </w:r>
      <w:r w:rsidR="00C73F23" w:rsidRPr="00B740B4">
        <w:rPr>
          <w:rStyle w:val="i"/>
          <w:color w:val="auto"/>
          <w:szCs w:val="22"/>
        </w:rPr>
        <w:t>Aryok</w:t>
      </w:r>
      <w:r w:rsidRPr="00B740B4">
        <w:rPr>
          <w:rStyle w:val="i"/>
          <w:color w:val="auto"/>
          <w:szCs w:val="22"/>
        </w:rPr>
        <w:t xml:space="preserve"> took</w:t>
      </w:r>
      <w:r w:rsidRPr="00B740B4">
        <w:rPr>
          <w:rStyle w:val="fnref"/>
        </w:rPr>
        <w:t>b</w:t>
      </w:r>
      <w:r w:rsidRPr="00B740B4">
        <w:t xml:space="preserve"> </w:t>
      </w:r>
      <w:r w:rsidRPr="00B740B4">
        <w:rPr>
          <w:rStyle w:val="i"/>
          <w:color w:val="auto"/>
          <w:szCs w:val="22"/>
        </w:rPr>
        <w:t>Dani</w:t>
      </w:r>
      <w:r w:rsidR="00C73F23" w:rsidRPr="00B740B4">
        <w:rPr>
          <w:rStyle w:val="i"/>
          <w:color w:val="auto"/>
          <w:szCs w:val="22"/>
        </w:rPr>
        <w:t>yy</w:t>
      </w:r>
      <w:r w:rsidRPr="00B740B4">
        <w:rPr>
          <w:rStyle w:val="i"/>
          <w:color w:val="auto"/>
          <w:szCs w:val="22"/>
        </w:rPr>
        <w:t>e</w:t>
      </w:r>
      <w:r w:rsidR="00C73F23" w:rsidRPr="00B740B4">
        <w:rPr>
          <w:rStyle w:val="i"/>
          <w:color w:val="auto"/>
          <w:szCs w:val="22"/>
        </w:rPr>
        <w:t>’</w:t>
      </w:r>
      <w:r w:rsidR="00A16596">
        <w:rPr>
          <w:rStyle w:val="i"/>
          <w:color w:val="auto"/>
          <w:szCs w:val="22"/>
        </w:rPr>
        <w:t>l before the king and said to</w:t>
      </w:r>
      <w:r w:rsidRPr="00B740B4">
        <w:rPr>
          <w:rStyle w:val="i"/>
          <w:color w:val="auto"/>
          <w:szCs w:val="22"/>
        </w:rPr>
        <w:t xml:space="preserve"> him, </w:t>
      </w:r>
      <w:r w:rsidR="00934A11" w:rsidRPr="00B740B4">
        <w:rPr>
          <w:rStyle w:val="i"/>
          <w:color w:val="auto"/>
          <w:szCs w:val="22"/>
        </w:rPr>
        <w:t>“</w:t>
      </w:r>
      <w:r w:rsidRPr="00B740B4">
        <w:rPr>
          <w:rStyle w:val="i"/>
          <w:color w:val="auto"/>
          <w:szCs w:val="22"/>
        </w:rPr>
        <w:t>I hav</w:t>
      </w:r>
      <w:r w:rsidR="00E025B5" w:rsidRPr="00B740B4">
        <w:rPr>
          <w:rStyle w:val="i"/>
          <w:color w:val="auto"/>
          <w:szCs w:val="22"/>
        </w:rPr>
        <w:t>e found someone among the Judahite</w:t>
      </w:r>
      <w:r w:rsidR="00A16596">
        <w:rPr>
          <w:rStyle w:val="i"/>
          <w:color w:val="auto"/>
          <w:szCs w:val="22"/>
        </w:rPr>
        <w:t xml:space="preserve"> exiles who can let</w:t>
      </w:r>
      <w:r w:rsidRPr="00B740B4">
        <w:rPr>
          <w:rStyle w:val="i"/>
          <w:color w:val="auto"/>
          <w:szCs w:val="22"/>
        </w:rPr>
        <w:t xml:space="preserve"> your majesty</w:t>
      </w:r>
      <w:r w:rsidR="00A16596">
        <w:rPr>
          <w:rStyle w:val="i"/>
          <w:color w:val="auto"/>
          <w:szCs w:val="22"/>
        </w:rPr>
        <w:t xml:space="preserve"> know</w:t>
      </w:r>
      <w:r w:rsidRPr="00B740B4">
        <w:rPr>
          <w:rStyle w:val="i"/>
          <w:color w:val="auto"/>
          <w:szCs w:val="22"/>
        </w:rPr>
        <w:t xml:space="preserve"> the interpretation.</w:t>
      </w:r>
      <w:r w:rsidR="00934A11" w:rsidRPr="00B740B4">
        <w:rPr>
          <w:rStyle w:val="i"/>
          <w:color w:val="auto"/>
          <w:szCs w:val="22"/>
        </w:rPr>
        <w:t>”</w:t>
      </w:r>
      <w:r w:rsidRPr="00B740B4">
        <w:t xml:space="preserve"> </w:t>
      </w:r>
      <w:r w:rsidRPr="00B740B4">
        <w:rPr>
          <w:rStyle w:val="ver"/>
        </w:rPr>
        <w:t>26</w:t>
      </w:r>
      <w:r w:rsidR="00940B76" w:rsidRPr="00B740B4">
        <w:rPr>
          <w:rStyle w:val="i"/>
          <w:color w:val="auto"/>
          <w:szCs w:val="22"/>
        </w:rPr>
        <w:t>The king averr</w:t>
      </w:r>
      <w:r w:rsidRPr="00B740B4">
        <w:rPr>
          <w:rStyle w:val="i"/>
          <w:color w:val="auto"/>
          <w:szCs w:val="22"/>
        </w:rPr>
        <w:t xml:space="preserve">ed </w:t>
      </w:r>
      <w:r w:rsidR="00940B76" w:rsidRPr="00B740B4">
        <w:rPr>
          <w:rStyle w:val="i"/>
          <w:color w:val="auto"/>
          <w:szCs w:val="22"/>
        </w:rPr>
        <w:t xml:space="preserve">to </w:t>
      </w:r>
      <w:r w:rsidRPr="00B740B4">
        <w:rPr>
          <w:rStyle w:val="i"/>
          <w:color w:val="auto"/>
          <w:szCs w:val="22"/>
        </w:rPr>
        <w:t>Dani</w:t>
      </w:r>
      <w:r w:rsidR="003E2BAC" w:rsidRPr="00B740B4">
        <w:rPr>
          <w:rStyle w:val="i"/>
          <w:color w:val="auto"/>
          <w:szCs w:val="22"/>
        </w:rPr>
        <w:t>yy</w:t>
      </w:r>
      <w:r w:rsidRPr="00B740B4">
        <w:rPr>
          <w:rStyle w:val="i"/>
          <w:color w:val="auto"/>
          <w:szCs w:val="22"/>
        </w:rPr>
        <w:t>e</w:t>
      </w:r>
      <w:r w:rsidR="003E2BAC" w:rsidRPr="00B740B4">
        <w:rPr>
          <w:rStyle w:val="i"/>
          <w:color w:val="auto"/>
          <w:szCs w:val="22"/>
        </w:rPr>
        <w:t xml:space="preserve">’l (whose name was </w:t>
      </w:r>
      <w:r w:rsidR="00A16596">
        <w:rPr>
          <w:i/>
        </w:rPr>
        <w:t>Belṭ</w:t>
      </w:r>
      <w:r w:rsidR="003E2BAC" w:rsidRPr="00B740B4">
        <w:rPr>
          <w:i/>
        </w:rPr>
        <w:t>e</w:t>
      </w:r>
      <w:r w:rsidR="005F68BF">
        <w:rPr>
          <w:i/>
        </w:rPr>
        <w:t>š</w:t>
      </w:r>
      <w:r w:rsidR="003E2BAC" w:rsidRPr="00B740B4">
        <w:rPr>
          <w:i/>
        </w:rPr>
        <w:t>aṣṣar</w:t>
      </w:r>
      <w:r w:rsidRPr="00B740B4">
        <w:rPr>
          <w:rStyle w:val="i"/>
          <w:color w:val="auto"/>
          <w:szCs w:val="22"/>
        </w:rPr>
        <w:t xml:space="preserve">), </w:t>
      </w:r>
      <w:r w:rsidR="00934A11" w:rsidRPr="00B740B4">
        <w:rPr>
          <w:rStyle w:val="i"/>
          <w:color w:val="auto"/>
          <w:szCs w:val="22"/>
        </w:rPr>
        <w:t>“</w:t>
      </w:r>
      <w:r w:rsidRPr="00B740B4">
        <w:rPr>
          <w:rStyle w:val="i"/>
          <w:color w:val="auto"/>
          <w:szCs w:val="22"/>
        </w:rPr>
        <w:t>Are you really</w:t>
      </w:r>
      <w:r w:rsidRPr="00B740B4">
        <w:rPr>
          <w:rStyle w:val="fnref"/>
        </w:rPr>
        <w:t>a</w:t>
      </w:r>
      <w:r w:rsidRPr="00B740B4">
        <w:t xml:space="preserve"> </w:t>
      </w:r>
      <w:r w:rsidR="00A16596">
        <w:rPr>
          <w:rStyle w:val="i"/>
          <w:color w:val="auto"/>
          <w:szCs w:val="22"/>
        </w:rPr>
        <w:t>able to let</w:t>
      </w:r>
      <w:r w:rsidRPr="00B740B4">
        <w:rPr>
          <w:rStyle w:val="i"/>
          <w:color w:val="auto"/>
          <w:szCs w:val="22"/>
        </w:rPr>
        <w:t xml:space="preserve"> me </w:t>
      </w:r>
      <w:r w:rsidR="00A16596">
        <w:rPr>
          <w:rStyle w:val="i"/>
          <w:color w:val="auto"/>
          <w:szCs w:val="22"/>
        </w:rPr>
        <w:t xml:space="preserve">know </w:t>
      </w:r>
      <w:r w:rsidRPr="00B740B4">
        <w:rPr>
          <w:rStyle w:val="i"/>
          <w:color w:val="auto"/>
          <w:szCs w:val="22"/>
        </w:rPr>
        <w:t>the dream that I had, and its interpretation?</w:t>
      </w:r>
      <w:r w:rsidR="00934A11" w:rsidRPr="00B740B4">
        <w:rPr>
          <w:rStyle w:val="i"/>
          <w:color w:val="auto"/>
          <w:szCs w:val="22"/>
        </w:rPr>
        <w:t>”</w:t>
      </w:r>
      <w:r w:rsidRPr="00B740B4">
        <w:t xml:space="preserve"> </w:t>
      </w:r>
      <w:r w:rsidRPr="00B740B4">
        <w:rPr>
          <w:rStyle w:val="ver"/>
        </w:rPr>
        <w:t>27</w:t>
      </w:r>
      <w:r w:rsidR="003E2BAC" w:rsidRPr="00B740B4">
        <w:rPr>
          <w:rStyle w:val="i"/>
          <w:color w:val="auto"/>
          <w:szCs w:val="22"/>
        </w:rPr>
        <w:t>D</w:t>
      </w:r>
      <w:r w:rsidRPr="00B740B4">
        <w:rPr>
          <w:rStyle w:val="i"/>
          <w:color w:val="auto"/>
          <w:szCs w:val="22"/>
        </w:rPr>
        <w:t>ani</w:t>
      </w:r>
      <w:r w:rsidR="003E2BAC" w:rsidRPr="00B740B4">
        <w:rPr>
          <w:rStyle w:val="i"/>
          <w:color w:val="auto"/>
          <w:szCs w:val="22"/>
        </w:rPr>
        <w:t>yy</w:t>
      </w:r>
      <w:r w:rsidRPr="00B740B4">
        <w:rPr>
          <w:rStyle w:val="i"/>
          <w:color w:val="auto"/>
          <w:szCs w:val="22"/>
        </w:rPr>
        <w:t>e</w:t>
      </w:r>
      <w:r w:rsidR="003E2BAC" w:rsidRPr="00B740B4">
        <w:rPr>
          <w:rStyle w:val="i"/>
          <w:color w:val="auto"/>
          <w:szCs w:val="22"/>
        </w:rPr>
        <w:t>’</w:t>
      </w:r>
      <w:r w:rsidR="00940B76" w:rsidRPr="00B740B4">
        <w:rPr>
          <w:rStyle w:val="i"/>
          <w:color w:val="auto"/>
          <w:szCs w:val="22"/>
        </w:rPr>
        <w:t>l responded</w:t>
      </w:r>
      <w:r w:rsidRPr="00B740B4">
        <w:rPr>
          <w:rStyle w:val="i"/>
          <w:color w:val="auto"/>
          <w:szCs w:val="22"/>
        </w:rPr>
        <w:t xml:space="preserve"> before the king, </w:t>
      </w:r>
      <w:r w:rsidR="00934A11" w:rsidRPr="00B740B4">
        <w:rPr>
          <w:rStyle w:val="i"/>
          <w:color w:val="auto"/>
          <w:szCs w:val="22"/>
        </w:rPr>
        <w:t>“</w:t>
      </w:r>
      <w:r w:rsidR="00391014" w:rsidRPr="00B740B4">
        <w:rPr>
          <w:rStyle w:val="i"/>
          <w:color w:val="auto"/>
          <w:szCs w:val="22"/>
        </w:rPr>
        <w:t>No expert</w:t>
      </w:r>
      <w:r w:rsidRPr="00B740B4">
        <w:rPr>
          <w:rStyle w:val="i"/>
          <w:color w:val="auto"/>
          <w:szCs w:val="22"/>
        </w:rPr>
        <w:t>s, chanters, diviners or exorcists</w:t>
      </w:r>
      <w:r w:rsidRPr="00B740B4">
        <w:rPr>
          <w:rStyle w:val="fnref"/>
        </w:rPr>
        <w:t>a</w:t>
      </w:r>
      <w:r w:rsidRPr="00B740B4">
        <w:t xml:space="preserve"> </w:t>
      </w:r>
      <w:r w:rsidRPr="00B740B4">
        <w:rPr>
          <w:rStyle w:val="i"/>
          <w:color w:val="auto"/>
          <w:szCs w:val="22"/>
        </w:rPr>
        <w:t>can explain to your majesty the mystery about which your majesty asks.</w:t>
      </w:r>
      <w:r w:rsidRPr="00B740B4">
        <w:t xml:space="preserve"> </w:t>
      </w:r>
      <w:r w:rsidRPr="00B740B4">
        <w:rPr>
          <w:rStyle w:val="ver"/>
        </w:rPr>
        <w:t>28</w:t>
      </w:r>
      <w:r w:rsidRPr="00B740B4">
        <w:rPr>
          <w:rStyle w:val="i"/>
          <w:color w:val="auto"/>
          <w:szCs w:val="22"/>
        </w:rPr>
        <w:t xml:space="preserve">Yet there is a God in </w:t>
      </w:r>
      <w:r w:rsidR="00E025B5" w:rsidRPr="00B740B4">
        <w:rPr>
          <w:rStyle w:val="i"/>
          <w:color w:val="auto"/>
          <w:szCs w:val="22"/>
        </w:rPr>
        <w:t xml:space="preserve">the </w:t>
      </w:r>
      <w:r w:rsidRPr="00B740B4">
        <w:rPr>
          <w:rStyle w:val="i"/>
          <w:color w:val="auto"/>
          <w:szCs w:val="22"/>
        </w:rPr>
        <w:t>heaven</w:t>
      </w:r>
      <w:r w:rsidR="00E025B5" w:rsidRPr="00B740B4">
        <w:rPr>
          <w:rStyle w:val="i"/>
          <w:color w:val="auto"/>
          <w:szCs w:val="22"/>
        </w:rPr>
        <w:t>s</w:t>
      </w:r>
      <w:r w:rsidRPr="00B740B4">
        <w:rPr>
          <w:rStyle w:val="i"/>
          <w:color w:val="auto"/>
          <w:szCs w:val="22"/>
        </w:rPr>
        <w:t xml:space="preserve"> who reveals mysteries, an</w:t>
      </w:r>
      <w:r w:rsidR="00964E38" w:rsidRPr="00B740B4">
        <w:rPr>
          <w:rStyle w:val="i"/>
          <w:color w:val="auto"/>
          <w:szCs w:val="22"/>
        </w:rPr>
        <w:t xml:space="preserve">d he has let King </w:t>
      </w:r>
      <w:r w:rsidR="00964E38" w:rsidRPr="00B740B4">
        <w:rPr>
          <w:i/>
          <w:lang w:val="en-GB"/>
        </w:rPr>
        <w:t>Nebukadne’</w:t>
      </w:r>
      <w:r w:rsidR="00964E38" w:rsidRPr="00B740B4">
        <w:rPr>
          <w:i/>
        </w:rPr>
        <w:t>ṣṣ</w:t>
      </w:r>
      <w:r w:rsidR="00964E38" w:rsidRPr="00B740B4">
        <w:rPr>
          <w:i/>
          <w:lang w:val="en-GB"/>
        </w:rPr>
        <w:t>ar</w:t>
      </w:r>
      <w:r w:rsidR="00964E38" w:rsidRPr="00B740B4">
        <w:rPr>
          <w:i/>
          <w:vertAlign w:val="superscript"/>
        </w:rPr>
        <w:t xml:space="preserve"> </w:t>
      </w:r>
      <w:r w:rsidRPr="00B740B4">
        <w:rPr>
          <w:rStyle w:val="fnref"/>
        </w:rPr>
        <w:t>a</w:t>
      </w:r>
      <w:r w:rsidRPr="00B740B4">
        <w:rPr>
          <w:rStyle w:val="i"/>
          <w:color w:val="auto"/>
          <w:szCs w:val="22"/>
        </w:rPr>
        <w:t xml:space="preserve">know what is going to happen at the end of the era. </w:t>
      </w:r>
    </w:p>
    <w:p w:rsidR="00124267" w:rsidRPr="00B740B4" w:rsidRDefault="00124267" w:rsidP="00C169D0">
      <w:r w:rsidRPr="00B740B4">
        <w:rPr>
          <w:rStyle w:val="i"/>
          <w:color w:val="auto"/>
          <w:szCs w:val="22"/>
        </w:rPr>
        <w:t>This is your dream, the vision</w:t>
      </w:r>
      <w:r w:rsidRPr="00B740B4">
        <w:rPr>
          <w:rStyle w:val="fnref"/>
        </w:rPr>
        <w:t>b</w:t>
      </w:r>
      <w:r w:rsidRPr="00B740B4">
        <w:t xml:space="preserve"> </w:t>
      </w:r>
      <w:r w:rsidRPr="00B740B4">
        <w:rPr>
          <w:rStyle w:val="i"/>
          <w:color w:val="auto"/>
          <w:szCs w:val="22"/>
        </w:rPr>
        <w:t>that came into your head</w:t>
      </w:r>
      <w:r w:rsidRPr="00B740B4">
        <w:rPr>
          <w:rStyle w:val="fnref"/>
        </w:rPr>
        <w:t>c</w:t>
      </w:r>
      <w:r w:rsidRPr="00B740B4">
        <w:t xml:space="preserve"> </w:t>
      </w:r>
      <w:r w:rsidRPr="00B740B4">
        <w:rPr>
          <w:rStyle w:val="i"/>
          <w:color w:val="auto"/>
          <w:szCs w:val="22"/>
        </w:rPr>
        <w:t>as you lay in bed.</w:t>
      </w:r>
      <w:r w:rsidRPr="00B740B4">
        <w:t xml:space="preserve"> </w:t>
      </w:r>
      <w:r w:rsidRPr="00B740B4">
        <w:rPr>
          <w:rStyle w:val="ver"/>
        </w:rPr>
        <w:t>29</w:t>
      </w:r>
      <w:r w:rsidR="00292D41" w:rsidRPr="00B740B4">
        <w:rPr>
          <w:rStyle w:val="i"/>
          <w:color w:val="auto"/>
          <w:szCs w:val="22"/>
        </w:rPr>
        <w:t>Y</w:t>
      </w:r>
      <w:r w:rsidRPr="00B740B4">
        <w:rPr>
          <w:rStyle w:val="i"/>
          <w:color w:val="auto"/>
          <w:szCs w:val="22"/>
        </w:rPr>
        <w:t>ou, your majesty, as you lay in bed</w:t>
      </w:r>
      <w:r w:rsidR="00A16596">
        <w:rPr>
          <w:rStyle w:val="i"/>
          <w:color w:val="auto"/>
          <w:szCs w:val="22"/>
        </w:rPr>
        <w:t xml:space="preserve">: </w:t>
      </w:r>
      <w:r w:rsidR="00292D41" w:rsidRPr="00B740B4">
        <w:rPr>
          <w:i/>
        </w:rPr>
        <w:t xml:space="preserve">your </w:t>
      </w:r>
      <w:r w:rsidRPr="00B740B4">
        <w:rPr>
          <w:rStyle w:val="i"/>
          <w:color w:val="auto"/>
          <w:szCs w:val="22"/>
        </w:rPr>
        <w:t>thoughts</w:t>
      </w:r>
      <w:r w:rsidR="00C169D0" w:rsidRPr="00C169D0">
        <w:rPr>
          <w:i/>
          <w:vertAlign w:val="superscript"/>
        </w:rPr>
        <w:t>a</w:t>
      </w:r>
      <w:r w:rsidR="00292D41" w:rsidRPr="00B740B4">
        <w:rPr>
          <w:rStyle w:val="i"/>
          <w:color w:val="auto"/>
          <w:szCs w:val="22"/>
          <w:vertAlign w:val="superscript"/>
        </w:rPr>
        <w:t xml:space="preserve"> </w:t>
      </w:r>
      <w:r w:rsidR="00292D41" w:rsidRPr="00B740B4">
        <w:rPr>
          <w:i/>
        </w:rPr>
        <w:t>came</w:t>
      </w:r>
      <w:r w:rsidR="000C3FC8" w:rsidRPr="00B740B4">
        <w:rPr>
          <w:i/>
        </w:rPr>
        <w:t xml:space="preserve"> up</w:t>
      </w:r>
      <w:r w:rsidR="00C169D0" w:rsidRPr="00C169D0">
        <w:rPr>
          <w:i/>
          <w:vertAlign w:val="superscript"/>
        </w:rPr>
        <w:t>b</w:t>
      </w:r>
      <w:r w:rsidR="00292D41" w:rsidRPr="00B740B4">
        <w:rPr>
          <w:i/>
        </w:rPr>
        <w:t xml:space="preserve"> o</w:t>
      </w:r>
      <w:r w:rsidRPr="00B740B4">
        <w:rPr>
          <w:rStyle w:val="i"/>
          <w:color w:val="auto"/>
          <w:szCs w:val="22"/>
        </w:rPr>
        <w:t>f what is to happen in the future,</w:t>
      </w:r>
      <w:r w:rsidR="001014AB" w:rsidRPr="00B740B4">
        <w:rPr>
          <w:rStyle w:val="fnref"/>
        </w:rPr>
        <w:t>c</w:t>
      </w:r>
      <w:r w:rsidRPr="00B740B4">
        <w:t xml:space="preserve"> </w:t>
      </w:r>
      <w:r w:rsidRPr="00B740B4">
        <w:rPr>
          <w:rStyle w:val="i"/>
          <w:color w:val="auto"/>
          <w:szCs w:val="22"/>
        </w:rPr>
        <w:t>and the revealer of mysteries let you know what is to happen.</w:t>
      </w:r>
      <w:r w:rsidRPr="00B740B4">
        <w:t xml:space="preserve"> </w:t>
      </w:r>
      <w:r w:rsidRPr="00B740B4">
        <w:rPr>
          <w:rStyle w:val="ver"/>
        </w:rPr>
        <w:t>30</w:t>
      </w:r>
      <w:r w:rsidRPr="00B740B4">
        <w:rPr>
          <w:rStyle w:val="i"/>
          <w:color w:val="auto"/>
          <w:szCs w:val="22"/>
        </w:rPr>
        <w:t>This mystery has been revealed</w:t>
      </w:r>
      <w:r w:rsidR="00E025B5" w:rsidRPr="00B740B4">
        <w:rPr>
          <w:rStyle w:val="i"/>
          <w:color w:val="auto"/>
          <w:szCs w:val="22"/>
        </w:rPr>
        <w:t xml:space="preserve"> to me, not by means of an expertise</w:t>
      </w:r>
      <w:r w:rsidRPr="00B740B4">
        <w:rPr>
          <w:rStyle w:val="i"/>
          <w:color w:val="auto"/>
          <w:szCs w:val="22"/>
        </w:rPr>
        <w:t xml:space="preserve"> that I possess that is greater than any other person’s, but in order for the interpretation to be made known to your majesty, so that you may know your inner thoughts.</w:t>
      </w:r>
      <w:r w:rsidRPr="00B740B4">
        <w:rPr>
          <w:rStyle w:val="fnref"/>
        </w:rPr>
        <w:t>a</w:t>
      </w:r>
    </w:p>
    <w:p w:rsidR="00124267" w:rsidRPr="00B740B4" w:rsidRDefault="00124267" w:rsidP="00124267">
      <w:r w:rsidRPr="00B740B4">
        <w:rPr>
          <w:rStyle w:val="ver"/>
        </w:rPr>
        <w:t>31</w:t>
      </w:r>
      <w:r w:rsidR="00934A11" w:rsidRPr="00B740B4">
        <w:rPr>
          <w:rStyle w:val="i"/>
          <w:color w:val="auto"/>
          <w:szCs w:val="22"/>
        </w:rPr>
        <w:t>”</w:t>
      </w:r>
      <w:r w:rsidRPr="00B740B4">
        <w:rPr>
          <w:rStyle w:val="i"/>
          <w:color w:val="auto"/>
          <w:szCs w:val="22"/>
        </w:rPr>
        <w:t xml:space="preserve">Your majesty, you </w:t>
      </w:r>
      <w:r w:rsidR="00C45E71" w:rsidRPr="00B740B4">
        <w:rPr>
          <w:rStyle w:val="i"/>
          <w:color w:val="auto"/>
          <w:szCs w:val="22"/>
        </w:rPr>
        <w:t>were looking</w:t>
      </w:r>
      <w:r w:rsidRPr="00B740B4">
        <w:rPr>
          <w:rStyle w:val="i"/>
          <w:color w:val="auto"/>
          <w:szCs w:val="22"/>
        </w:rPr>
        <w:t>, and there before you was a large</w:t>
      </w:r>
      <w:r w:rsidRPr="00B740B4">
        <w:rPr>
          <w:rStyle w:val="fnref"/>
        </w:rPr>
        <w:t>a</w:t>
      </w:r>
      <w:r w:rsidRPr="00B740B4">
        <w:t xml:space="preserve"> </w:t>
      </w:r>
      <w:r w:rsidRPr="00B740B4">
        <w:rPr>
          <w:rStyle w:val="i"/>
          <w:color w:val="auto"/>
          <w:szCs w:val="22"/>
        </w:rPr>
        <w:t>statue. This statue was big, with an extraordinary brightness, standing in front of you, an awesome sight.</w:t>
      </w:r>
      <w:r w:rsidRPr="00B740B4">
        <w:t xml:space="preserve"> </w:t>
      </w:r>
      <w:r w:rsidRPr="00B740B4">
        <w:rPr>
          <w:rStyle w:val="ver"/>
        </w:rPr>
        <w:t>32</w:t>
      </w:r>
      <w:r w:rsidR="00E025B5" w:rsidRPr="00B740B4">
        <w:rPr>
          <w:rStyle w:val="i"/>
          <w:color w:val="auto"/>
          <w:szCs w:val="22"/>
        </w:rPr>
        <w:t>This statue:</w:t>
      </w:r>
      <w:r w:rsidRPr="00B740B4">
        <w:rPr>
          <w:rStyle w:val="i"/>
          <w:color w:val="auto"/>
          <w:szCs w:val="22"/>
        </w:rPr>
        <w:t xml:space="preserve"> its head was made of pure gold, its chest and arms of silver, its stomach and sides of bronze,</w:t>
      </w:r>
      <w:r w:rsidRPr="00B740B4">
        <w:rPr>
          <w:rStyle w:val="fnref"/>
        </w:rPr>
        <w:t>a</w:t>
      </w:r>
      <w:r w:rsidRPr="00B740B4">
        <w:t xml:space="preserve"> </w:t>
      </w:r>
      <w:r w:rsidRPr="00B740B4">
        <w:rPr>
          <w:rStyle w:val="ver"/>
        </w:rPr>
        <w:t>33</w:t>
      </w:r>
      <w:r w:rsidRPr="00B740B4">
        <w:rPr>
          <w:rStyle w:val="i"/>
          <w:color w:val="auto"/>
          <w:szCs w:val="22"/>
        </w:rPr>
        <w:t>its legs</w:t>
      </w:r>
      <w:r w:rsidRPr="00B740B4">
        <w:rPr>
          <w:rStyle w:val="fnref"/>
        </w:rPr>
        <w:t>a</w:t>
      </w:r>
      <w:r w:rsidRPr="00B740B4">
        <w:t xml:space="preserve"> </w:t>
      </w:r>
      <w:r w:rsidRPr="00B740B4">
        <w:rPr>
          <w:rStyle w:val="i"/>
          <w:color w:val="auto"/>
          <w:szCs w:val="22"/>
        </w:rPr>
        <w:t>of iron, its feet partly of iron and partly of pottery.</w:t>
      </w:r>
      <w:r w:rsidRPr="00B740B4">
        <w:rPr>
          <w:rStyle w:val="fnref"/>
        </w:rPr>
        <w:t>b</w:t>
      </w:r>
      <w:r w:rsidRPr="00B740B4">
        <w:t xml:space="preserve"> </w:t>
      </w:r>
      <w:r w:rsidRPr="00B740B4">
        <w:rPr>
          <w:rStyle w:val="ver"/>
        </w:rPr>
        <w:t>34</w:t>
      </w:r>
      <w:r w:rsidR="00C45E71" w:rsidRPr="00B740B4">
        <w:rPr>
          <w:rStyle w:val="i"/>
          <w:color w:val="auto"/>
          <w:szCs w:val="22"/>
        </w:rPr>
        <w:t xml:space="preserve">You were looking </w:t>
      </w:r>
      <w:r w:rsidRPr="00B740B4">
        <w:rPr>
          <w:rStyle w:val="i"/>
          <w:color w:val="auto"/>
          <w:szCs w:val="22"/>
        </w:rPr>
        <w:t>as</w:t>
      </w:r>
      <w:r w:rsidRPr="00B740B4">
        <w:rPr>
          <w:rStyle w:val="fnref"/>
        </w:rPr>
        <w:t>a</w:t>
      </w:r>
      <w:r w:rsidRPr="00B740B4">
        <w:t xml:space="preserve"> </w:t>
      </w:r>
      <w:r w:rsidRPr="00B740B4">
        <w:rPr>
          <w:rStyle w:val="i"/>
          <w:color w:val="auto"/>
          <w:szCs w:val="22"/>
        </w:rPr>
        <w:t>a rock broke away</w:t>
      </w:r>
      <w:r w:rsidRPr="00B740B4">
        <w:rPr>
          <w:rStyle w:val="fnref"/>
        </w:rPr>
        <w:t>b</w:t>
      </w:r>
      <w:r w:rsidRPr="00B740B4">
        <w:t xml:space="preserve"> </w:t>
      </w:r>
      <w:r w:rsidRPr="00B740B4">
        <w:rPr>
          <w:rStyle w:val="i"/>
          <w:color w:val="auto"/>
          <w:szCs w:val="22"/>
        </w:rPr>
        <w:t>without being touched. It struck the statue on its feet made of iron and pottery, and shattered them.</w:t>
      </w:r>
      <w:r w:rsidRPr="00B740B4">
        <w:t xml:space="preserve"> </w:t>
      </w:r>
      <w:r w:rsidRPr="00B740B4">
        <w:rPr>
          <w:rStyle w:val="ver"/>
        </w:rPr>
        <w:t>35</w:t>
      </w:r>
      <w:r w:rsidRPr="00B740B4">
        <w:rPr>
          <w:rStyle w:val="i"/>
          <w:color w:val="auto"/>
          <w:szCs w:val="22"/>
        </w:rPr>
        <w:t>Then all at once</w:t>
      </w:r>
      <w:r w:rsidRPr="00B740B4">
        <w:rPr>
          <w:rStyle w:val="fnref"/>
        </w:rPr>
        <w:t>a</w:t>
      </w:r>
      <w:r w:rsidRPr="00B740B4">
        <w:t xml:space="preserve"> </w:t>
      </w:r>
      <w:r w:rsidRPr="00B740B4">
        <w:rPr>
          <w:rStyle w:val="i"/>
          <w:color w:val="auto"/>
          <w:szCs w:val="22"/>
        </w:rPr>
        <w:t>the iron, pottery, bro</w:t>
      </w:r>
      <w:r w:rsidR="00A16596">
        <w:rPr>
          <w:rStyle w:val="i"/>
          <w:color w:val="auto"/>
          <w:szCs w:val="22"/>
        </w:rPr>
        <w:t>nze, silver, and gold shattered.</w:t>
      </w:r>
      <w:r w:rsidRPr="00B740B4">
        <w:rPr>
          <w:rStyle w:val="fnref"/>
        </w:rPr>
        <w:t>b</w:t>
      </w:r>
      <w:r w:rsidRPr="00B740B4">
        <w:t xml:space="preserve"> </w:t>
      </w:r>
      <w:r w:rsidR="00A16596">
        <w:rPr>
          <w:rStyle w:val="i"/>
          <w:color w:val="auto"/>
          <w:szCs w:val="22"/>
        </w:rPr>
        <w:t>T</w:t>
      </w:r>
      <w:r w:rsidRPr="00B740B4">
        <w:rPr>
          <w:rStyle w:val="i"/>
          <w:color w:val="auto"/>
          <w:szCs w:val="22"/>
        </w:rPr>
        <w:t>hey</w:t>
      </w:r>
      <w:r w:rsidR="00257839" w:rsidRPr="00B740B4">
        <w:rPr>
          <w:rStyle w:val="i"/>
          <w:color w:val="auto"/>
          <w:szCs w:val="22"/>
        </w:rPr>
        <w:t xml:space="preserve"> became like chaff from </w:t>
      </w:r>
      <w:r w:rsidRPr="00B740B4">
        <w:rPr>
          <w:rStyle w:val="i"/>
          <w:color w:val="auto"/>
          <w:szCs w:val="22"/>
        </w:rPr>
        <w:t>threshing-place</w:t>
      </w:r>
      <w:r w:rsidR="00257839" w:rsidRPr="00B740B4">
        <w:rPr>
          <w:rStyle w:val="i"/>
          <w:color w:val="auto"/>
          <w:szCs w:val="22"/>
        </w:rPr>
        <w:t>s</w:t>
      </w:r>
      <w:r w:rsidR="00257839" w:rsidRPr="00B740B4">
        <w:rPr>
          <w:rStyle w:val="i"/>
          <w:color w:val="auto"/>
          <w:szCs w:val="22"/>
          <w:vertAlign w:val="superscript"/>
        </w:rPr>
        <w:t>c</w:t>
      </w:r>
      <w:r w:rsidRPr="00B740B4">
        <w:rPr>
          <w:rStyle w:val="i"/>
          <w:color w:val="auto"/>
          <w:szCs w:val="22"/>
        </w:rPr>
        <w:t xml:space="preserve"> in summer, and the wind carried them off. No place</w:t>
      </w:r>
      <w:r w:rsidR="00F10F9D" w:rsidRPr="00B740B4">
        <w:rPr>
          <w:rStyle w:val="fnref"/>
        </w:rPr>
        <w:t>d</w:t>
      </w:r>
      <w:r w:rsidRPr="00B740B4">
        <w:t xml:space="preserve"> </w:t>
      </w:r>
      <w:r w:rsidRPr="00B740B4">
        <w:rPr>
          <w:rStyle w:val="i"/>
          <w:color w:val="auto"/>
          <w:szCs w:val="22"/>
        </w:rPr>
        <w:t>could be found for them. But the rock which had struck the statue became a great crag which filled the whole world.</w:t>
      </w:r>
      <w:r w:rsidR="00FC7A35" w:rsidRPr="00B740B4">
        <w:rPr>
          <w:rStyle w:val="i"/>
          <w:color w:val="auto"/>
          <w:szCs w:val="22"/>
        </w:rPr>
        <w:t xml:space="preserve"> </w:t>
      </w:r>
    </w:p>
    <w:p w:rsidR="00E025B5" w:rsidRPr="00B740B4" w:rsidRDefault="00124267" w:rsidP="00124267">
      <w:r w:rsidRPr="00B740B4">
        <w:rPr>
          <w:rStyle w:val="ver"/>
        </w:rPr>
        <w:t>36</w:t>
      </w:r>
      <w:r w:rsidR="00934A11" w:rsidRPr="00B740B4">
        <w:rPr>
          <w:rStyle w:val="i"/>
          <w:color w:val="auto"/>
          <w:szCs w:val="22"/>
        </w:rPr>
        <w:t>”</w:t>
      </w:r>
      <w:r w:rsidRPr="00B740B4">
        <w:rPr>
          <w:rStyle w:val="i"/>
          <w:color w:val="auto"/>
          <w:szCs w:val="22"/>
        </w:rPr>
        <w:t>That was the dream. Now we</w:t>
      </w:r>
      <w:r w:rsidRPr="00B740B4">
        <w:rPr>
          <w:rStyle w:val="fnref"/>
        </w:rPr>
        <w:t>a</w:t>
      </w:r>
      <w:r w:rsidRPr="00B740B4">
        <w:t xml:space="preserve"> </w:t>
      </w:r>
      <w:r w:rsidRPr="00B740B4">
        <w:rPr>
          <w:rStyle w:val="i"/>
          <w:color w:val="auto"/>
          <w:szCs w:val="22"/>
        </w:rPr>
        <w:t>will state its interpretation before the king.</w:t>
      </w:r>
      <w:r w:rsidRPr="00B740B4">
        <w:t xml:space="preserve"> </w:t>
      </w:r>
      <w:r w:rsidRPr="00B740B4">
        <w:rPr>
          <w:rStyle w:val="ver"/>
        </w:rPr>
        <w:t>37</w:t>
      </w:r>
      <w:r w:rsidRPr="00B740B4">
        <w:rPr>
          <w:rStyle w:val="i"/>
          <w:color w:val="auto"/>
          <w:szCs w:val="22"/>
        </w:rPr>
        <w:t xml:space="preserve">Your majesty, king among kings, </w:t>
      </w:r>
      <w:r w:rsidR="00FC7A35" w:rsidRPr="00B740B4">
        <w:rPr>
          <w:rStyle w:val="i"/>
          <w:color w:val="auto"/>
          <w:szCs w:val="22"/>
        </w:rPr>
        <w:t>you to whom</w:t>
      </w:r>
      <w:r w:rsidRPr="00B740B4">
        <w:t xml:space="preserve"> </w:t>
      </w:r>
      <w:r w:rsidRPr="00B740B4">
        <w:rPr>
          <w:rStyle w:val="i"/>
          <w:color w:val="auto"/>
          <w:szCs w:val="22"/>
        </w:rPr>
        <w:t xml:space="preserve">the God of </w:t>
      </w:r>
      <w:r w:rsidR="00962BBD" w:rsidRPr="00B740B4">
        <w:rPr>
          <w:rStyle w:val="i"/>
          <w:color w:val="auto"/>
          <w:szCs w:val="22"/>
        </w:rPr>
        <w:t xml:space="preserve">the </w:t>
      </w:r>
      <w:r w:rsidRPr="00B740B4">
        <w:rPr>
          <w:rStyle w:val="i"/>
          <w:color w:val="auto"/>
          <w:szCs w:val="22"/>
        </w:rPr>
        <w:t>heaven</w:t>
      </w:r>
      <w:r w:rsidR="00962BBD" w:rsidRPr="00B740B4">
        <w:rPr>
          <w:rStyle w:val="i"/>
          <w:color w:val="auto"/>
          <w:szCs w:val="22"/>
        </w:rPr>
        <w:t>s</w:t>
      </w:r>
      <w:r w:rsidR="009661E0">
        <w:rPr>
          <w:rStyle w:val="i"/>
          <w:color w:val="auto"/>
          <w:szCs w:val="22"/>
        </w:rPr>
        <w:t xml:space="preserve"> has given kingship</w:t>
      </w:r>
      <w:r w:rsidRPr="00B740B4">
        <w:rPr>
          <w:rStyle w:val="i"/>
          <w:color w:val="auto"/>
          <w:szCs w:val="22"/>
        </w:rPr>
        <w:t>, sovereignty, power, and honor,</w:t>
      </w:r>
      <w:r w:rsidRPr="00B740B4">
        <w:t xml:space="preserve"> </w:t>
      </w:r>
      <w:r w:rsidRPr="00B740B4">
        <w:rPr>
          <w:rStyle w:val="ver"/>
        </w:rPr>
        <w:t>38</w:t>
      </w:r>
      <w:r w:rsidRPr="00B740B4">
        <w:rPr>
          <w:rStyle w:val="fnref"/>
        </w:rPr>
        <w:t>a</w:t>
      </w:r>
      <w:r w:rsidRPr="00B740B4">
        <w:rPr>
          <w:rStyle w:val="i"/>
          <w:color w:val="auto"/>
          <w:szCs w:val="22"/>
        </w:rPr>
        <w:t>and wherever they live, has given human beings,</w:t>
      </w:r>
      <w:r w:rsidRPr="00B740B4">
        <w:rPr>
          <w:rStyle w:val="fnref"/>
        </w:rPr>
        <w:t>a</w:t>
      </w:r>
      <w:r w:rsidRPr="00B740B4">
        <w:t xml:space="preserve"> </w:t>
      </w:r>
      <w:r w:rsidRPr="00B740B4">
        <w:rPr>
          <w:rStyle w:val="i"/>
          <w:color w:val="auto"/>
          <w:szCs w:val="22"/>
        </w:rPr>
        <w:t>creatures of the wild, and birds in the sky into your control a</w:t>
      </w:r>
      <w:r w:rsidR="00FC7A35" w:rsidRPr="00B740B4">
        <w:rPr>
          <w:rStyle w:val="i"/>
          <w:color w:val="auto"/>
          <w:szCs w:val="22"/>
        </w:rPr>
        <w:t>nd made you ruler over them all: y</w:t>
      </w:r>
      <w:r w:rsidRPr="00B740B4">
        <w:rPr>
          <w:rStyle w:val="i"/>
          <w:color w:val="auto"/>
          <w:szCs w:val="22"/>
        </w:rPr>
        <w:t>ou yourself are</w:t>
      </w:r>
      <w:r w:rsidRPr="00B740B4">
        <w:rPr>
          <w:rStyle w:val="fnref"/>
        </w:rPr>
        <w:t>b</w:t>
      </w:r>
      <w:r w:rsidRPr="00B740B4">
        <w:t xml:space="preserve"> </w:t>
      </w:r>
      <w:r w:rsidRPr="00B740B4">
        <w:rPr>
          <w:rStyle w:val="i"/>
          <w:color w:val="auto"/>
          <w:szCs w:val="22"/>
        </w:rPr>
        <w:t>the head made of gold.</w:t>
      </w:r>
      <w:r w:rsidRPr="00B740B4">
        <w:t xml:space="preserve"> </w:t>
      </w:r>
      <w:r w:rsidRPr="00B740B4">
        <w:rPr>
          <w:rStyle w:val="ver"/>
        </w:rPr>
        <w:t>39</w:t>
      </w:r>
      <w:r w:rsidRPr="00B740B4">
        <w:rPr>
          <w:rStyle w:val="i"/>
          <w:color w:val="auto"/>
          <w:szCs w:val="22"/>
        </w:rPr>
        <w:t>In your</w:t>
      </w:r>
      <w:r w:rsidR="00FC7A35" w:rsidRPr="00B740B4">
        <w:rPr>
          <w:rStyle w:val="i"/>
          <w:color w:val="auto"/>
          <w:szCs w:val="22"/>
        </w:rPr>
        <w:t xml:space="preserve"> place another regime will stand,</w:t>
      </w:r>
      <w:r w:rsidRPr="00B740B4">
        <w:t xml:space="preserve"> </w:t>
      </w:r>
      <w:r w:rsidRPr="00B740B4">
        <w:rPr>
          <w:rStyle w:val="i"/>
          <w:color w:val="auto"/>
          <w:szCs w:val="22"/>
        </w:rPr>
        <w:t>inferior to yours, and another, third regime of bronze, which will rule the whole world.</w:t>
      </w:r>
      <w:r w:rsidRPr="00B740B4">
        <w:t xml:space="preserve"> </w:t>
      </w:r>
      <w:r w:rsidRPr="00B740B4">
        <w:rPr>
          <w:rStyle w:val="ver"/>
        </w:rPr>
        <w:t>40</w:t>
      </w:r>
      <w:r w:rsidRPr="00B740B4">
        <w:rPr>
          <w:rStyle w:val="fnref"/>
        </w:rPr>
        <w:t>a</w:t>
      </w:r>
      <w:r w:rsidR="002F392E">
        <w:rPr>
          <w:rStyle w:val="i"/>
          <w:color w:val="auto"/>
          <w:szCs w:val="22"/>
        </w:rPr>
        <w:t>But</w:t>
      </w:r>
      <w:r w:rsidRPr="00B740B4">
        <w:rPr>
          <w:rStyle w:val="i"/>
          <w:color w:val="auto"/>
          <w:szCs w:val="22"/>
        </w:rPr>
        <w:t xml:space="preserve"> there will be a fourth regime as strong as iron—because iron shatters and smashes anything.</w:t>
      </w:r>
      <w:r w:rsidRPr="00B740B4">
        <w:rPr>
          <w:rStyle w:val="fnref"/>
        </w:rPr>
        <w:t>b</w:t>
      </w:r>
      <w:r w:rsidRPr="00B740B4">
        <w:t xml:space="preserve"> </w:t>
      </w:r>
      <w:r w:rsidRPr="00B740B4">
        <w:rPr>
          <w:rStyle w:val="fnref"/>
        </w:rPr>
        <w:t>c</w:t>
      </w:r>
      <w:r w:rsidRPr="00B740B4">
        <w:rPr>
          <w:rStyle w:val="i"/>
          <w:color w:val="auto"/>
          <w:szCs w:val="22"/>
        </w:rPr>
        <w:t>Like iron crushing things,</w:t>
      </w:r>
      <w:r w:rsidRPr="00B740B4">
        <w:rPr>
          <w:rStyle w:val="fnref"/>
        </w:rPr>
        <w:t>c</w:t>
      </w:r>
      <w:r w:rsidRPr="00B740B4">
        <w:t xml:space="preserve"> </w:t>
      </w:r>
      <w:r w:rsidRPr="00B740B4">
        <w:rPr>
          <w:rStyle w:val="i"/>
          <w:color w:val="auto"/>
          <w:szCs w:val="22"/>
        </w:rPr>
        <w:t>it will shatter and crush</w:t>
      </w:r>
      <w:r w:rsidRPr="00B740B4">
        <w:t xml:space="preserve"> </w:t>
      </w:r>
      <w:r w:rsidRPr="00B740B4">
        <w:rPr>
          <w:rStyle w:val="fnref"/>
        </w:rPr>
        <w:t>d</w:t>
      </w:r>
      <w:r w:rsidR="00A0764A" w:rsidRPr="00B740B4">
        <w:rPr>
          <w:rStyle w:val="i"/>
          <w:color w:val="auto"/>
          <w:szCs w:val="22"/>
        </w:rPr>
        <w:t>all these</w:t>
      </w:r>
      <w:r w:rsidRPr="00B740B4">
        <w:rPr>
          <w:rStyle w:val="i"/>
          <w:color w:val="auto"/>
          <w:szCs w:val="22"/>
        </w:rPr>
        <w:t>.</w:t>
      </w:r>
      <w:r w:rsidRPr="00B740B4">
        <w:rPr>
          <w:rStyle w:val="fnref"/>
        </w:rPr>
        <w:t>d</w:t>
      </w:r>
      <w:r w:rsidRPr="00B740B4">
        <w:t xml:space="preserve"> </w:t>
      </w:r>
      <w:r w:rsidRPr="00B740B4">
        <w:rPr>
          <w:rStyle w:val="ver"/>
        </w:rPr>
        <w:t>41</w:t>
      </w:r>
      <w:r w:rsidRPr="00B740B4">
        <w:rPr>
          <w:rStyle w:val="i"/>
          <w:color w:val="auto"/>
          <w:szCs w:val="22"/>
        </w:rPr>
        <w:t>But in that you saw the feet and toes</w:t>
      </w:r>
      <w:r w:rsidRPr="00B740B4">
        <w:rPr>
          <w:rStyle w:val="fnref"/>
        </w:rPr>
        <w:t>a</w:t>
      </w:r>
      <w:r w:rsidRPr="00B740B4">
        <w:t xml:space="preserve"> </w:t>
      </w:r>
      <w:r w:rsidRPr="00B740B4">
        <w:rPr>
          <w:rStyle w:val="i"/>
          <w:color w:val="auto"/>
          <w:szCs w:val="22"/>
        </w:rPr>
        <w:t>made partly of clay</w:t>
      </w:r>
      <w:r w:rsidRPr="00B740B4">
        <w:rPr>
          <w:rStyle w:val="fnref"/>
        </w:rPr>
        <w:t>b</w:t>
      </w:r>
      <w:r w:rsidRPr="00B740B4">
        <w:t xml:space="preserve"> </w:t>
      </w:r>
      <w:r w:rsidRPr="00B740B4">
        <w:rPr>
          <w:rStyle w:val="i"/>
          <w:color w:val="auto"/>
          <w:szCs w:val="22"/>
        </w:rPr>
        <w:t>pottery and partly of iron, it will be a split</w:t>
      </w:r>
      <w:r w:rsidRPr="00B740B4">
        <w:rPr>
          <w:rStyle w:val="fnref"/>
        </w:rPr>
        <w:t>c</w:t>
      </w:r>
      <w:r w:rsidRPr="00B740B4">
        <w:t xml:space="preserve"> </w:t>
      </w:r>
      <w:r w:rsidRPr="00B740B4">
        <w:rPr>
          <w:rStyle w:val="i"/>
          <w:color w:val="auto"/>
          <w:szCs w:val="22"/>
        </w:rPr>
        <w:t>regime, thoug</w:t>
      </w:r>
      <w:r w:rsidR="000B01AE" w:rsidRPr="00B740B4">
        <w:rPr>
          <w:rStyle w:val="i"/>
          <w:color w:val="auto"/>
          <w:szCs w:val="22"/>
        </w:rPr>
        <w:t>h it will have some of the firm</w:t>
      </w:r>
      <w:r w:rsidRPr="00B740B4">
        <w:rPr>
          <w:rStyle w:val="i"/>
          <w:color w:val="auto"/>
          <w:szCs w:val="22"/>
        </w:rPr>
        <w:t>ness</w:t>
      </w:r>
      <w:r w:rsidRPr="00B740B4">
        <w:rPr>
          <w:rStyle w:val="fnref"/>
        </w:rPr>
        <w:t>d</w:t>
      </w:r>
      <w:r w:rsidRPr="00B740B4">
        <w:t xml:space="preserve"> </w:t>
      </w:r>
      <w:r w:rsidRPr="00B740B4">
        <w:rPr>
          <w:rStyle w:val="i"/>
          <w:color w:val="auto"/>
          <w:szCs w:val="22"/>
        </w:rPr>
        <w:t>of iron. In that you saw iron united with the earthen</w:t>
      </w:r>
      <w:r w:rsidRPr="00B740B4">
        <w:rPr>
          <w:rStyle w:val="fnref"/>
        </w:rPr>
        <w:t>e</w:t>
      </w:r>
      <w:r w:rsidRPr="00B740B4">
        <w:t xml:space="preserve"> </w:t>
      </w:r>
      <w:r w:rsidRPr="00B740B4">
        <w:rPr>
          <w:rStyle w:val="i"/>
          <w:color w:val="auto"/>
          <w:szCs w:val="22"/>
        </w:rPr>
        <w:t>pottery,</w:t>
      </w:r>
      <w:r w:rsidRPr="00B740B4">
        <w:t xml:space="preserve"> </w:t>
      </w:r>
      <w:r w:rsidRPr="00B740B4">
        <w:rPr>
          <w:rStyle w:val="ver"/>
        </w:rPr>
        <w:t>42</w:t>
      </w:r>
      <w:r w:rsidRPr="00B740B4">
        <w:rPr>
          <w:rStyle w:val="fnref"/>
        </w:rPr>
        <w:t>a</w:t>
      </w:r>
      <w:r w:rsidRPr="00B740B4">
        <w:rPr>
          <w:rStyle w:val="i"/>
          <w:color w:val="auto"/>
          <w:szCs w:val="22"/>
        </w:rPr>
        <w:t>and the toes of</w:t>
      </w:r>
      <w:r w:rsidRPr="00B740B4">
        <w:rPr>
          <w:rStyle w:val="fnref"/>
        </w:rPr>
        <w:t>a</w:t>
      </w:r>
      <w:r w:rsidRPr="00B740B4">
        <w:t xml:space="preserve"> </w:t>
      </w:r>
      <w:r w:rsidR="00D94FED" w:rsidRPr="00B740B4">
        <w:rPr>
          <w:rStyle w:val="i"/>
          <w:color w:val="auto"/>
          <w:szCs w:val="22"/>
        </w:rPr>
        <w:t>the feet part of them iron and part of them</w:t>
      </w:r>
      <w:r w:rsidRPr="00B740B4">
        <w:rPr>
          <w:rStyle w:val="i"/>
          <w:color w:val="auto"/>
          <w:szCs w:val="22"/>
        </w:rPr>
        <w:t xml:space="preserve"> pottery, to some extent</w:t>
      </w:r>
      <w:r w:rsidRPr="00B740B4">
        <w:rPr>
          <w:rStyle w:val="fnref"/>
        </w:rPr>
        <w:t>b</w:t>
      </w:r>
      <w:r w:rsidRPr="00B740B4">
        <w:t xml:space="preserve"> </w:t>
      </w:r>
      <w:r w:rsidRPr="00B740B4">
        <w:rPr>
          <w:rStyle w:val="i"/>
          <w:color w:val="auto"/>
          <w:szCs w:val="22"/>
        </w:rPr>
        <w:t>the regime will be strong, but in part it will be fragile.</w:t>
      </w:r>
      <w:r w:rsidRPr="00B740B4">
        <w:t xml:space="preserve"> </w:t>
      </w:r>
      <w:r w:rsidRPr="00B740B4">
        <w:rPr>
          <w:rStyle w:val="ver"/>
        </w:rPr>
        <w:t>43</w:t>
      </w:r>
      <w:r w:rsidRPr="00B740B4">
        <w:rPr>
          <w:rStyle w:val="i"/>
          <w:color w:val="auto"/>
          <w:szCs w:val="22"/>
        </w:rPr>
        <w:t>In that you saw the iron united with clay pottery,</w:t>
      </w:r>
      <w:r w:rsidRPr="00B740B4">
        <w:t xml:space="preserve"> </w:t>
      </w:r>
      <w:r w:rsidRPr="00B740B4">
        <w:rPr>
          <w:rStyle w:val="fnref"/>
        </w:rPr>
        <w:t>a</w:t>
      </w:r>
      <w:r w:rsidRPr="00B740B4">
        <w:rPr>
          <w:rStyle w:val="i"/>
          <w:color w:val="auto"/>
          <w:szCs w:val="22"/>
        </w:rPr>
        <w:t>human beings will unite,</w:t>
      </w:r>
      <w:r w:rsidRPr="00B740B4">
        <w:rPr>
          <w:rStyle w:val="fnref"/>
        </w:rPr>
        <w:t>a</w:t>
      </w:r>
      <w:r w:rsidRPr="00B740B4">
        <w:t xml:space="preserve"> </w:t>
      </w:r>
      <w:r w:rsidRPr="00B740B4">
        <w:rPr>
          <w:rStyle w:val="i"/>
          <w:color w:val="auto"/>
          <w:szCs w:val="22"/>
        </w:rPr>
        <w:t>but they will not hold together, just as</w:t>
      </w:r>
      <w:r w:rsidRPr="00B740B4">
        <w:rPr>
          <w:rStyle w:val="fnref"/>
        </w:rPr>
        <w:t>b</w:t>
      </w:r>
      <w:r w:rsidRPr="00B740B4">
        <w:t xml:space="preserve"> </w:t>
      </w:r>
      <w:r w:rsidRPr="00B740B4">
        <w:rPr>
          <w:rStyle w:val="i"/>
          <w:color w:val="auto"/>
          <w:szCs w:val="22"/>
        </w:rPr>
        <w:t>iron does not unite with pottery.</w:t>
      </w:r>
      <w:r w:rsidRPr="00B740B4">
        <w:t xml:space="preserve"> </w:t>
      </w:r>
    </w:p>
    <w:p w:rsidR="00124267" w:rsidRPr="00B740B4" w:rsidRDefault="00124267" w:rsidP="00124267">
      <w:r w:rsidRPr="00B740B4">
        <w:rPr>
          <w:rStyle w:val="ver"/>
        </w:rPr>
        <w:lastRenderedPageBreak/>
        <w:t>44</w:t>
      </w:r>
      <w:r w:rsidRPr="00B740B4">
        <w:rPr>
          <w:rStyle w:val="i"/>
          <w:color w:val="auto"/>
          <w:szCs w:val="22"/>
        </w:rPr>
        <w:t xml:space="preserve">And in the time of those kings the God of </w:t>
      </w:r>
      <w:r w:rsidR="00E025B5" w:rsidRPr="00B740B4">
        <w:rPr>
          <w:rStyle w:val="i"/>
          <w:color w:val="auto"/>
          <w:szCs w:val="22"/>
        </w:rPr>
        <w:t xml:space="preserve">the </w:t>
      </w:r>
      <w:r w:rsidRPr="00B740B4">
        <w:rPr>
          <w:rStyle w:val="i"/>
          <w:color w:val="auto"/>
          <w:szCs w:val="22"/>
        </w:rPr>
        <w:t>heaven</w:t>
      </w:r>
      <w:r w:rsidR="00E025B5" w:rsidRPr="00B740B4">
        <w:rPr>
          <w:rStyle w:val="i"/>
          <w:color w:val="auto"/>
          <w:szCs w:val="22"/>
        </w:rPr>
        <w:t>s</w:t>
      </w:r>
      <w:r w:rsidR="004D7FC6">
        <w:rPr>
          <w:rStyle w:val="i"/>
          <w:color w:val="auto"/>
          <w:szCs w:val="22"/>
        </w:rPr>
        <w:t xml:space="preserve"> will </w:t>
      </w:r>
      <w:r w:rsidR="00A0764A" w:rsidRPr="00B740B4">
        <w:rPr>
          <w:rStyle w:val="i"/>
          <w:color w:val="auto"/>
          <w:szCs w:val="22"/>
        </w:rPr>
        <w:t>cause</w:t>
      </w:r>
      <w:r w:rsidRPr="00B740B4">
        <w:rPr>
          <w:rStyle w:val="i"/>
          <w:color w:val="auto"/>
          <w:szCs w:val="22"/>
        </w:rPr>
        <w:t xml:space="preserve"> a regime </w:t>
      </w:r>
      <w:r w:rsidR="00A0764A" w:rsidRPr="00B740B4">
        <w:rPr>
          <w:rStyle w:val="i"/>
          <w:color w:val="auto"/>
          <w:szCs w:val="22"/>
        </w:rPr>
        <w:t xml:space="preserve">to stand </w:t>
      </w:r>
      <w:r w:rsidRPr="00B740B4">
        <w:rPr>
          <w:rStyle w:val="i"/>
          <w:color w:val="auto"/>
          <w:szCs w:val="22"/>
        </w:rPr>
        <w:t>which will not be destroyed</w:t>
      </w:r>
      <w:r w:rsidRPr="00B740B4">
        <w:rPr>
          <w:rStyle w:val="fnref"/>
        </w:rPr>
        <w:t>a</w:t>
      </w:r>
      <w:r w:rsidRPr="00B740B4">
        <w:t xml:space="preserve"> </w:t>
      </w:r>
      <w:r w:rsidRPr="00B740B4">
        <w:rPr>
          <w:rStyle w:val="i"/>
          <w:color w:val="auto"/>
          <w:szCs w:val="22"/>
        </w:rPr>
        <w:t>through th</w:t>
      </w:r>
      <w:r w:rsidR="004D7FC6">
        <w:rPr>
          <w:rStyle w:val="i"/>
          <w:color w:val="auto"/>
          <w:szCs w:val="22"/>
        </w:rPr>
        <w:t>e ages, nor will kingly authority</w:t>
      </w:r>
      <w:r w:rsidRPr="00B740B4">
        <w:rPr>
          <w:rStyle w:val="fnref"/>
        </w:rPr>
        <w:t>b</w:t>
      </w:r>
      <w:r w:rsidRPr="00B740B4">
        <w:t xml:space="preserve"> </w:t>
      </w:r>
      <w:r w:rsidRPr="00B740B4">
        <w:rPr>
          <w:rStyle w:val="i"/>
          <w:color w:val="auto"/>
          <w:szCs w:val="22"/>
        </w:rPr>
        <w:t>pass to any other people. It will finally shatter all those regimes but will itself stand through the ages,</w:t>
      </w:r>
      <w:r w:rsidRPr="00B740B4">
        <w:t xml:space="preserve"> </w:t>
      </w:r>
      <w:r w:rsidRPr="00B740B4">
        <w:rPr>
          <w:rStyle w:val="ver"/>
        </w:rPr>
        <w:t>45</w:t>
      </w:r>
      <w:r w:rsidRPr="00B740B4">
        <w:rPr>
          <w:rStyle w:val="i"/>
          <w:color w:val="auto"/>
          <w:szCs w:val="22"/>
        </w:rPr>
        <w:t>insofar as you saw that a rock broke away from the crag without being touched, and shattered the</w:t>
      </w:r>
      <w:r w:rsidRPr="00B740B4">
        <w:t xml:space="preserve"> </w:t>
      </w:r>
      <w:r w:rsidRPr="00B740B4">
        <w:rPr>
          <w:rStyle w:val="fnref"/>
        </w:rPr>
        <w:t>a</w:t>
      </w:r>
      <w:r w:rsidRPr="00B740B4">
        <w:rPr>
          <w:rStyle w:val="i"/>
          <w:color w:val="auto"/>
          <w:szCs w:val="22"/>
        </w:rPr>
        <w:t>iron, bronze, pottery, silver, and gold.</w:t>
      </w:r>
      <w:r w:rsidR="00934A11" w:rsidRPr="00B740B4">
        <w:rPr>
          <w:rStyle w:val="i"/>
          <w:color w:val="auto"/>
          <w:szCs w:val="22"/>
        </w:rPr>
        <w:t>”</w:t>
      </w:r>
      <w:r w:rsidRPr="00B740B4">
        <w:rPr>
          <w:rStyle w:val="fnref"/>
        </w:rPr>
        <w:t>a</w:t>
      </w:r>
    </w:p>
    <w:p w:rsidR="00124267" w:rsidRPr="00B740B4" w:rsidRDefault="00934A11" w:rsidP="00124267">
      <w:r w:rsidRPr="00B740B4">
        <w:rPr>
          <w:rStyle w:val="i"/>
          <w:color w:val="auto"/>
          <w:szCs w:val="22"/>
        </w:rPr>
        <w:t>“</w:t>
      </w:r>
      <w:r w:rsidR="00124267" w:rsidRPr="00B740B4">
        <w:rPr>
          <w:rStyle w:val="i"/>
          <w:color w:val="auto"/>
          <w:szCs w:val="22"/>
        </w:rPr>
        <w:t>God Almighty</w:t>
      </w:r>
      <w:r w:rsidR="00124267" w:rsidRPr="00B740B4">
        <w:rPr>
          <w:rStyle w:val="fnref"/>
        </w:rPr>
        <w:t>b</w:t>
      </w:r>
      <w:r w:rsidR="00124267" w:rsidRPr="00B740B4">
        <w:t xml:space="preserve"> </w:t>
      </w:r>
      <w:r w:rsidR="00124267" w:rsidRPr="00B740B4">
        <w:rPr>
          <w:rStyle w:val="i"/>
          <w:color w:val="auto"/>
          <w:szCs w:val="22"/>
        </w:rPr>
        <w:t>has let your majesty know what is to happen in the future. The dream is true. Its interpretation is trustworthy.</w:t>
      </w:r>
      <w:r w:rsidRPr="00B740B4">
        <w:rPr>
          <w:rStyle w:val="i"/>
          <w:color w:val="auto"/>
          <w:szCs w:val="22"/>
        </w:rPr>
        <w:t>”</w:t>
      </w:r>
    </w:p>
    <w:p w:rsidR="00124267" w:rsidRPr="00B740B4" w:rsidRDefault="00124267" w:rsidP="00124267">
      <w:r w:rsidRPr="00B740B4">
        <w:rPr>
          <w:rStyle w:val="ver"/>
        </w:rPr>
        <w:t>46</w:t>
      </w:r>
      <w:r w:rsidR="00962BBD" w:rsidRPr="00B740B4">
        <w:rPr>
          <w:rStyle w:val="i"/>
          <w:color w:val="auto"/>
          <w:szCs w:val="22"/>
        </w:rPr>
        <w:t xml:space="preserve">Then King </w:t>
      </w:r>
      <w:r w:rsidR="00962BBD" w:rsidRPr="00B740B4">
        <w:rPr>
          <w:i/>
          <w:lang w:val="en-GB"/>
        </w:rPr>
        <w:t>Nebukadne’</w:t>
      </w:r>
      <w:r w:rsidR="00962BBD" w:rsidRPr="00B740B4">
        <w:rPr>
          <w:i/>
        </w:rPr>
        <w:t>ṣṣ</w:t>
      </w:r>
      <w:r w:rsidR="00962BBD" w:rsidRPr="00B740B4">
        <w:rPr>
          <w:i/>
          <w:lang w:val="en-GB"/>
        </w:rPr>
        <w:t>ar</w:t>
      </w:r>
      <w:r w:rsidRPr="00B740B4">
        <w:rPr>
          <w:rStyle w:val="i"/>
          <w:color w:val="auto"/>
          <w:szCs w:val="22"/>
        </w:rPr>
        <w:t xml:space="preserve"> fell on his face, prostrate,</w:t>
      </w:r>
      <w:r w:rsidRPr="00B740B4">
        <w:rPr>
          <w:rStyle w:val="fnref"/>
        </w:rPr>
        <w:t>a</w:t>
      </w:r>
      <w:r w:rsidRPr="00B740B4">
        <w:t xml:space="preserve"> </w:t>
      </w:r>
      <w:r w:rsidRPr="00B740B4">
        <w:rPr>
          <w:rStyle w:val="i"/>
          <w:color w:val="auto"/>
          <w:szCs w:val="22"/>
        </w:rPr>
        <w:t>before Dani</w:t>
      </w:r>
      <w:r w:rsidR="00962BBD" w:rsidRPr="00B740B4">
        <w:rPr>
          <w:rStyle w:val="i"/>
          <w:color w:val="auto"/>
          <w:szCs w:val="22"/>
        </w:rPr>
        <w:t>yy</w:t>
      </w:r>
      <w:r w:rsidRPr="00B740B4">
        <w:rPr>
          <w:rStyle w:val="i"/>
          <w:color w:val="auto"/>
          <w:szCs w:val="22"/>
        </w:rPr>
        <w:t>e</w:t>
      </w:r>
      <w:r w:rsidR="00962BBD" w:rsidRPr="00B740B4">
        <w:rPr>
          <w:rStyle w:val="i"/>
          <w:color w:val="auto"/>
          <w:szCs w:val="22"/>
        </w:rPr>
        <w:t>’</w:t>
      </w:r>
      <w:r w:rsidRPr="00B740B4">
        <w:rPr>
          <w:rStyle w:val="i"/>
          <w:color w:val="auto"/>
          <w:szCs w:val="22"/>
        </w:rPr>
        <w:t>l. He said that an offering and fragrant oblations</w:t>
      </w:r>
      <w:r w:rsidRPr="00B740B4">
        <w:rPr>
          <w:rStyle w:val="fnref"/>
        </w:rPr>
        <w:t>b</w:t>
      </w:r>
      <w:r w:rsidRPr="00B740B4">
        <w:t xml:space="preserve"> </w:t>
      </w:r>
      <w:r w:rsidRPr="00B740B4">
        <w:rPr>
          <w:rStyle w:val="i"/>
          <w:color w:val="auto"/>
          <w:szCs w:val="22"/>
        </w:rPr>
        <w:t>were to be presented to him.</w:t>
      </w:r>
      <w:r w:rsidRPr="00B740B4">
        <w:t xml:space="preserve"> </w:t>
      </w:r>
      <w:r w:rsidRPr="00B740B4">
        <w:rPr>
          <w:rStyle w:val="ver"/>
        </w:rPr>
        <w:t>47</w:t>
      </w:r>
      <w:r w:rsidR="00940B76" w:rsidRPr="00B740B4">
        <w:rPr>
          <w:rStyle w:val="i"/>
          <w:color w:val="auto"/>
          <w:szCs w:val="22"/>
        </w:rPr>
        <w:t>The king averr</w:t>
      </w:r>
      <w:r w:rsidRPr="00B740B4">
        <w:rPr>
          <w:rStyle w:val="i"/>
          <w:color w:val="auto"/>
          <w:szCs w:val="22"/>
        </w:rPr>
        <w:t>ed to Dani</w:t>
      </w:r>
      <w:r w:rsidR="00962BBD" w:rsidRPr="00B740B4">
        <w:rPr>
          <w:rStyle w:val="i"/>
          <w:color w:val="auto"/>
          <w:szCs w:val="22"/>
        </w:rPr>
        <w:t>yy</w:t>
      </w:r>
      <w:r w:rsidRPr="00B740B4">
        <w:rPr>
          <w:rStyle w:val="i"/>
          <w:color w:val="auto"/>
          <w:szCs w:val="22"/>
        </w:rPr>
        <w:t>e</w:t>
      </w:r>
      <w:r w:rsidR="00962BBD" w:rsidRPr="00B740B4">
        <w:rPr>
          <w:rStyle w:val="i"/>
          <w:color w:val="auto"/>
          <w:szCs w:val="22"/>
        </w:rPr>
        <w:t>’</w:t>
      </w:r>
      <w:r w:rsidRPr="00B740B4">
        <w:rPr>
          <w:rStyle w:val="i"/>
          <w:color w:val="auto"/>
          <w:szCs w:val="22"/>
        </w:rPr>
        <w:t xml:space="preserve">l, </w:t>
      </w:r>
      <w:r w:rsidR="00934A11" w:rsidRPr="00B740B4">
        <w:rPr>
          <w:rStyle w:val="i"/>
          <w:color w:val="auto"/>
          <w:szCs w:val="22"/>
        </w:rPr>
        <w:t>“</w:t>
      </w:r>
      <w:r w:rsidR="00D94FED" w:rsidRPr="00B740B4">
        <w:rPr>
          <w:rStyle w:val="i"/>
          <w:color w:val="auto"/>
          <w:szCs w:val="22"/>
        </w:rPr>
        <w:t xml:space="preserve">Of a truth your God is </w:t>
      </w:r>
      <w:r w:rsidRPr="00B740B4">
        <w:rPr>
          <w:rStyle w:val="fnref"/>
        </w:rPr>
        <w:t>a</w:t>
      </w:r>
      <w:r w:rsidRPr="00B740B4">
        <w:rPr>
          <w:rStyle w:val="i"/>
          <w:color w:val="auto"/>
          <w:szCs w:val="22"/>
        </w:rPr>
        <w:t>God among gods, Master among kings, and Revealer of mysteries,</w:t>
      </w:r>
      <w:r w:rsidRPr="00B740B4">
        <w:rPr>
          <w:rStyle w:val="fnref"/>
        </w:rPr>
        <w:t>a</w:t>
      </w:r>
      <w:r w:rsidRPr="00B740B4">
        <w:t xml:space="preserve"> </w:t>
      </w:r>
      <w:r w:rsidRPr="00B740B4">
        <w:rPr>
          <w:rStyle w:val="i"/>
          <w:color w:val="auto"/>
          <w:szCs w:val="22"/>
        </w:rPr>
        <w:t>since you have been able to reveal this mystery.</w:t>
      </w:r>
      <w:r w:rsidR="00934A11" w:rsidRPr="00B740B4">
        <w:rPr>
          <w:rStyle w:val="i"/>
          <w:color w:val="auto"/>
          <w:szCs w:val="22"/>
        </w:rPr>
        <w:t>”</w:t>
      </w:r>
      <w:r w:rsidRPr="00B740B4">
        <w:t xml:space="preserve"> </w:t>
      </w:r>
      <w:r w:rsidRPr="00B740B4">
        <w:rPr>
          <w:rStyle w:val="ver"/>
        </w:rPr>
        <w:t>48</w:t>
      </w:r>
      <w:r w:rsidR="002F392E">
        <w:rPr>
          <w:rStyle w:val="i"/>
          <w:color w:val="auto"/>
          <w:szCs w:val="22"/>
        </w:rPr>
        <w:t>T</w:t>
      </w:r>
      <w:r w:rsidRPr="00B740B4">
        <w:rPr>
          <w:rStyle w:val="i"/>
          <w:color w:val="auto"/>
          <w:szCs w:val="22"/>
        </w:rPr>
        <w:t>he king elevated Dani</w:t>
      </w:r>
      <w:r w:rsidR="00962BBD" w:rsidRPr="00B740B4">
        <w:rPr>
          <w:rStyle w:val="i"/>
          <w:color w:val="auto"/>
          <w:szCs w:val="22"/>
        </w:rPr>
        <w:t>yy</w:t>
      </w:r>
      <w:r w:rsidRPr="00B740B4">
        <w:rPr>
          <w:rStyle w:val="i"/>
          <w:color w:val="auto"/>
          <w:szCs w:val="22"/>
        </w:rPr>
        <w:t>e</w:t>
      </w:r>
      <w:r w:rsidR="00962BBD" w:rsidRPr="00B740B4">
        <w:rPr>
          <w:rStyle w:val="i"/>
          <w:color w:val="auto"/>
          <w:szCs w:val="22"/>
        </w:rPr>
        <w:t>’</w:t>
      </w:r>
      <w:r w:rsidRPr="00B740B4">
        <w:rPr>
          <w:rStyle w:val="i"/>
          <w:color w:val="auto"/>
          <w:szCs w:val="22"/>
        </w:rPr>
        <w:t>l. He gave him many great gifts and would have made</w:t>
      </w:r>
      <w:r w:rsidRPr="00B740B4">
        <w:rPr>
          <w:rStyle w:val="fnref"/>
        </w:rPr>
        <w:t>a</w:t>
      </w:r>
      <w:r w:rsidRPr="00B740B4">
        <w:t xml:space="preserve"> </w:t>
      </w:r>
      <w:r w:rsidRPr="00B740B4">
        <w:rPr>
          <w:rStyle w:val="i"/>
          <w:color w:val="auto"/>
          <w:szCs w:val="22"/>
        </w:rPr>
        <w:t>him governor over the en</w:t>
      </w:r>
      <w:r w:rsidR="00962BBD" w:rsidRPr="00B740B4">
        <w:rPr>
          <w:rStyle w:val="i"/>
          <w:color w:val="auto"/>
          <w:szCs w:val="22"/>
        </w:rPr>
        <w:t>tire province of Babel</w:t>
      </w:r>
      <w:r w:rsidRPr="00B740B4">
        <w:rPr>
          <w:rStyle w:val="i"/>
          <w:color w:val="auto"/>
          <w:szCs w:val="22"/>
        </w:rPr>
        <w:t xml:space="preserve"> and chief offic</w:t>
      </w:r>
      <w:r w:rsidR="00E025B5" w:rsidRPr="00B740B4">
        <w:rPr>
          <w:rStyle w:val="i"/>
          <w:color w:val="auto"/>
          <w:szCs w:val="22"/>
        </w:rPr>
        <w:t>er over all the expert</w:t>
      </w:r>
      <w:r w:rsidR="00962BBD" w:rsidRPr="00B740B4">
        <w:rPr>
          <w:rStyle w:val="i"/>
          <w:color w:val="auto"/>
          <w:szCs w:val="22"/>
        </w:rPr>
        <w:t>s in Babel</w:t>
      </w:r>
      <w:r w:rsidRPr="00B740B4">
        <w:rPr>
          <w:rStyle w:val="i"/>
          <w:color w:val="auto"/>
          <w:szCs w:val="22"/>
        </w:rPr>
        <w:t>;</w:t>
      </w:r>
      <w:r w:rsidRPr="00B740B4">
        <w:t xml:space="preserve"> </w:t>
      </w:r>
      <w:r w:rsidRPr="00B740B4">
        <w:rPr>
          <w:rStyle w:val="ver"/>
        </w:rPr>
        <w:t>49</w:t>
      </w:r>
      <w:r w:rsidRPr="00B740B4">
        <w:rPr>
          <w:rStyle w:val="i"/>
          <w:color w:val="auto"/>
          <w:szCs w:val="22"/>
        </w:rPr>
        <w:t>but Dani</w:t>
      </w:r>
      <w:r w:rsidR="00962BBD" w:rsidRPr="00B740B4">
        <w:rPr>
          <w:rStyle w:val="i"/>
          <w:color w:val="auto"/>
          <w:szCs w:val="22"/>
        </w:rPr>
        <w:t>yy</w:t>
      </w:r>
      <w:r w:rsidRPr="00B740B4">
        <w:rPr>
          <w:rStyle w:val="i"/>
          <w:color w:val="auto"/>
          <w:szCs w:val="22"/>
        </w:rPr>
        <w:t>e</w:t>
      </w:r>
      <w:r w:rsidR="00962BBD" w:rsidRPr="00B740B4">
        <w:rPr>
          <w:rStyle w:val="i"/>
          <w:color w:val="auto"/>
          <w:szCs w:val="22"/>
        </w:rPr>
        <w:t>’</w:t>
      </w:r>
      <w:r w:rsidRPr="00B740B4">
        <w:rPr>
          <w:rStyle w:val="i"/>
          <w:color w:val="auto"/>
          <w:szCs w:val="22"/>
        </w:rPr>
        <w:t>l asked the king to appoint</w:t>
      </w:r>
      <w:r w:rsidRPr="00B740B4">
        <w:rPr>
          <w:rStyle w:val="fnref"/>
        </w:rPr>
        <w:t>a</w:t>
      </w:r>
      <w:r w:rsidRPr="00B740B4">
        <w:t xml:space="preserve"> </w:t>
      </w:r>
      <w:r w:rsidR="005F68BF">
        <w:rPr>
          <w:rStyle w:val="i"/>
          <w:color w:val="auto"/>
          <w:szCs w:val="22"/>
        </w:rPr>
        <w:t>Š</w:t>
      </w:r>
      <w:r w:rsidR="00962BBD" w:rsidRPr="00B740B4">
        <w:rPr>
          <w:rStyle w:val="i"/>
          <w:color w:val="auto"/>
          <w:szCs w:val="22"/>
        </w:rPr>
        <w:t>adrak, Me</w:t>
      </w:r>
      <w:r w:rsidR="005F68BF">
        <w:rPr>
          <w:rStyle w:val="i"/>
          <w:color w:val="auto"/>
          <w:szCs w:val="22"/>
        </w:rPr>
        <w:t>š</w:t>
      </w:r>
      <w:r w:rsidR="00962BBD" w:rsidRPr="00B740B4">
        <w:rPr>
          <w:rStyle w:val="i"/>
          <w:color w:val="auto"/>
          <w:szCs w:val="22"/>
        </w:rPr>
        <w:t>ak</w:t>
      </w:r>
      <w:r w:rsidRPr="00B740B4">
        <w:rPr>
          <w:rStyle w:val="i"/>
          <w:color w:val="auto"/>
          <w:szCs w:val="22"/>
        </w:rPr>
        <w:t xml:space="preserve">, and </w:t>
      </w:r>
      <w:r w:rsidR="004D7FC6">
        <w:rPr>
          <w:rStyle w:val="i"/>
          <w:color w:val="auto"/>
          <w:szCs w:val="22"/>
        </w:rPr>
        <w:t>‘</w:t>
      </w:r>
      <w:r w:rsidR="005C24CD">
        <w:rPr>
          <w:rStyle w:val="i"/>
          <w:color w:val="auto"/>
          <w:szCs w:val="22"/>
        </w:rPr>
        <w:t>Abed N</w:t>
      </w:r>
      <w:r w:rsidRPr="00B740B4">
        <w:rPr>
          <w:rStyle w:val="i"/>
          <w:color w:val="auto"/>
          <w:szCs w:val="22"/>
        </w:rPr>
        <w:t>ego over the administr</w:t>
      </w:r>
      <w:r w:rsidR="00962BBD" w:rsidRPr="00B740B4">
        <w:rPr>
          <w:rStyle w:val="i"/>
          <w:color w:val="auto"/>
          <w:szCs w:val="22"/>
        </w:rPr>
        <w:t>ation of the province of Babel</w:t>
      </w:r>
      <w:r w:rsidRPr="00B740B4">
        <w:rPr>
          <w:rStyle w:val="i"/>
          <w:color w:val="auto"/>
          <w:szCs w:val="22"/>
        </w:rPr>
        <w:t>, Dani</w:t>
      </w:r>
      <w:r w:rsidR="00962BBD" w:rsidRPr="00B740B4">
        <w:rPr>
          <w:rStyle w:val="i"/>
          <w:color w:val="auto"/>
          <w:szCs w:val="22"/>
        </w:rPr>
        <w:t>yy</w:t>
      </w:r>
      <w:r w:rsidRPr="00B740B4">
        <w:rPr>
          <w:rStyle w:val="i"/>
          <w:color w:val="auto"/>
          <w:szCs w:val="22"/>
        </w:rPr>
        <w:t>e</w:t>
      </w:r>
      <w:r w:rsidR="00962BBD" w:rsidRPr="00B740B4">
        <w:rPr>
          <w:rStyle w:val="i"/>
          <w:color w:val="auto"/>
          <w:szCs w:val="22"/>
        </w:rPr>
        <w:t>’</w:t>
      </w:r>
      <w:r w:rsidR="009661E0">
        <w:rPr>
          <w:rStyle w:val="i"/>
          <w:color w:val="auto"/>
          <w:szCs w:val="22"/>
        </w:rPr>
        <w:t>l being at the king’s</w:t>
      </w:r>
      <w:r w:rsidRPr="00B740B4">
        <w:rPr>
          <w:rStyle w:val="i"/>
          <w:color w:val="auto"/>
          <w:szCs w:val="22"/>
        </w:rPr>
        <w:t xml:space="preserve"> court.</w:t>
      </w:r>
      <w:r w:rsidRPr="00B740B4">
        <w:rPr>
          <w:rStyle w:val="fnref"/>
        </w:rPr>
        <w:t>b</w:t>
      </w:r>
    </w:p>
    <w:p w:rsidR="00C35D91" w:rsidRPr="00B740B4" w:rsidRDefault="00C35D91" w:rsidP="009479B1">
      <w:pPr>
        <w:pStyle w:val="Heading2"/>
      </w:pPr>
      <w:r w:rsidRPr="00B740B4">
        <w:t>Notes</w:t>
      </w:r>
    </w:p>
    <w:p w:rsidR="0007396F" w:rsidRPr="00B740B4" w:rsidRDefault="0007396F" w:rsidP="0007396F">
      <w:r w:rsidRPr="00B740B4">
        <w:t>1.a. One ms of OG has “twelfth”; chap. 2 does not then backtrack on chap. 1.</w:t>
      </w:r>
    </w:p>
    <w:p w:rsidR="00C35D91" w:rsidRPr="00B740B4" w:rsidRDefault="0007396F" w:rsidP="00C35D91">
      <w:r w:rsidRPr="00B740B4">
        <w:t>1.b</w:t>
      </w:r>
      <w:r w:rsidR="00DF1A53" w:rsidRPr="00B740B4">
        <w:t>. The pl. hardly</w:t>
      </w:r>
      <w:r w:rsidR="00C35D91" w:rsidRPr="00B740B4">
        <w:t xml:space="preserve"> </w:t>
      </w:r>
      <w:r w:rsidRPr="00B740B4">
        <w:t xml:space="preserve">indicates that he had a number of dreams (cf. </w:t>
      </w:r>
      <w:r w:rsidR="00C35D91" w:rsidRPr="00B740B4">
        <w:t>the double dream in Gen 41</w:t>
      </w:r>
      <w:r w:rsidRPr="00B740B4">
        <w:t>), since</w:t>
      </w:r>
      <w:r w:rsidR="002B51B1" w:rsidRPr="00B740B4">
        <w:t xml:space="preserve"> what follows refers to a single</w:t>
      </w:r>
      <w:r w:rsidRPr="00B740B4">
        <w:t xml:space="preserve"> dream;</w:t>
      </w:r>
      <w:r w:rsidR="00C35D91" w:rsidRPr="00B740B4">
        <w:t xml:space="preserve"> </w:t>
      </w:r>
      <w:r w:rsidR="00DF1A53" w:rsidRPr="00B740B4">
        <w:t>rather it is pl. of extension, suggesting the parts of the one dream (cf. GK</w:t>
      </w:r>
      <w:r w:rsidR="006236A3" w:rsidRPr="00B740B4">
        <w:t>C</w:t>
      </w:r>
      <w:r w:rsidR="00DF1A53" w:rsidRPr="00B740B4">
        <w:t xml:space="preserve"> 124). V</w:t>
      </w:r>
      <w:r w:rsidR="00C35D91" w:rsidRPr="00B740B4">
        <w:t xml:space="preserve"> 28</w:t>
      </w:r>
      <w:r w:rsidR="00DF1A53" w:rsidRPr="00B740B4">
        <w:t xml:space="preserve"> has s., then pl. for </w:t>
      </w:r>
      <w:r w:rsidR="00934A11" w:rsidRPr="00B740B4">
        <w:t>“</w:t>
      </w:r>
      <w:r w:rsidR="00DF1A53" w:rsidRPr="00B740B4">
        <w:t>visions</w:t>
      </w:r>
      <w:r w:rsidR="00934A11" w:rsidRPr="00B740B4">
        <w:t>”</w:t>
      </w:r>
      <w:r w:rsidR="00C35D91" w:rsidRPr="00B740B4">
        <w:t xml:space="preserve"> </w:t>
      </w:r>
      <w:r w:rsidR="002B6994" w:rsidRPr="00B740B4">
        <w:t>(cf. 4:5 [2</w:t>
      </w:r>
      <w:r w:rsidR="00DF1A53" w:rsidRPr="00B740B4">
        <w:t>]; 7:1)</w:t>
      </w:r>
      <w:r w:rsidR="002B51B1" w:rsidRPr="00B740B4">
        <w:t>. Thus the reference</w:t>
      </w:r>
      <w:r w:rsidR="00C35D91" w:rsidRPr="00B740B4">
        <w:t xml:space="preserve"> is to the one dream discussed by vv 2–49.</w:t>
      </w:r>
    </w:p>
    <w:p w:rsidR="00C35D91" w:rsidRPr="00B740B4" w:rsidRDefault="00763529" w:rsidP="00C35D91">
      <w:r w:rsidRPr="00B740B4">
        <w:t>1.c</w:t>
      </w:r>
      <w:r w:rsidR="00C903C9" w:rsidRPr="00B740B4">
        <w:t xml:space="preserve">. </w:t>
      </w:r>
      <w:r w:rsidR="00954AC6" w:rsidRPr="00B740B4">
        <w:t>Cf. Aq f</w:t>
      </w:r>
      <w:r w:rsidR="004D7FC6">
        <w:t>or this</w:t>
      </w:r>
      <w:r w:rsidR="00D54D3E" w:rsidRPr="00B740B4">
        <w:t xml:space="preserve"> tr</w:t>
      </w:r>
      <w:r w:rsidR="00954AC6" w:rsidRPr="00B740B4">
        <w:t>anslation</w:t>
      </w:r>
      <w:r w:rsidR="004D7FC6">
        <w:t xml:space="preserve"> of</w:t>
      </w:r>
      <w:r w:rsidR="004D7FC6" w:rsidRPr="004D7FC6">
        <w:t xml:space="preserve"> </w:t>
      </w:r>
      <w:r w:rsidR="004D7FC6" w:rsidRPr="004D7FC6">
        <w:rPr>
          <w:rFonts w:ascii="Arial" w:hAnsi="Arial" w:cs="Arial"/>
        </w:rPr>
        <w:t>על</w:t>
      </w:r>
      <w:r w:rsidR="004D7FC6" w:rsidRPr="004D7FC6">
        <w:t xml:space="preserve">  </w:t>
      </w:r>
      <w:r w:rsidR="004D7FC6" w:rsidRPr="004D7FC6">
        <w:rPr>
          <w:rFonts w:ascii="Arial" w:hAnsi="Arial" w:cs="Arial"/>
        </w:rPr>
        <w:t>נהיתה</w:t>
      </w:r>
      <w:r w:rsidR="00954AC6" w:rsidRPr="00B740B4">
        <w:t xml:space="preserve">. </w:t>
      </w:r>
      <w:r w:rsidR="00C903C9" w:rsidRPr="00B740B4">
        <w:t xml:space="preserve">G, </w:t>
      </w:r>
      <w:r w:rsidR="00954AC6" w:rsidRPr="00B740B4">
        <w:t xml:space="preserve">Sym, </w:t>
      </w:r>
      <w:r w:rsidR="00C903C9" w:rsidRPr="00B740B4">
        <w:t xml:space="preserve">Vg </w:t>
      </w:r>
      <w:r w:rsidR="00DD2524" w:rsidRPr="00B740B4">
        <w:t xml:space="preserve">translate </w:t>
      </w:r>
      <w:r w:rsidR="00934A11" w:rsidRPr="00B740B4">
        <w:t>“</w:t>
      </w:r>
      <w:r w:rsidR="002B51B1" w:rsidRPr="00B740B4">
        <w:t>went from</w:t>
      </w:r>
      <w:r w:rsidR="00C35D91" w:rsidRPr="00B740B4">
        <w:t>,</w:t>
      </w:r>
      <w:r w:rsidR="00934A11" w:rsidRPr="00B740B4">
        <w:t>”</w:t>
      </w:r>
      <w:r w:rsidR="003F14FD" w:rsidRPr="00B740B4">
        <w:t xml:space="preserve"> assimilating to 6:18 [19</w:t>
      </w:r>
      <w:r w:rsidR="00C35D91" w:rsidRPr="00B740B4">
        <w:t>], which has the same Aram</w:t>
      </w:r>
      <w:r w:rsidR="006B2C45" w:rsidRPr="00B740B4">
        <w:t>aic-style word order and also has</w:t>
      </w:r>
      <w:r w:rsidR="00C35D91" w:rsidRPr="00B740B4">
        <w:t xml:space="preserve"> על</w:t>
      </w:r>
      <w:r w:rsidR="004D7FC6">
        <w:t xml:space="preserve"> (cf. </w:t>
      </w:r>
      <w:r w:rsidR="007C758F" w:rsidRPr="00B740B4">
        <w:t xml:space="preserve">Driver, </w:t>
      </w:r>
      <w:r w:rsidR="007C758F" w:rsidRPr="00B740B4">
        <w:rPr>
          <w:i/>
        </w:rPr>
        <w:t>JSS</w:t>
      </w:r>
      <w:r w:rsidR="007C758F" w:rsidRPr="00B740B4">
        <w:t xml:space="preserve"> 9:</w:t>
      </w:r>
      <w:r w:rsidR="00954AC6" w:rsidRPr="00B740B4">
        <w:t xml:space="preserve">349). But there </w:t>
      </w:r>
      <w:r w:rsidR="00B94C88" w:rsidRPr="00B740B4">
        <w:t>the verb</w:t>
      </w:r>
      <w:r w:rsidR="00954AC6" w:rsidRPr="00B740B4">
        <w:t xml:space="preserve"> is</w:t>
      </w:r>
      <w:r w:rsidR="00B94C88" w:rsidRPr="00B740B4">
        <w:t xml:space="preserve"> </w:t>
      </w:r>
      <w:r w:rsidR="00954AC6" w:rsidRPr="00B740B4">
        <w:rPr>
          <w:rFonts w:ascii="Arial" w:hAnsi="Arial" w:cs="Arial"/>
        </w:rPr>
        <w:t>ד</w:t>
      </w:r>
      <w:r w:rsidR="00954AC6" w:rsidRPr="00B740B4">
        <w:t xml:space="preserve"> </w:t>
      </w:r>
      <w:r w:rsidR="00954AC6" w:rsidRPr="00B740B4">
        <w:rPr>
          <w:rFonts w:ascii="Arial" w:hAnsi="Arial" w:cs="Arial"/>
        </w:rPr>
        <w:t>ד</w:t>
      </w:r>
      <w:r w:rsidR="00954AC6" w:rsidRPr="00B740B4">
        <w:t xml:space="preserve"> </w:t>
      </w:r>
      <w:r w:rsidR="00954AC6" w:rsidRPr="00B740B4">
        <w:rPr>
          <w:rFonts w:ascii="Arial" w:hAnsi="Arial" w:cs="Arial"/>
        </w:rPr>
        <w:t>נ</w:t>
      </w:r>
      <w:r w:rsidR="007C758F" w:rsidRPr="00B740B4">
        <w:t xml:space="preserve">. </w:t>
      </w:r>
      <w:r w:rsidR="00954AC6" w:rsidRPr="00B740B4">
        <w:t xml:space="preserve">Here </w:t>
      </w:r>
      <w:r w:rsidR="00E95BAE">
        <w:t>the verb is</w:t>
      </w:r>
      <w:r w:rsidR="00954AC6" w:rsidRPr="00B740B4">
        <w:t xml:space="preserve"> </w:t>
      </w:r>
      <w:r w:rsidR="00C35D91" w:rsidRPr="00B740B4">
        <w:t>ni</w:t>
      </w:r>
      <w:r w:rsidR="006B2C45" w:rsidRPr="00B740B4">
        <w:t>phal of</w:t>
      </w:r>
      <w:r w:rsidR="00954AC6" w:rsidRPr="00B740B4">
        <w:t xml:space="preserve"> </w:t>
      </w:r>
      <w:r w:rsidR="00C35D91" w:rsidRPr="00B740B4">
        <w:t xml:space="preserve"> היה</w:t>
      </w:r>
      <w:r w:rsidR="007C758F" w:rsidRPr="00B740B4">
        <w:t>, perhaps with</w:t>
      </w:r>
      <w:r w:rsidR="00C35D91" w:rsidRPr="00B740B4">
        <w:t xml:space="preserve"> intensive </w:t>
      </w:r>
      <w:r w:rsidR="007C758F" w:rsidRPr="00B740B4">
        <w:t>meaning (Ogden,  VT 2</w:t>
      </w:r>
      <w:r w:rsidR="00F20AC6">
        <w:t>1:</w:t>
      </w:r>
      <w:r w:rsidR="007C758F" w:rsidRPr="00B740B4">
        <w:t>466)</w:t>
      </w:r>
      <w:r w:rsidR="002B51B1" w:rsidRPr="00B740B4">
        <w:t>, which</w:t>
      </w:r>
      <w:r w:rsidR="00954AC6" w:rsidRPr="00B740B4">
        <w:t xml:space="preserve"> fits 12:1 but not </w:t>
      </w:r>
      <w:r w:rsidR="00C35D91" w:rsidRPr="00B740B4">
        <w:t>8:27, where the most plausible ex</w:t>
      </w:r>
      <w:r w:rsidR="00954AC6" w:rsidRPr="00B740B4">
        <w:t>planation is to connect the verb</w:t>
      </w:r>
      <w:r w:rsidR="00C35D91" w:rsidRPr="00B740B4">
        <w:t xml:space="preserve"> with היה</w:t>
      </w:r>
      <w:r w:rsidR="00954AC6" w:rsidRPr="00B740B4">
        <w:t xml:space="preserve"> </w:t>
      </w:r>
      <w:r w:rsidR="00934A11" w:rsidRPr="00B740B4">
        <w:t>“</w:t>
      </w:r>
      <w:r w:rsidR="002B51B1" w:rsidRPr="00B740B4">
        <w:t>fall</w:t>
      </w:r>
      <w:r w:rsidR="00934A11" w:rsidRPr="00B740B4">
        <w:t>”</w:t>
      </w:r>
      <w:r w:rsidR="002B51B1" w:rsidRPr="00B740B4">
        <w:t>;</w:t>
      </w:r>
      <w:r w:rsidR="00954AC6" w:rsidRPr="00B740B4">
        <w:t xml:space="preserve"> </w:t>
      </w:r>
      <w:r w:rsidR="00E95BAE">
        <w:t>and one might do the same here</w:t>
      </w:r>
      <w:r w:rsidR="00954AC6" w:rsidRPr="00B740B4">
        <w:t xml:space="preserve"> and </w:t>
      </w:r>
      <w:r w:rsidR="00E95BAE">
        <w:t xml:space="preserve">in </w:t>
      </w:r>
      <w:r w:rsidR="00954AC6" w:rsidRPr="00B740B4">
        <w:t xml:space="preserve">12:1 (Rashi). </w:t>
      </w:r>
      <w:r w:rsidR="00C35D91" w:rsidRPr="00B740B4">
        <w:t>See Gen 41:4–5 for the motif of going back to sleep after being wakened by a dream.</w:t>
      </w:r>
    </w:p>
    <w:p w:rsidR="00052A7B" w:rsidRPr="00B740B4" w:rsidRDefault="00052A7B" w:rsidP="00C35D91">
      <w:pPr>
        <w:rPr>
          <w:i/>
        </w:rPr>
      </w:pPr>
      <w:r w:rsidRPr="00B740B4">
        <w:t>2.a. “Of the Kasdites” (OG</w:t>
      </w:r>
      <w:r w:rsidR="002B51B1" w:rsidRPr="00B740B4">
        <w:t>) makes sense</w:t>
      </w:r>
      <w:r w:rsidRPr="00B740B4">
        <w:t xml:space="preserve">—that is, this </w:t>
      </w:r>
      <w:r w:rsidR="002B51B1" w:rsidRPr="00B740B4">
        <w:t xml:space="preserve">fourth </w:t>
      </w:r>
      <w:r w:rsidRPr="00B740B4">
        <w:t xml:space="preserve">term designates the three groups as a whole, as in </w:t>
      </w:r>
      <w:r w:rsidR="00AF422C">
        <w:t>v</w:t>
      </w:r>
      <w:r w:rsidRPr="00B740B4">
        <w:t xml:space="preserve"> 5 (cf. Koch). But </w:t>
      </w:r>
      <w:r w:rsidR="002B51B1" w:rsidRPr="00B740B4">
        <w:t>MT simply links all four term</w:t>
      </w:r>
      <w:r w:rsidR="00A378A7" w:rsidRPr="00B740B4">
        <w:t xml:space="preserve">s with </w:t>
      </w:r>
      <w:r w:rsidR="00A378A7" w:rsidRPr="00B740B4">
        <w:rPr>
          <w:i/>
        </w:rPr>
        <w:t>waw</w:t>
      </w:r>
      <w:r w:rsidR="00A378A7" w:rsidRPr="00B740B4">
        <w:t xml:space="preserve"> and</w:t>
      </w:r>
      <w:r w:rsidR="002B51B1" w:rsidRPr="00B740B4">
        <w:t xml:space="preserve"> </w:t>
      </w:r>
      <w:r w:rsidR="00A378A7" w:rsidRPr="00B740B4">
        <w:t>offers no hint that the text should be understood in OG’s</w:t>
      </w:r>
      <w:r w:rsidRPr="00B740B4">
        <w:t xml:space="preserve"> way.</w:t>
      </w:r>
    </w:p>
    <w:p w:rsidR="00C35D91" w:rsidRPr="00B740B4" w:rsidRDefault="00C35D91" w:rsidP="00C35D91">
      <w:r w:rsidRPr="00B740B4">
        <w:t xml:space="preserve">4.a. </w:t>
      </w:r>
      <w:r w:rsidR="004D3462" w:rsidRPr="00B740B4">
        <w:t>Although</w:t>
      </w:r>
      <w:r w:rsidR="005A54F4" w:rsidRPr="00B740B4">
        <w:t xml:space="preserve"> this part of </w:t>
      </w:r>
      <w:r w:rsidR="00AF422C">
        <w:t>v</w:t>
      </w:r>
      <w:r w:rsidR="005A54F4" w:rsidRPr="00B740B4">
        <w:t xml:space="preserve"> 4 is missing in 1QDan</w:t>
      </w:r>
      <w:r w:rsidR="005A54F4" w:rsidRPr="00B740B4">
        <w:rPr>
          <w:vertAlign w:val="superscript"/>
        </w:rPr>
        <w:t>a</w:t>
      </w:r>
      <w:r w:rsidR="00BA28FE" w:rsidRPr="00B740B4">
        <w:t xml:space="preserve">, the size of the gap suggests that </w:t>
      </w:r>
      <w:r w:rsidR="00934A11" w:rsidRPr="00B740B4">
        <w:t>“</w:t>
      </w:r>
      <w:r w:rsidR="00BA28FE" w:rsidRPr="00B740B4">
        <w:t>in Aramaic</w:t>
      </w:r>
      <w:r w:rsidR="00934A11" w:rsidRPr="00B740B4">
        <w:t>”</w:t>
      </w:r>
      <w:r w:rsidR="00BA28FE" w:rsidRPr="00B740B4">
        <w:t xml:space="preserve"> was part of the text</w:t>
      </w:r>
      <w:r w:rsidR="005A54F4" w:rsidRPr="00B740B4">
        <w:t xml:space="preserve"> </w:t>
      </w:r>
      <w:r w:rsidR="00BA28FE" w:rsidRPr="00B740B4">
        <w:t xml:space="preserve">(cf. Snell, </w:t>
      </w:r>
      <w:r w:rsidR="00934A11" w:rsidRPr="00B740B4">
        <w:t>“</w:t>
      </w:r>
      <w:r w:rsidR="00BA28FE" w:rsidRPr="00B740B4">
        <w:t>Why Is There Ar</w:t>
      </w:r>
      <w:r w:rsidR="00ED00B6" w:rsidRPr="00B740B4">
        <w:t>amaic in the Bible,</w:t>
      </w:r>
      <w:r w:rsidR="00934A11" w:rsidRPr="00B740B4">
        <w:t>”</w:t>
      </w:r>
      <w:r w:rsidR="00ED00B6" w:rsidRPr="00B740B4">
        <w:t xml:space="preserve"> 36; Ulrich,</w:t>
      </w:r>
      <w:r w:rsidR="00BA28FE" w:rsidRPr="00B740B4">
        <w:t xml:space="preserve"> </w:t>
      </w:r>
      <w:r w:rsidR="00BA28FE" w:rsidRPr="00B740B4">
        <w:rPr>
          <w:rFonts w:eastAsiaTheme="minorHAnsi"/>
          <w:bCs/>
          <w:i/>
        </w:rPr>
        <w:t>Biblical Qumran Scrolls</w:t>
      </w:r>
      <w:r w:rsidR="00BF2625" w:rsidRPr="00B740B4">
        <w:rPr>
          <w:rFonts w:eastAsiaTheme="minorHAnsi"/>
          <w:bCs/>
        </w:rPr>
        <w:t xml:space="preserve">, 756; Mastin, </w:t>
      </w:r>
      <w:r w:rsidR="00934A11" w:rsidRPr="00B740B4">
        <w:rPr>
          <w:rFonts w:eastAsiaTheme="minorHAnsi"/>
          <w:bCs/>
        </w:rPr>
        <w:t>“</w:t>
      </w:r>
      <w:r w:rsidR="00BF2625" w:rsidRPr="00B740B4">
        <w:rPr>
          <w:rFonts w:eastAsiaTheme="minorHAnsi"/>
          <w:bCs/>
        </w:rPr>
        <w:t>The Reading of 1QDan</w:t>
      </w:r>
      <w:r w:rsidR="00BF2625" w:rsidRPr="00B740B4">
        <w:rPr>
          <w:rFonts w:eastAsiaTheme="minorHAnsi"/>
          <w:bCs/>
          <w:vertAlign w:val="superscript"/>
        </w:rPr>
        <w:t>a</w:t>
      </w:r>
      <w:r w:rsidR="00A378A7" w:rsidRPr="00B740B4">
        <w:rPr>
          <w:rFonts w:eastAsiaTheme="minorHAnsi"/>
          <w:bCs/>
        </w:rPr>
        <w:t xml:space="preserve"> at Daniel ii 4</w:t>
      </w:r>
      <w:r w:rsidR="00934A11" w:rsidRPr="00B740B4">
        <w:rPr>
          <w:rFonts w:eastAsiaTheme="minorHAnsi"/>
          <w:bCs/>
        </w:rPr>
        <w:t>”</w:t>
      </w:r>
      <w:r w:rsidR="00A378A7" w:rsidRPr="00B740B4">
        <w:rPr>
          <w:rFonts w:eastAsiaTheme="minorHAnsi"/>
          <w:bCs/>
        </w:rPr>
        <w:t>).</w:t>
      </w:r>
      <w:r w:rsidR="00BF2625" w:rsidRPr="00B740B4">
        <w:rPr>
          <w:rFonts w:eastAsiaTheme="minorHAnsi"/>
          <w:bCs/>
        </w:rPr>
        <w:t xml:space="preserve">  </w:t>
      </w:r>
    </w:p>
    <w:p w:rsidR="00C35D91" w:rsidRPr="00B740B4" w:rsidRDefault="00C35D91" w:rsidP="00C35D91">
      <w:r w:rsidRPr="00B740B4">
        <w:t>4.b.</w:t>
      </w:r>
      <w:r w:rsidR="00BF2806" w:rsidRPr="00B740B4">
        <w:t xml:space="preserve"> </w:t>
      </w:r>
      <w:r w:rsidR="00BF2806" w:rsidRPr="00B740B4">
        <w:rPr>
          <w:rFonts w:ascii="Arial" w:hAnsi="Arial" w:cs="Arial"/>
        </w:rPr>
        <w:t>ם</w:t>
      </w:r>
      <w:r w:rsidR="00BF2806" w:rsidRPr="00B740B4">
        <w:t xml:space="preserve"> </w:t>
      </w:r>
      <w:r w:rsidR="00BF2806" w:rsidRPr="00B740B4">
        <w:rPr>
          <w:rFonts w:ascii="Arial" w:hAnsi="Arial" w:cs="Arial"/>
        </w:rPr>
        <w:t>ל</w:t>
      </w:r>
      <w:r w:rsidR="00BF2806" w:rsidRPr="00B740B4">
        <w:t xml:space="preserve"> </w:t>
      </w:r>
      <w:r w:rsidR="00BF2806" w:rsidRPr="00B740B4">
        <w:rPr>
          <w:rFonts w:ascii="Arial" w:hAnsi="Arial" w:cs="Arial"/>
        </w:rPr>
        <w:t>ו</w:t>
      </w:r>
      <w:r w:rsidR="00BF2806" w:rsidRPr="00B740B4">
        <w:t xml:space="preserve"> </w:t>
      </w:r>
      <w:r w:rsidR="00BF2806" w:rsidRPr="00B740B4">
        <w:rPr>
          <w:rFonts w:ascii="Arial" w:hAnsi="Arial" w:cs="Arial"/>
        </w:rPr>
        <w:t>ע</w:t>
      </w:r>
      <w:r w:rsidRPr="00B740B4">
        <w:t>/עלם signifies the</w:t>
      </w:r>
      <w:r w:rsidR="00A378A7" w:rsidRPr="00B740B4">
        <w:t xml:space="preserve"> furthest possible time,</w:t>
      </w:r>
      <w:r w:rsidR="0079356A" w:rsidRPr="00B740B4">
        <w:t xml:space="preserve"> here </w:t>
      </w:r>
      <w:r w:rsidR="00A378A7" w:rsidRPr="00B740B4">
        <w:t xml:space="preserve">in the </w:t>
      </w:r>
      <w:r w:rsidR="0079356A" w:rsidRPr="00B740B4">
        <w:t>pl.</w:t>
      </w:r>
      <w:r w:rsidRPr="00B740B4">
        <w:t xml:space="preserve"> of extension (GKC 124b; cf. colloquial English </w:t>
      </w:r>
      <w:r w:rsidR="00934A11" w:rsidRPr="00B740B4">
        <w:t>“</w:t>
      </w:r>
      <w:r w:rsidRPr="00B740B4">
        <w:t>for ages</w:t>
      </w:r>
      <w:r w:rsidR="00934A11" w:rsidRPr="00B740B4">
        <w:t>”</w:t>
      </w:r>
      <w:r w:rsidRPr="00B740B4">
        <w:t xml:space="preserve">). A standard hyperbole from courtly style, it appears on the lips of the nobles at Nabopolassar’s consecration (Grayson, </w:t>
      </w:r>
      <w:r w:rsidR="00BF2806" w:rsidRPr="00B740B4">
        <w:rPr>
          <w:i/>
        </w:rPr>
        <w:t xml:space="preserve">Babylonian Historical-Literary </w:t>
      </w:r>
      <w:r w:rsidRPr="00B740B4">
        <w:rPr>
          <w:i/>
        </w:rPr>
        <w:t>Texts</w:t>
      </w:r>
      <w:r w:rsidR="00A378A7" w:rsidRPr="00B740B4">
        <w:t>, 3). See further n. 20.d</w:t>
      </w:r>
      <w:r w:rsidRPr="00B740B4">
        <w:t xml:space="preserve"> below.</w:t>
      </w:r>
    </w:p>
    <w:p w:rsidR="00C35D91" w:rsidRPr="00B740B4" w:rsidRDefault="00ED2FCE" w:rsidP="00C35D91">
      <w:r w:rsidRPr="00B740B4">
        <w:t>4.c.</w:t>
      </w:r>
      <w:r w:rsidR="000550DB">
        <w:t xml:space="preserve"> </w:t>
      </w:r>
      <w:r w:rsidR="000550DB" w:rsidRPr="000550DB">
        <w:rPr>
          <w:rFonts w:ascii="Arial" w:hAnsi="Arial" w:cs="Arial"/>
        </w:rPr>
        <w:t>ר</w:t>
      </w:r>
      <w:r w:rsidRPr="00B740B4">
        <w:t xml:space="preserve"> </w:t>
      </w:r>
      <w:r w:rsidRPr="00B740B4">
        <w:rPr>
          <w:rFonts w:ascii="Arial" w:hAnsi="Arial" w:cs="Arial"/>
        </w:rPr>
        <w:t>ש</w:t>
      </w:r>
      <w:r w:rsidR="000550DB">
        <w:rPr>
          <w:rFonts w:ascii="Arial" w:hAnsi="Arial" w:cs="Arial"/>
        </w:rPr>
        <w:t xml:space="preserve"> </w:t>
      </w:r>
      <w:r w:rsidR="000550DB" w:rsidRPr="000550DB">
        <w:rPr>
          <w:rFonts w:ascii="Arial" w:hAnsi="Arial" w:cs="Arial"/>
        </w:rPr>
        <w:t>פ</w:t>
      </w:r>
      <w:r w:rsidR="000550DB" w:rsidRPr="000550DB">
        <w:t xml:space="preserve"> </w:t>
      </w:r>
      <w:r w:rsidR="00E95BAE">
        <w:t xml:space="preserve">comes in the OT </w:t>
      </w:r>
      <w:r w:rsidRPr="00B740B4">
        <w:t>only in Dan 2–7 and</w:t>
      </w:r>
      <w:r w:rsidR="00C35D91" w:rsidRPr="00B740B4">
        <w:t xml:space="preserve"> Eccl 8:1; </w:t>
      </w:r>
      <w:r w:rsidRPr="00B740B4">
        <w:t xml:space="preserve">cf. </w:t>
      </w:r>
      <w:r w:rsidR="00C35D91" w:rsidRPr="00B740B4">
        <w:t>BH פתרון, only i</w:t>
      </w:r>
      <w:r w:rsidR="00E95BAE">
        <w:t>n Gen 40–41</w:t>
      </w:r>
      <w:r w:rsidR="00E07E42">
        <w:t>. The root denotes</w:t>
      </w:r>
      <w:r w:rsidR="00BF2806" w:rsidRPr="00B740B4">
        <w:t xml:space="preserve"> </w:t>
      </w:r>
      <w:r w:rsidR="00C35D91" w:rsidRPr="00B740B4">
        <w:t>loose</w:t>
      </w:r>
      <w:r w:rsidR="00BF2806" w:rsidRPr="00B740B4">
        <w:t>n</w:t>
      </w:r>
      <w:r w:rsidR="00E07E42">
        <w:t>ing, resolving</w:t>
      </w:r>
      <w:r w:rsidR="00C35D91" w:rsidRPr="00B740B4">
        <w:t>, or expla</w:t>
      </w:r>
      <w:r w:rsidR="00BF2806" w:rsidRPr="00B740B4">
        <w:t>in</w:t>
      </w:r>
      <w:r w:rsidR="00E07E42">
        <w:t xml:space="preserve">ing, esp. by divination or supernatural </w:t>
      </w:r>
      <w:r w:rsidR="00C35D91" w:rsidRPr="00B740B4">
        <w:t>revelation, with spec</w:t>
      </w:r>
      <w:r w:rsidR="00737EF9" w:rsidRPr="00B740B4">
        <w:t>ific reference to what is presaged by something enigmatic</w:t>
      </w:r>
      <w:r w:rsidR="00C35D91" w:rsidRPr="00B740B4">
        <w:t xml:space="preserve"> (see </w:t>
      </w:r>
      <w:r w:rsidR="00E07E42">
        <w:rPr>
          <w:i/>
        </w:rPr>
        <w:t>AHw</w:t>
      </w:r>
      <w:r w:rsidR="00C35D91" w:rsidRPr="00B740B4">
        <w:t xml:space="preserve"> on </w:t>
      </w:r>
      <w:r w:rsidR="00C35D91" w:rsidRPr="00B740B4">
        <w:rPr>
          <w:i/>
        </w:rPr>
        <w:t>pišru</w:t>
      </w:r>
      <w:r w:rsidR="007E4628" w:rsidRPr="00B740B4">
        <w:t xml:space="preserve">; Oppenheim, </w:t>
      </w:r>
      <w:r w:rsidR="00737945" w:rsidRPr="00B740B4">
        <w:t>“</w:t>
      </w:r>
      <w:r w:rsidR="007E4628" w:rsidRPr="00B740B4">
        <w:t>Interpretation of D</w:t>
      </w:r>
      <w:r w:rsidR="00277D61" w:rsidRPr="00B740B4">
        <w:t>reams</w:t>
      </w:r>
      <w:r w:rsidR="00C35D91" w:rsidRPr="00B740B4">
        <w:t>,</w:t>
      </w:r>
      <w:r w:rsidR="00934A11" w:rsidRPr="00B740B4">
        <w:t>”</w:t>
      </w:r>
      <w:r w:rsidR="00C35D91" w:rsidRPr="00B740B4">
        <w:t xml:space="preserve"> 217–25; Horgan, </w:t>
      </w:r>
      <w:r w:rsidR="00C35D91" w:rsidRPr="00B740B4">
        <w:rPr>
          <w:i/>
        </w:rPr>
        <w:t>Pesharim</w:t>
      </w:r>
      <w:r w:rsidRPr="00B740B4">
        <w:t xml:space="preserve">, 230–37; </w:t>
      </w:r>
      <w:r w:rsidR="00C35D91" w:rsidRPr="00B740B4">
        <w:t xml:space="preserve">Rabinowitz, </w:t>
      </w:r>
      <w:r w:rsidR="00934A11" w:rsidRPr="00B740B4">
        <w:t>“</w:t>
      </w:r>
      <w:r w:rsidR="00C35D91" w:rsidRPr="00B740B4">
        <w:t>‘Pesher/pit</w:t>
      </w:r>
      <w:r w:rsidR="00BF2806" w:rsidRPr="00B740B4">
        <w:t>taron’</w:t>
      </w:r>
      <w:r w:rsidR="00934A11" w:rsidRPr="00B740B4">
        <w:t>”</w:t>
      </w:r>
      <w:r w:rsidR="00C35D91" w:rsidRPr="00B740B4">
        <w:t xml:space="preserve">). </w:t>
      </w:r>
      <w:r w:rsidR="00E07E42">
        <w:t>F</w:t>
      </w:r>
      <w:r w:rsidR="00E07E42" w:rsidRPr="00E07E42">
        <w:t xml:space="preserve">or the connection with loosing, cf. 5:12. </w:t>
      </w:r>
      <w:r w:rsidR="00E07E42">
        <w:t>Thus</w:t>
      </w:r>
      <w:r w:rsidR="00E07E42" w:rsidRPr="00E07E42">
        <w:t xml:space="preserve"> arguably “‘meaning’ or ‘interpretation’ is an inadequate translation” (Lucas, </w:t>
      </w:r>
      <w:r w:rsidR="00E07E42" w:rsidRPr="00E07E42">
        <w:rPr>
          <w:i/>
        </w:rPr>
        <w:t>Daniel</w:t>
      </w:r>
      <w:r w:rsidR="00E07E42" w:rsidRPr="00E07E42">
        <w:t xml:space="preserve">, 63). </w:t>
      </w:r>
      <w:r w:rsidR="00737EF9" w:rsidRPr="00B740B4">
        <w:t>For</w:t>
      </w:r>
      <w:r w:rsidR="00737EF9" w:rsidRPr="00B740B4">
        <w:rPr>
          <w:rFonts w:ascii="Arial" w:eastAsiaTheme="minorHAnsi" w:hAnsi="Arial" w:cs="Arial"/>
        </w:rPr>
        <w:t xml:space="preserve"> </w:t>
      </w:r>
      <w:r w:rsidR="00737EF9" w:rsidRPr="00B740B4">
        <w:rPr>
          <w:rFonts w:ascii="Arial" w:hAnsi="Arial" w:cs="Arial"/>
        </w:rPr>
        <w:t>א</w:t>
      </w:r>
      <w:r w:rsidR="00737EF9" w:rsidRPr="00B740B4">
        <w:t xml:space="preserve"> </w:t>
      </w:r>
      <w:r w:rsidR="00737EF9" w:rsidRPr="00B740B4">
        <w:rPr>
          <w:rFonts w:ascii="Arial" w:hAnsi="Arial" w:cs="Arial"/>
        </w:rPr>
        <w:t>פשר</w:t>
      </w:r>
      <w:r w:rsidR="00737EF9" w:rsidRPr="00B740B4">
        <w:t xml:space="preserve"> s</w:t>
      </w:r>
      <w:r w:rsidR="00C35D91" w:rsidRPr="00B740B4">
        <w:t xml:space="preserve">ome </w:t>
      </w:r>
      <w:r w:rsidR="00BF2806" w:rsidRPr="00B740B4">
        <w:t xml:space="preserve">medieval </w:t>
      </w:r>
      <w:r w:rsidR="00E07E42">
        <w:t xml:space="preserve">mss </w:t>
      </w:r>
      <w:r w:rsidR="00C35D91" w:rsidRPr="00B740B4">
        <w:t>have</w:t>
      </w:r>
      <w:r w:rsidR="00E07E42">
        <w:t xml:space="preserve"> </w:t>
      </w:r>
      <w:r w:rsidR="00C35D91" w:rsidRPr="00B740B4">
        <w:t xml:space="preserve"> פשרה, the alternative emph</w:t>
      </w:r>
      <w:r w:rsidR="00BF2806" w:rsidRPr="00B740B4">
        <w:t>atic</w:t>
      </w:r>
      <w:r w:rsidR="00C35D91" w:rsidRPr="00B740B4">
        <w:t xml:space="preserve"> form; others</w:t>
      </w:r>
      <w:r w:rsidR="00E07E42">
        <w:t xml:space="preserve"> have</w:t>
      </w:r>
      <w:r w:rsidR="00C35D91" w:rsidRPr="00B740B4">
        <w:t xml:space="preserve"> פשרהּ (</w:t>
      </w:r>
      <w:r w:rsidR="00934A11" w:rsidRPr="00B740B4">
        <w:t>“</w:t>
      </w:r>
      <w:r w:rsidR="00C35D91" w:rsidRPr="00B740B4">
        <w:t>its interpretation</w:t>
      </w:r>
      <w:r w:rsidR="00934A11" w:rsidRPr="00B740B4">
        <w:t>”</w:t>
      </w:r>
      <w:r w:rsidR="00642630">
        <w:t>). MT, G, Vg, Syr</w:t>
      </w:r>
      <w:r w:rsidR="00C35D91" w:rsidRPr="00B740B4">
        <w:t xml:space="preserve"> show such variation through Dan 2; I follow L (and K rather than Q) throughout.</w:t>
      </w:r>
    </w:p>
    <w:p w:rsidR="00C35D91" w:rsidRPr="00B740B4" w:rsidRDefault="00C35D91" w:rsidP="00C35D91">
      <w:r w:rsidRPr="00B740B4">
        <w:t>5.a.</w:t>
      </w:r>
      <w:r w:rsidR="00750ADA" w:rsidRPr="00B740B4">
        <w:t xml:space="preserve"> MT points</w:t>
      </w:r>
      <w:r w:rsidRPr="00B740B4">
        <w:t xml:space="preserve"> ענה</w:t>
      </w:r>
      <w:r w:rsidR="00737EF9" w:rsidRPr="00B740B4">
        <w:t xml:space="preserve"> as a participle</w:t>
      </w:r>
      <w:r w:rsidR="00750ADA" w:rsidRPr="00B740B4">
        <w:t>, but</w:t>
      </w:r>
      <w:r w:rsidRPr="00B740B4">
        <w:t xml:space="preserve"> the</w:t>
      </w:r>
      <w:r w:rsidR="00750ADA" w:rsidRPr="00B740B4">
        <w:t xml:space="preserve"> more common </w:t>
      </w:r>
      <w:r w:rsidRPr="00B740B4">
        <w:t xml:space="preserve"> </w:t>
      </w:r>
      <w:r w:rsidR="00750ADA" w:rsidRPr="00B740B4">
        <w:t>pl.</w:t>
      </w:r>
      <w:r w:rsidRPr="00B740B4">
        <w:t>ענו</w:t>
      </w:r>
      <w:r w:rsidR="00737EF9" w:rsidRPr="00B740B4">
        <w:t xml:space="preserve"> is unambiguously perfect</w:t>
      </w:r>
      <w:r w:rsidR="00750ADA" w:rsidRPr="00B740B4">
        <w:t xml:space="preserve">, and perhaps </w:t>
      </w:r>
      <w:r w:rsidR="00750ADA" w:rsidRPr="00B740B4">
        <w:rPr>
          <w:rFonts w:ascii="Arial" w:hAnsi="Arial" w:cs="Arial"/>
        </w:rPr>
        <w:t>ענה</w:t>
      </w:r>
      <w:r w:rsidR="00750ADA" w:rsidRPr="00B740B4">
        <w:t xml:space="preserve"> </w:t>
      </w:r>
      <w:r w:rsidR="00737EF9" w:rsidRPr="00B740B4">
        <w:t>should be taken as perfect</w:t>
      </w:r>
      <w:r w:rsidRPr="00B740B4">
        <w:t xml:space="preserve"> too.</w:t>
      </w:r>
    </w:p>
    <w:p w:rsidR="00C35D91" w:rsidRPr="00B740B4" w:rsidRDefault="00C70B82" w:rsidP="00C35D91">
      <w:r w:rsidRPr="00B740B4">
        <w:lastRenderedPageBreak/>
        <w:t xml:space="preserve">5.b. Or </w:t>
      </w:r>
      <w:r w:rsidR="00934A11" w:rsidRPr="00B740B4">
        <w:t>“</w:t>
      </w:r>
      <w:r w:rsidRPr="00B740B4">
        <w:t>[hereby]</w:t>
      </w:r>
      <w:r w:rsidR="00141667" w:rsidRPr="00B740B4">
        <w:t xml:space="preserve"> </w:t>
      </w:r>
      <w:r w:rsidRPr="00B740B4">
        <w:t>proclaimed</w:t>
      </w:r>
      <w:r w:rsidR="00934A11" w:rsidRPr="00B740B4">
        <w:t>”</w:t>
      </w:r>
      <w:r w:rsidRPr="00B740B4">
        <w:t xml:space="preserve"> (cf. Th, Vg; OG lacks the phrase).</w:t>
      </w:r>
      <w:r w:rsidR="00C35D91" w:rsidRPr="00B740B4">
        <w:t xml:space="preserve"> On</w:t>
      </w:r>
      <w:r w:rsidRPr="00B740B4">
        <w:t xml:space="preserve"> </w:t>
      </w:r>
      <w:r w:rsidR="00C35D91" w:rsidRPr="00B740B4">
        <w:t xml:space="preserve"> אזדא</w:t>
      </w:r>
      <w:r w:rsidR="002B1BB7" w:rsidRPr="00B740B4">
        <w:t xml:space="preserve"> see </w:t>
      </w:r>
      <w:r w:rsidR="00C35D91" w:rsidRPr="00B740B4">
        <w:t>Rundgr</w:t>
      </w:r>
      <w:r w:rsidR="002B1BB7" w:rsidRPr="00B740B4">
        <w:t xml:space="preserve">en, </w:t>
      </w:r>
      <w:r w:rsidR="00934A11" w:rsidRPr="00B740B4">
        <w:t>“</w:t>
      </w:r>
      <w:r w:rsidR="002B1BB7" w:rsidRPr="00B740B4">
        <w:t>An Aramaic Loanword</w:t>
      </w:r>
      <w:r w:rsidR="00934A11" w:rsidRPr="00B740B4">
        <w:t>”</w:t>
      </w:r>
      <w:r w:rsidR="00E07E42">
        <w:t>; Happ/</w:t>
      </w:r>
      <w:r w:rsidR="00141667" w:rsidRPr="00B740B4">
        <w:t xml:space="preserve">Schmid, </w:t>
      </w:r>
      <w:r w:rsidR="00934A11" w:rsidRPr="00B740B4">
        <w:t>“</w:t>
      </w:r>
      <w:r w:rsidR="00141667" w:rsidRPr="00B740B4">
        <w:t>Zu ἀσγάνδης</w:t>
      </w:r>
      <w:r w:rsidR="00934A11" w:rsidRPr="00B740B4">
        <w:t>”</w:t>
      </w:r>
      <w:r w:rsidR="00141667" w:rsidRPr="00B740B4">
        <w:t xml:space="preserve">; </w:t>
      </w:r>
      <w:r w:rsidR="00141667" w:rsidRPr="00B740B4">
        <w:rPr>
          <w:i/>
        </w:rPr>
        <w:t>HALOT</w:t>
      </w:r>
      <w:r w:rsidR="00141667" w:rsidRPr="00B740B4">
        <w:t>.</w:t>
      </w:r>
    </w:p>
    <w:p w:rsidR="00062211" w:rsidRPr="00B740B4" w:rsidRDefault="00C35D91" w:rsidP="00062211">
      <w:pPr>
        <w:rPr>
          <w:b/>
        </w:rPr>
      </w:pPr>
      <w:r w:rsidRPr="00B740B4">
        <w:t>5.c.</w:t>
      </w:r>
      <w:r w:rsidR="00062211" w:rsidRPr="00B740B4">
        <w:t xml:space="preserve"> An OP idiom</w:t>
      </w:r>
      <w:r w:rsidR="00215DE9" w:rsidRPr="00B740B4">
        <w:t>,</w:t>
      </w:r>
      <w:r w:rsidR="00062211" w:rsidRPr="00B740B4">
        <w:t xml:space="preserve"> according to Makujina</w:t>
      </w:r>
      <w:r w:rsidR="00062211" w:rsidRPr="00B740B4">
        <w:rPr>
          <w:b/>
        </w:rPr>
        <w:t xml:space="preserve">, </w:t>
      </w:r>
      <w:r w:rsidR="00062211" w:rsidRPr="00B740B4">
        <w:t>“Dismemberment in Dan 2:5 and 3:29.”</w:t>
      </w:r>
    </w:p>
    <w:p w:rsidR="00C35D91" w:rsidRPr="00B740B4" w:rsidRDefault="00062211" w:rsidP="00C35D91">
      <w:r w:rsidRPr="00B740B4">
        <w:t>5.d.</w:t>
      </w:r>
      <w:r w:rsidR="00C35D91" w:rsidRPr="00B740B4">
        <w:t xml:space="preserve"> נולי</w:t>
      </w:r>
      <w:r w:rsidR="00141667" w:rsidRPr="00B740B4">
        <w:t xml:space="preserve">. </w:t>
      </w:r>
      <w:r w:rsidR="00934A11" w:rsidRPr="00B740B4">
        <w:t>“</w:t>
      </w:r>
      <w:r w:rsidR="00141667" w:rsidRPr="00B740B4">
        <w:t>Forfeit</w:t>
      </w:r>
      <w:r w:rsidR="00934A11" w:rsidRPr="00B740B4">
        <w:t>”</w:t>
      </w:r>
      <w:r w:rsidR="00141667" w:rsidRPr="00B740B4">
        <w:t xml:space="preserve"> (cf. G, Vg) or </w:t>
      </w:r>
      <w:r w:rsidR="00934A11" w:rsidRPr="00B740B4">
        <w:t>“</w:t>
      </w:r>
      <w:r w:rsidR="00141667" w:rsidRPr="00B740B4">
        <w:t>dunghill</w:t>
      </w:r>
      <w:r w:rsidR="00934A11" w:rsidRPr="00B740B4">
        <w:t>”</w:t>
      </w:r>
      <w:r w:rsidR="000B01AE" w:rsidRPr="00B740B4">
        <w:t xml:space="preserve"> (cf. </w:t>
      </w:r>
      <w:r w:rsidR="000B01AE" w:rsidRPr="00B740B4">
        <w:rPr>
          <w:i/>
        </w:rPr>
        <w:t>DTT</w:t>
      </w:r>
      <w:r w:rsidR="000B01AE" w:rsidRPr="00B740B4">
        <w:t>, 887</w:t>
      </w:r>
      <w:r w:rsidR="00141667" w:rsidRPr="00B740B4">
        <w:t xml:space="preserve">) may ultimately be guesses, but something </w:t>
      </w:r>
      <w:r w:rsidR="00C35D91" w:rsidRPr="00B740B4">
        <w:t xml:space="preserve">extreme is required to </w:t>
      </w:r>
      <w:r w:rsidR="00141667" w:rsidRPr="00B740B4">
        <w:t>mat</w:t>
      </w:r>
      <w:r w:rsidR="00ED00B6" w:rsidRPr="00B740B4">
        <w:t xml:space="preserve">ch </w:t>
      </w:r>
      <w:r w:rsidR="000B01AE" w:rsidRPr="00B740B4">
        <w:t>being torn limb from limb</w:t>
      </w:r>
      <w:r w:rsidR="00C35D91" w:rsidRPr="00B740B4">
        <w:t>.</w:t>
      </w:r>
    </w:p>
    <w:p w:rsidR="00C35D91" w:rsidRPr="00B740B4" w:rsidRDefault="00C35D91" w:rsidP="00C35D91">
      <w:r w:rsidRPr="00B740B4">
        <w:t>6</w:t>
      </w:r>
      <w:r w:rsidR="000B01AE" w:rsidRPr="00B740B4">
        <w:t xml:space="preserve"> </w:t>
      </w:r>
      <w:r w:rsidRPr="00B740B4">
        <w:t>.a. להן is an adversative (cf. Th πλήν). It</w:t>
      </w:r>
      <w:r w:rsidR="006C179D" w:rsidRPr="00B740B4">
        <w:t xml:space="preserve"> does not mean </w:t>
      </w:r>
      <w:r w:rsidR="00934A11" w:rsidRPr="00B740B4">
        <w:t>“</w:t>
      </w:r>
      <w:r w:rsidR="006C179D" w:rsidRPr="00B740B4">
        <w:t>therefore</w:t>
      </w:r>
      <w:r w:rsidR="00934A11" w:rsidRPr="00B740B4">
        <w:t>”</w:t>
      </w:r>
      <w:r w:rsidR="006C179D" w:rsidRPr="00B740B4">
        <w:t xml:space="preserve"> (Vg</w:t>
      </w:r>
      <w:r w:rsidR="00E07E42">
        <w:t>) in BA or BH (see</w:t>
      </w:r>
      <w:r w:rsidRPr="00B740B4">
        <w:t xml:space="preserve"> Driver, </w:t>
      </w:r>
      <w:r w:rsidR="00934A11" w:rsidRPr="00B740B4">
        <w:t>“</w:t>
      </w:r>
      <w:r w:rsidRPr="00B740B4">
        <w:t>Problems</w:t>
      </w:r>
      <w:r w:rsidR="006C179D" w:rsidRPr="00B740B4">
        <w:t xml:space="preserve"> in Aramaic and Hebrew Texts,</w:t>
      </w:r>
      <w:r w:rsidR="00934A11" w:rsidRPr="00B740B4">
        <w:t>”</w:t>
      </w:r>
      <w:r w:rsidR="006C179D" w:rsidRPr="00B740B4">
        <w:t xml:space="preserve"> 64–66; contrast</w:t>
      </w:r>
      <w:r w:rsidRPr="00B740B4">
        <w:t xml:space="preserve"> Eitan</w:t>
      </w:r>
      <w:r w:rsidR="006C179D" w:rsidRPr="00B740B4">
        <w:t xml:space="preserve">, </w:t>
      </w:r>
      <w:r w:rsidR="00934A11" w:rsidRPr="00B740B4">
        <w:t>“</w:t>
      </w:r>
      <w:r w:rsidR="006C179D" w:rsidRPr="00B740B4">
        <w:t>Some Philological Observations</w:t>
      </w:r>
      <w:r w:rsidR="00215DE9" w:rsidRPr="00B740B4">
        <w:t>,</w:t>
      </w:r>
      <w:r w:rsidR="00934A11" w:rsidRPr="00B740B4">
        <w:t>”</w:t>
      </w:r>
      <w:r w:rsidR="00215DE9" w:rsidRPr="00B740B4">
        <w:t xml:space="preserve"> 13-15</w:t>
      </w:r>
      <w:r w:rsidR="002B6994" w:rsidRPr="00B740B4">
        <w:t>). Cf. 2:9; 4:27 [24</w:t>
      </w:r>
      <w:r w:rsidRPr="00B740B4">
        <w:t>].</w:t>
      </w:r>
    </w:p>
    <w:p w:rsidR="00640363" w:rsidRPr="00B740B4" w:rsidRDefault="00215DE9" w:rsidP="00C35D91">
      <w:r w:rsidRPr="00B740B4">
        <w:t>7.a. T</w:t>
      </w:r>
      <w:r w:rsidR="00640363" w:rsidRPr="00B740B4">
        <w:t xml:space="preserve">he Kasdites </w:t>
      </w:r>
      <w:r w:rsidRPr="00B740B4">
        <w:t xml:space="preserve">move from imperative to jussive; OG repeats the imperative from </w:t>
      </w:r>
      <w:r w:rsidR="00AF422C">
        <w:t>v</w:t>
      </w:r>
      <w:r w:rsidRPr="00B740B4">
        <w:t xml:space="preserve"> 4.</w:t>
      </w:r>
    </w:p>
    <w:p w:rsidR="00C35D91" w:rsidRPr="00B740B4" w:rsidRDefault="00C35D91" w:rsidP="00C35D91">
      <w:r w:rsidRPr="00B740B4">
        <w:t xml:space="preserve">8.a. The meaning is less clear than the familiar English ‘buying time’ suggests. Like BH </w:t>
      </w:r>
      <w:r w:rsidR="006C179D" w:rsidRPr="00B740B4">
        <w:rPr>
          <w:rFonts w:ascii="Arial" w:hAnsi="Arial" w:cs="Arial"/>
        </w:rPr>
        <w:t>ת</w:t>
      </w:r>
      <w:r w:rsidRPr="00B740B4">
        <w:t>ע,ן</w:t>
      </w:r>
      <w:r w:rsidR="00B20390" w:rsidRPr="00B740B4">
        <w:t xml:space="preserve"> </w:t>
      </w:r>
      <w:r w:rsidR="00B20390" w:rsidRPr="00B740B4">
        <w:rPr>
          <w:rFonts w:ascii="Arial" w:hAnsi="Arial" w:cs="Arial"/>
        </w:rPr>
        <w:t>ד</w:t>
      </w:r>
      <w:r w:rsidR="00B20390" w:rsidRPr="00B740B4">
        <w:t xml:space="preserve"> </w:t>
      </w:r>
      <w:r w:rsidR="00B20390" w:rsidRPr="00B740B4">
        <w:rPr>
          <w:rFonts w:ascii="Arial" w:hAnsi="Arial" w:cs="Arial"/>
        </w:rPr>
        <w:t>ע</w:t>
      </w:r>
      <w:r w:rsidRPr="00B740B4">
        <w:t xml:space="preserve"> denotes not time in general but a specific time</w:t>
      </w:r>
      <w:r w:rsidR="00215DE9" w:rsidRPr="00B740B4">
        <w:t xml:space="preserve">—a time </w:t>
      </w:r>
      <w:r w:rsidRPr="00B740B4">
        <w:t>during which to con</w:t>
      </w:r>
      <w:r w:rsidR="00215DE9" w:rsidRPr="00B740B4">
        <w:t xml:space="preserve">coct an answer to the conundrum or a </w:t>
      </w:r>
      <w:r w:rsidRPr="00B740B4">
        <w:t>time when they will come back with this answer (cf. vv 9, 16).</w:t>
      </w:r>
    </w:p>
    <w:p w:rsidR="007938D3" w:rsidRDefault="00C35D91" w:rsidP="007938D3">
      <w:r w:rsidRPr="00B740B4">
        <w:t>8.b.</w:t>
      </w:r>
      <w:r w:rsidR="00C70C8E" w:rsidRPr="00B740B4">
        <w:t xml:space="preserve"> </w:t>
      </w:r>
      <w:r w:rsidR="00C70C8E" w:rsidRPr="00B740B4">
        <w:rPr>
          <w:rFonts w:ascii="Arial" w:hAnsi="Arial" w:cs="Arial"/>
        </w:rPr>
        <w:t>די</w:t>
      </w:r>
      <w:r w:rsidR="00C70C8E" w:rsidRPr="00B740B4">
        <w:t xml:space="preserve"> </w:t>
      </w:r>
      <w:r w:rsidRPr="00B740B4">
        <w:t xml:space="preserve"> ל</w:t>
      </w:r>
      <w:r w:rsidR="00C70C8E" w:rsidRPr="00B740B4">
        <w:t xml:space="preserve"> </w:t>
      </w:r>
      <w:r w:rsidRPr="00B740B4">
        <w:t>ב</w:t>
      </w:r>
      <w:r w:rsidR="00C70C8E" w:rsidRPr="00B740B4">
        <w:t xml:space="preserve"> </w:t>
      </w:r>
      <w:r w:rsidR="00C70C8E" w:rsidRPr="00B740B4">
        <w:rPr>
          <w:rFonts w:ascii="Arial" w:hAnsi="Arial" w:cs="Arial"/>
        </w:rPr>
        <w:t>ק</w:t>
      </w:r>
      <w:r w:rsidR="00C70C8E" w:rsidRPr="00B740B4">
        <w:t xml:space="preserve">  </w:t>
      </w:r>
      <w:r w:rsidRPr="00B740B4">
        <w:t>ל</w:t>
      </w:r>
      <w:r w:rsidR="00C70C8E" w:rsidRPr="00B740B4">
        <w:t xml:space="preserve"> </w:t>
      </w:r>
      <w:r w:rsidR="00C70C8E" w:rsidRPr="00B740B4">
        <w:rPr>
          <w:rFonts w:ascii="Arial" w:hAnsi="Arial" w:cs="Arial"/>
        </w:rPr>
        <w:t>כ</w:t>
      </w:r>
      <w:r w:rsidRPr="00B740B4">
        <w:t>: on form and meaning, see BDB</w:t>
      </w:r>
      <w:r w:rsidR="00B20390" w:rsidRPr="00B740B4">
        <w:t>,</w:t>
      </w:r>
      <w:r w:rsidR="007938D3" w:rsidRPr="00B740B4">
        <w:t xml:space="preserve"> 1110; Wesselius</w:t>
      </w:r>
      <w:r w:rsidR="007938D3" w:rsidRPr="00B740B4">
        <w:rPr>
          <w:b/>
        </w:rPr>
        <w:t xml:space="preserve">, </w:t>
      </w:r>
      <w:r w:rsidR="007938D3" w:rsidRPr="00B740B4">
        <w:t xml:space="preserve">“Language and Style in </w:t>
      </w:r>
      <w:r w:rsidR="00EB73E0" w:rsidRPr="00B740B4">
        <w:t>BA</w:t>
      </w:r>
      <w:r w:rsidR="007938D3" w:rsidRPr="00B740B4">
        <w:t>,” 195-204.</w:t>
      </w:r>
    </w:p>
    <w:p w:rsidR="00827615" w:rsidRPr="00B740B4" w:rsidRDefault="00827615" w:rsidP="007938D3">
      <w:r>
        <w:t xml:space="preserve">8.c. Rather than “you see” (cf. Li, </w:t>
      </w:r>
      <w:r w:rsidRPr="00827615">
        <w:rPr>
          <w:i/>
        </w:rPr>
        <w:t>Verbal System</w:t>
      </w:r>
      <w:r>
        <w:t xml:space="preserve">, 29). </w:t>
      </w:r>
    </w:p>
    <w:p w:rsidR="00C35D91" w:rsidRPr="00B740B4" w:rsidRDefault="00C35D91" w:rsidP="00C35D91">
      <w:r w:rsidRPr="00B740B4">
        <w:t>9.a-</w:t>
      </w:r>
      <w:r w:rsidR="004D3462" w:rsidRPr="00B740B4">
        <w:t>a. JB</w:t>
      </w:r>
      <w:r w:rsidRPr="00B740B4">
        <w:t xml:space="preserve"> </w:t>
      </w:r>
      <w:r w:rsidR="00934A11" w:rsidRPr="00B740B4">
        <w:t>“</w:t>
      </w:r>
      <w:r w:rsidRPr="00B740B4">
        <w:t>Your intention is not to interpret my dream</w:t>
      </w:r>
      <w:r w:rsidR="00934A11" w:rsidRPr="00B740B4">
        <w:t>”</w:t>
      </w:r>
      <w:r w:rsidRPr="00B740B4">
        <w:t xml:space="preserve"> apparently presupposes </w:t>
      </w:r>
      <w:r w:rsidR="004D5031" w:rsidRPr="00B740B4">
        <w:t xml:space="preserve">first </w:t>
      </w:r>
      <w:r w:rsidRPr="00B740B4">
        <w:t xml:space="preserve">that הן </w:t>
      </w:r>
      <w:r w:rsidR="00CA34AD" w:rsidRPr="00B740B4">
        <w:rPr>
          <w:rFonts w:ascii="Arial" w:hAnsi="Arial" w:cs="Arial"/>
        </w:rPr>
        <w:t>די</w:t>
      </w:r>
      <w:r w:rsidR="00CA34AD" w:rsidRPr="00B740B4">
        <w:t xml:space="preserve"> </w:t>
      </w:r>
      <w:r w:rsidRPr="00B740B4">
        <w:t>is equivalent to BH</w:t>
      </w:r>
      <w:r w:rsidR="00CA34AD" w:rsidRPr="00B740B4">
        <w:t xml:space="preserve"> </w:t>
      </w:r>
      <w:r w:rsidR="00CA34AD" w:rsidRPr="00B740B4">
        <w:rPr>
          <w:rFonts w:ascii="Arial" w:hAnsi="Arial" w:cs="Arial"/>
        </w:rPr>
        <w:t>אם</w:t>
      </w:r>
      <w:r w:rsidRPr="00B740B4">
        <w:t xml:space="preserve"> כי</w:t>
      </w:r>
      <w:r w:rsidR="00CA34AD" w:rsidRPr="00B740B4">
        <w:t xml:space="preserve"> </w:t>
      </w:r>
      <w:r w:rsidR="004D5031" w:rsidRPr="00B740B4">
        <w:t>(</w:t>
      </w:r>
      <w:r w:rsidR="00934A11" w:rsidRPr="00B740B4">
        <w:t>“</w:t>
      </w:r>
      <w:r w:rsidR="004D5031" w:rsidRPr="00B740B4">
        <w:t>surely</w:t>
      </w:r>
      <w:r w:rsidR="00934A11" w:rsidRPr="00B740B4">
        <w:t>”</w:t>
      </w:r>
      <w:r w:rsidR="004D5031" w:rsidRPr="00B740B4">
        <w:t>), then</w:t>
      </w:r>
      <w:r w:rsidRPr="00B740B4">
        <w:t xml:space="preserve"> that דתכון m</w:t>
      </w:r>
      <w:r w:rsidR="00CA34AD" w:rsidRPr="00B740B4">
        <w:t xml:space="preserve">eans </w:t>
      </w:r>
      <w:r w:rsidR="00934A11" w:rsidRPr="00B740B4">
        <w:t>“</w:t>
      </w:r>
      <w:r w:rsidR="00CA34AD" w:rsidRPr="00B740B4">
        <w:t>your purpose</w:t>
      </w:r>
      <w:r w:rsidR="00934A11" w:rsidRPr="00B740B4">
        <w:t>”</w:t>
      </w:r>
      <w:r w:rsidRPr="00B740B4">
        <w:t xml:space="preserve"> not </w:t>
      </w:r>
      <w:r w:rsidR="00934A11" w:rsidRPr="00B740B4">
        <w:t>“</w:t>
      </w:r>
      <w:r w:rsidR="004B2306">
        <w:t>the edict</w:t>
      </w:r>
      <w:r w:rsidRPr="00B740B4">
        <w:t xml:space="preserve"> which applies to you</w:t>
      </w:r>
      <w:r w:rsidR="00934A11" w:rsidRPr="00B740B4">
        <w:t>”</w:t>
      </w:r>
      <w:r w:rsidRPr="00B740B4">
        <w:t>: hence lit.</w:t>
      </w:r>
      <w:r w:rsidR="004D5031" w:rsidRPr="00B740B4">
        <w:t xml:space="preserve">, </w:t>
      </w:r>
      <w:r w:rsidR="00934A11" w:rsidRPr="00B740B4">
        <w:t>“</w:t>
      </w:r>
      <w:r w:rsidR="004D5031" w:rsidRPr="00B740B4">
        <w:t>s</w:t>
      </w:r>
      <w:r w:rsidRPr="00B740B4">
        <w:t>urely you will not make the dream known to me.</w:t>
      </w:r>
      <w:r w:rsidR="00215DE9" w:rsidRPr="00B740B4">
        <w:t xml:space="preserve"> You have a single purpose….</w:t>
      </w:r>
      <w:r w:rsidR="00934A11" w:rsidRPr="00B740B4">
        <w:t>”</w:t>
      </w:r>
      <w:r w:rsidRPr="00B740B4">
        <w:t xml:space="preserve"> But דת (OP) else</w:t>
      </w:r>
      <w:r w:rsidR="004B2306">
        <w:t>where always means an actual edict</w:t>
      </w:r>
      <w:r w:rsidRPr="00B740B4">
        <w:t xml:space="preserve"> (human or divine); cf. v</w:t>
      </w:r>
      <w:r w:rsidR="004B2306">
        <w:t>v</w:t>
      </w:r>
      <w:r w:rsidRPr="00B740B4">
        <w:t xml:space="preserve"> 13, </w:t>
      </w:r>
      <w:r w:rsidR="004B2306">
        <w:t xml:space="preserve">15, </w:t>
      </w:r>
      <w:r w:rsidRPr="00B740B4">
        <w:t>also the similar phrase in Esth 4:11 (Ehrlich).</w:t>
      </w:r>
    </w:p>
    <w:p w:rsidR="00C35D91" w:rsidRPr="00B740B4" w:rsidRDefault="00C35D91" w:rsidP="00C35D91">
      <w:r w:rsidRPr="00B740B4">
        <w:t>9.b. Taking הזמנתון as reflexive (hitpeel or hitpaal</w:t>
      </w:r>
      <w:r w:rsidR="004D5031" w:rsidRPr="00B740B4">
        <w:t>) with</w:t>
      </w:r>
      <w:r w:rsidRPr="00B740B4">
        <w:t xml:space="preserve"> Q and many </w:t>
      </w:r>
      <w:r w:rsidR="004D5031" w:rsidRPr="00B740B4">
        <w:t xml:space="preserve">medieval </w:t>
      </w:r>
      <w:r w:rsidRPr="00B740B4">
        <w:t>mss</w:t>
      </w:r>
      <w:r w:rsidR="007850F4" w:rsidRPr="00B740B4">
        <w:t xml:space="preserve">, which have </w:t>
      </w:r>
      <w:r w:rsidRPr="00B740B4">
        <w:t>זדמנתון</w:t>
      </w:r>
      <w:r w:rsidR="00B17D9F" w:rsidRPr="00B740B4">
        <w:t xml:space="preserve"> </w:t>
      </w:r>
      <w:r w:rsidR="00B17D9F" w:rsidRPr="00B740B4">
        <w:rPr>
          <w:rFonts w:ascii="Arial" w:hAnsi="Arial" w:cs="Arial"/>
        </w:rPr>
        <w:t>ה</w:t>
      </w:r>
      <w:r w:rsidR="00C70C8E" w:rsidRPr="00B740B4">
        <w:t>,</w:t>
      </w:r>
      <w:r w:rsidR="004D5031" w:rsidRPr="00B740B4">
        <w:t xml:space="preserve"> and </w:t>
      </w:r>
      <w:r w:rsidR="007850F4" w:rsidRPr="00B740B4">
        <w:t xml:space="preserve">with </w:t>
      </w:r>
      <w:r w:rsidR="004D5031" w:rsidRPr="00B740B4">
        <w:t xml:space="preserve">Th, </w:t>
      </w:r>
      <w:r w:rsidRPr="00B740B4">
        <w:t>not as ha הַזְמִנְתּוּן</w:t>
      </w:r>
      <w:r w:rsidR="004D5031" w:rsidRPr="00B740B4">
        <w:t xml:space="preserve"> with OG, Vg.</w:t>
      </w:r>
    </w:p>
    <w:p w:rsidR="00C35D91" w:rsidRPr="00B740B4" w:rsidRDefault="00C35D91" w:rsidP="00C35D91">
      <w:r w:rsidRPr="00B740B4">
        <w:t>9.c. See</w:t>
      </w:r>
      <w:r w:rsidR="006C179D" w:rsidRPr="00B740B4">
        <w:t xml:space="preserve"> n. 6.a</w:t>
      </w:r>
      <w:r w:rsidRPr="00B740B4">
        <w:t>.</w:t>
      </w:r>
    </w:p>
    <w:p w:rsidR="00C35D91" w:rsidRPr="00B740B4" w:rsidRDefault="00C70C8E" w:rsidP="00C35D91">
      <w:r w:rsidRPr="00B740B4">
        <w:t xml:space="preserve">10.a. </w:t>
      </w:r>
      <w:r w:rsidRPr="00B740B4">
        <w:rPr>
          <w:rFonts w:ascii="Arial" w:hAnsi="Arial" w:cs="Arial"/>
        </w:rPr>
        <w:t>די</w:t>
      </w:r>
      <w:r w:rsidRPr="00B740B4">
        <w:t xml:space="preserve">  </w:t>
      </w:r>
      <w:r w:rsidRPr="00B740B4">
        <w:rPr>
          <w:rFonts w:ascii="Arial" w:hAnsi="Arial" w:cs="Arial"/>
        </w:rPr>
        <w:t>ל</w:t>
      </w:r>
      <w:r w:rsidRPr="00B740B4">
        <w:t xml:space="preserve"> </w:t>
      </w:r>
      <w:r w:rsidRPr="00B740B4">
        <w:rPr>
          <w:rFonts w:ascii="Arial" w:hAnsi="Arial" w:cs="Arial"/>
        </w:rPr>
        <w:t>ב</w:t>
      </w:r>
      <w:r w:rsidRPr="00B740B4">
        <w:t xml:space="preserve"> </w:t>
      </w:r>
      <w:r w:rsidRPr="00B740B4">
        <w:rPr>
          <w:rFonts w:ascii="Arial" w:hAnsi="Arial" w:cs="Arial"/>
        </w:rPr>
        <w:t>ק</w:t>
      </w:r>
      <w:r w:rsidRPr="00B740B4">
        <w:t xml:space="preserve">  </w:t>
      </w:r>
      <w:r w:rsidRPr="00B740B4">
        <w:rPr>
          <w:rFonts w:ascii="Arial" w:hAnsi="Arial" w:cs="Arial"/>
        </w:rPr>
        <w:t>ל</w:t>
      </w:r>
      <w:r w:rsidRPr="00B740B4">
        <w:t xml:space="preserve"> </w:t>
      </w:r>
      <w:r w:rsidRPr="00B740B4">
        <w:rPr>
          <w:rFonts w:ascii="Arial" w:hAnsi="Arial" w:cs="Arial"/>
        </w:rPr>
        <w:t>כ</w:t>
      </w:r>
      <w:r w:rsidRPr="00B740B4">
        <w:t xml:space="preserve">  (lit., </w:t>
      </w:r>
      <w:r w:rsidR="00934A11" w:rsidRPr="00B740B4">
        <w:t>“</w:t>
      </w:r>
      <w:r w:rsidRPr="00B740B4">
        <w:t>because</w:t>
      </w:r>
      <w:r w:rsidR="00934A11" w:rsidRPr="00B740B4">
        <w:t>”</w:t>
      </w:r>
      <w:r w:rsidRPr="00B740B4">
        <w:t>); see n. 8.b</w:t>
      </w:r>
      <w:r w:rsidR="00C35D91" w:rsidRPr="00B740B4">
        <w:t>.</w:t>
      </w:r>
    </w:p>
    <w:p w:rsidR="00C35D91" w:rsidRPr="00B740B4" w:rsidRDefault="00C70C8E" w:rsidP="00C35D91">
      <w:r w:rsidRPr="00B740B4">
        <w:t xml:space="preserve">10.b. </w:t>
      </w:r>
      <w:r w:rsidR="00980147">
        <w:t xml:space="preserve">Cf. </w:t>
      </w:r>
      <w:r w:rsidR="0062655A" w:rsidRPr="00B740B4">
        <w:t xml:space="preserve">Th. </w:t>
      </w:r>
      <w:r w:rsidR="007850F4" w:rsidRPr="00B740B4">
        <w:t>MT accents and</w:t>
      </w:r>
      <w:r w:rsidR="00C35D91" w:rsidRPr="00B740B4">
        <w:t xml:space="preserve"> Vg take </w:t>
      </w:r>
      <w:r w:rsidR="0062655A" w:rsidRPr="00B740B4">
        <w:t xml:space="preserve">the phrase as one noun followed by two </w:t>
      </w:r>
      <w:r w:rsidR="00C35D91" w:rsidRPr="00B740B4">
        <w:t>adj</w:t>
      </w:r>
      <w:r w:rsidR="0062655A" w:rsidRPr="00B740B4">
        <w:t>ectives</w:t>
      </w:r>
      <w:r w:rsidR="00C35D91" w:rsidRPr="00B740B4">
        <w:t xml:space="preserve"> (</w:t>
      </w:r>
      <w:r w:rsidR="00934A11" w:rsidRPr="00B740B4">
        <w:t>“</w:t>
      </w:r>
      <w:r w:rsidR="00C35D91" w:rsidRPr="00B740B4">
        <w:t>no king, however great and powerful</w:t>
      </w:r>
      <w:r w:rsidR="00934A11" w:rsidRPr="00B740B4">
        <w:t>”</w:t>
      </w:r>
      <w:r w:rsidR="00C35D91" w:rsidRPr="00B740B4">
        <w:t>), but</w:t>
      </w:r>
      <w:r w:rsidR="0062655A" w:rsidRPr="00B740B4">
        <w:t xml:space="preserve"> </w:t>
      </w:r>
      <w:r w:rsidR="00C35D91" w:rsidRPr="00B740B4">
        <w:t xml:space="preserve"> שליט is a noun in v 15 (cf. 5:29; Gen 42:6).</w:t>
      </w:r>
      <w:r w:rsidR="0062655A" w:rsidRPr="00B740B4">
        <w:t xml:space="preserve"> </w:t>
      </w:r>
      <w:r w:rsidR="00980147">
        <w:t>T</w:t>
      </w:r>
      <w:r w:rsidR="00980147" w:rsidRPr="00980147">
        <w:t>he Assyrian title “Great King” was still used in the Persian period (Koch</w:t>
      </w:r>
      <w:r w:rsidR="00980147">
        <w:t>).</w:t>
      </w:r>
      <w:r w:rsidR="00980147" w:rsidRPr="00980147">
        <w:t xml:space="preserve"> </w:t>
      </w:r>
      <w:r w:rsidR="0062655A" w:rsidRPr="00B740B4">
        <w:t xml:space="preserve">KJV takes both </w:t>
      </w:r>
      <w:r w:rsidR="0062655A" w:rsidRPr="00B740B4">
        <w:rPr>
          <w:rFonts w:ascii="Arial" w:hAnsi="Arial" w:cs="Arial"/>
        </w:rPr>
        <w:t>רב</w:t>
      </w:r>
      <w:r w:rsidR="0062655A" w:rsidRPr="00B740B4">
        <w:t xml:space="preserve"> and </w:t>
      </w:r>
      <w:r w:rsidR="0062655A" w:rsidRPr="00B740B4">
        <w:rPr>
          <w:rFonts w:ascii="Arial" w:hAnsi="Arial" w:cs="Arial"/>
        </w:rPr>
        <w:t>שליט</w:t>
      </w:r>
      <w:r w:rsidR="0062655A" w:rsidRPr="00B740B4">
        <w:t xml:space="preserve"> as nouns (</w:t>
      </w:r>
      <w:r w:rsidR="00934A11" w:rsidRPr="00B740B4">
        <w:t>“</w:t>
      </w:r>
      <w:r w:rsidR="0062655A" w:rsidRPr="00B740B4">
        <w:t>no king, lord, nor ruler</w:t>
      </w:r>
      <w:r w:rsidR="00934A11" w:rsidRPr="00B740B4">
        <w:t>”</w:t>
      </w:r>
      <w:r w:rsidR="0062655A" w:rsidRPr="00B740B4">
        <w:t xml:space="preserve">), but </w:t>
      </w:r>
      <w:r w:rsidR="0062655A" w:rsidRPr="00B740B4">
        <w:rPr>
          <w:rFonts w:ascii="Arial" w:hAnsi="Arial" w:cs="Arial"/>
        </w:rPr>
        <w:t>רב</w:t>
      </w:r>
      <w:r w:rsidR="0062655A" w:rsidRPr="00B740B4">
        <w:t xml:space="preserve"> used as an absalote noun would be unique in BA/BH (contrast the construct in v 14).</w:t>
      </w:r>
    </w:p>
    <w:p w:rsidR="00C35D91" w:rsidRPr="00B740B4" w:rsidRDefault="00C35D91" w:rsidP="00C35D91">
      <w:r w:rsidRPr="00B740B4">
        <w:t xml:space="preserve">11.a. בשר, </w:t>
      </w:r>
      <w:r w:rsidR="007850F4" w:rsidRPr="00B740B4">
        <w:t xml:space="preserve">conventionally “flesh,” </w:t>
      </w:r>
      <w:r w:rsidRPr="00B740B4">
        <w:t>humanity in its creaturely weakness (cf. Isa 31:3).</w:t>
      </w:r>
    </w:p>
    <w:p w:rsidR="00C35D91" w:rsidRPr="008612BA" w:rsidRDefault="00C35D91" w:rsidP="00C35D91">
      <w:r w:rsidRPr="00B740B4">
        <w:t xml:space="preserve">13.a. </w:t>
      </w:r>
      <w:r w:rsidR="00E72914" w:rsidRPr="00B740B4">
        <w:t>Taking the participle as gerundive (BDB; c</w:t>
      </w:r>
      <w:r w:rsidRPr="00B740B4">
        <w:t xml:space="preserve">f. OG, </w:t>
      </w:r>
      <w:r w:rsidR="00E72914" w:rsidRPr="00B740B4">
        <w:t xml:space="preserve">and see BL 81o). </w:t>
      </w:r>
      <w:r w:rsidR="00934A11" w:rsidRPr="00B740B4">
        <w:t>“</w:t>
      </w:r>
      <w:r w:rsidR="00E72914" w:rsidRPr="00B740B4">
        <w:t>A</w:t>
      </w:r>
      <w:r w:rsidR="00391014" w:rsidRPr="00B740B4">
        <w:t>nd the expert</w:t>
      </w:r>
      <w:r w:rsidRPr="00B740B4">
        <w:t xml:space="preserve">s were </w:t>
      </w:r>
      <w:r w:rsidR="00E72914" w:rsidRPr="00B740B4">
        <w:t>being killed</w:t>
      </w:r>
      <w:r w:rsidR="00934A11" w:rsidRPr="00B740B4">
        <w:t>”</w:t>
      </w:r>
      <w:r w:rsidR="00E72914" w:rsidRPr="00B740B4">
        <w:t xml:space="preserve"> (cf. Th, Vg)</w:t>
      </w:r>
      <w:r w:rsidRPr="00B740B4">
        <w:t xml:space="preserve"> underlines the drama of what follows and fits v 18, though perhaps not v</w:t>
      </w:r>
      <w:r w:rsidR="00E72914" w:rsidRPr="00B740B4">
        <w:t xml:space="preserve"> 24, and one might expect a subsequent reference</w:t>
      </w:r>
      <w:r w:rsidRPr="00B740B4">
        <w:t xml:space="preserve"> to the killing being halted.</w:t>
      </w:r>
      <w:r w:rsidR="008612BA">
        <w:t xml:space="preserve"> Li (</w:t>
      </w:r>
      <w:r w:rsidR="008612BA" w:rsidRPr="008612BA">
        <w:rPr>
          <w:i/>
        </w:rPr>
        <w:t>Verbal System</w:t>
      </w:r>
      <w:r w:rsidR="008612BA">
        <w:t>, 71, 72) has “about to be killed).</w:t>
      </w:r>
    </w:p>
    <w:p w:rsidR="00C35D91" w:rsidRPr="00B740B4" w:rsidRDefault="00C35D91" w:rsidP="00C35D91">
      <w:r w:rsidRPr="00B740B4">
        <w:t>14.a. וטעם</w:t>
      </w:r>
      <w:r w:rsidR="00E72914" w:rsidRPr="00B740B4">
        <w:t xml:space="preserve"> </w:t>
      </w:r>
      <w:r w:rsidR="00E72914" w:rsidRPr="00B740B4">
        <w:rPr>
          <w:rFonts w:ascii="Arial" w:hAnsi="Arial" w:cs="Arial"/>
        </w:rPr>
        <w:t>עטא</w:t>
      </w:r>
      <w:r w:rsidR="00E72914" w:rsidRPr="00B740B4">
        <w:t xml:space="preserve"> : the second noun</w:t>
      </w:r>
      <w:r w:rsidRPr="00B740B4">
        <w:t xml:space="preserve"> can mean </w:t>
      </w:r>
      <w:r w:rsidR="00934A11" w:rsidRPr="00B740B4">
        <w:t>“</w:t>
      </w:r>
      <w:r w:rsidRPr="00B740B4">
        <w:t>deference</w:t>
      </w:r>
      <w:r w:rsidR="00934A11" w:rsidRPr="00B740B4">
        <w:t>”</w:t>
      </w:r>
      <w:r w:rsidR="003F14FD" w:rsidRPr="00B740B4">
        <w:t xml:space="preserve"> (3:12; 6:13</w:t>
      </w:r>
      <w:r w:rsidRPr="00B740B4">
        <w:t xml:space="preserve"> [1</w:t>
      </w:r>
      <w:r w:rsidR="003F14FD" w:rsidRPr="00B740B4">
        <w:t>4</w:t>
      </w:r>
      <w:r w:rsidRPr="00B740B4">
        <w:t>]), but</w:t>
      </w:r>
      <w:r w:rsidR="00E72914" w:rsidRPr="00B740B4">
        <w:t xml:space="preserve"> Daniel is not deferential here and</w:t>
      </w:r>
      <w:r w:rsidRPr="00B740B4">
        <w:t xml:space="preserve"> more likely the two nouns are near-synonyms, like other pairs in this chapter</w:t>
      </w:r>
      <w:r w:rsidR="00B66093" w:rsidRPr="00B740B4">
        <w:t xml:space="preserve"> (cf. G, Vg)</w:t>
      </w:r>
      <w:r w:rsidRPr="00B740B4">
        <w:t xml:space="preserve">. </w:t>
      </w:r>
      <w:r w:rsidR="00934A11" w:rsidRPr="00B740B4">
        <w:t>“</w:t>
      </w:r>
      <w:r w:rsidRPr="00B740B4">
        <w:t>Took counsel with</w:t>
      </w:r>
      <w:r w:rsidR="00934A11" w:rsidRPr="00B740B4">
        <w:t>”</w:t>
      </w:r>
      <w:r w:rsidRPr="00B740B4">
        <w:t xml:space="preserve"> (Ginsberg, </w:t>
      </w:r>
      <w:r w:rsidRPr="00B740B4">
        <w:rPr>
          <w:i/>
        </w:rPr>
        <w:t>Handbook</w:t>
      </w:r>
      <w:r w:rsidRPr="00B740B4">
        <w:t>) fits less well in the context.</w:t>
      </w:r>
    </w:p>
    <w:p w:rsidR="00C35D91" w:rsidRPr="00B740B4" w:rsidRDefault="00C35D91" w:rsidP="00C35D91">
      <w:r w:rsidRPr="00B740B4">
        <w:t>14.b. Cf. Gen 14:1</w:t>
      </w:r>
      <w:r w:rsidR="001D2DC3" w:rsidRPr="00B740B4">
        <w:t>; Jdt 1:6; perhaps</w:t>
      </w:r>
      <w:r w:rsidR="00B66093" w:rsidRPr="00B740B4">
        <w:t xml:space="preserve"> Persian (</w:t>
      </w:r>
      <w:r w:rsidRPr="00B740B4">
        <w:t>Grel</w:t>
      </w:r>
      <w:r w:rsidR="00B66093" w:rsidRPr="00B740B4">
        <w:t xml:space="preserve">ot, </w:t>
      </w:r>
      <w:r w:rsidR="00934A11" w:rsidRPr="00B740B4">
        <w:t>“</w:t>
      </w:r>
      <w:r w:rsidR="00B66093" w:rsidRPr="00B740B4">
        <w:t>Ariok</w:t>
      </w:r>
      <w:r w:rsidR="00934A11" w:rsidRPr="00B740B4">
        <w:t>”</w:t>
      </w:r>
      <w:r w:rsidR="00B66093" w:rsidRPr="00B740B4">
        <w:t xml:space="preserve">; Zadok, </w:t>
      </w:r>
      <w:r w:rsidR="00934A11" w:rsidRPr="00B740B4">
        <w:t>“</w:t>
      </w:r>
      <w:r w:rsidR="00B66093" w:rsidRPr="00B740B4">
        <w:t>Five Iranian Names</w:t>
      </w:r>
      <w:r w:rsidR="00934A11" w:rsidRPr="00B740B4">
        <w:t>”</w:t>
      </w:r>
      <w:r w:rsidRPr="00B740B4">
        <w:t>), though known as a Babylonian name, and cf. Sumerian Eri-aku (servant of the moon [god]) (Jeffery).</w:t>
      </w:r>
    </w:p>
    <w:p w:rsidR="00C35D91" w:rsidRPr="00B740B4" w:rsidRDefault="00C35D91" w:rsidP="00C35D91">
      <w:r w:rsidRPr="00B740B4">
        <w:t>14.c. טבחיא</w:t>
      </w:r>
      <w:r w:rsidR="00266A00" w:rsidRPr="00B740B4">
        <w:t xml:space="preserve">, etymologically </w:t>
      </w:r>
      <w:r w:rsidR="00934A11" w:rsidRPr="00B740B4">
        <w:t>“</w:t>
      </w:r>
      <w:r w:rsidR="00266A00" w:rsidRPr="00B740B4">
        <w:t>slaughtermen</w:t>
      </w:r>
      <w:r w:rsidR="00934A11" w:rsidRPr="00B740B4">
        <w:t>”</w:t>
      </w:r>
      <w:r w:rsidRPr="00B740B4">
        <w:t xml:space="preserve"> </w:t>
      </w:r>
      <w:r w:rsidR="00266A00" w:rsidRPr="00B740B4">
        <w:t>(cf. G</w:t>
      </w:r>
      <w:r w:rsidR="0091106A" w:rsidRPr="00B740B4">
        <w:t>, Syr</w:t>
      </w:r>
      <w:r w:rsidR="00266A00" w:rsidRPr="00B740B4">
        <w:t xml:space="preserve">) </w:t>
      </w:r>
      <w:r w:rsidRPr="00B740B4">
        <w:t>which is just what they were on this occasion</w:t>
      </w:r>
      <w:r w:rsidR="00B66093" w:rsidRPr="00B740B4">
        <w:t>.</w:t>
      </w:r>
      <w:r w:rsidRPr="00B740B4">
        <w:t xml:space="preserve"> But elsewhere the </w:t>
      </w:r>
      <w:r w:rsidR="00266A00" w:rsidRPr="00B740B4">
        <w:t xml:space="preserve">word simply means </w:t>
      </w:r>
      <w:r w:rsidR="00934A11" w:rsidRPr="00B740B4">
        <w:t>“</w:t>
      </w:r>
      <w:r w:rsidR="00266A00" w:rsidRPr="00B740B4">
        <w:t>guard</w:t>
      </w:r>
      <w:r w:rsidR="001D2DC3" w:rsidRPr="00B740B4">
        <w:t>s</w:t>
      </w:r>
      <w:r w:rsidR="00266A00" w:rsidRPr="00B740B4">
        <w:t>/police</w:t>
      </w:r>
      <w:r w:rsidR="00934A11" w:rsidRPr="00B740B4">
        <w:t>”</w:t>
      </w:r>
      <w:r w:rsidR="00266A00" w:rsidRPr="00B740B4">
        <w:t xml:space="preserve"> (cf. Vg).</w:t>
      </w:r>
    </w:p>
    <w:p w:rsidR="00C35D91" w:rsidRPr="00B740B4" w:rsidRDefault="00C35D91" w:rsidP="00C35D91">
      <w:r w:rsidRPr="00B740B4">
        <w:t>15.a. MT accents link with לאריוך</w:t>
      </w:r>
      <w:r w:rsidR="000936AA" w:rsidRPr="00B740B4">
        <w:t xml:space="preserve"> </w:t>
      </w:r>
      <w:r w:rsidR="00934A11" w:rsidRPr="00B740B4">
        <w:t>“</w:t>
      </w:r>
      <w:r w:rsidR="00373807" w:rsidRPr="00B740B4">
        <w:t>to Ary</w:t>
      </w:r>
      <w:r w:rsidR="000936AA" w:rsidRPr="00B740B4">
        <w:t>ok</w:t>
      </w:r>
      <w:r w:rsidR="00934A11" w:rsidRPr="00B740B4">
        <w:t>”</w:t>
      </w:r>
      <w:r w:rsidRPr="00B740B4">
        <w:t xml:space="preserve"> </w:t>
      </w:r>
      <w:r w:rsidR="000936AA" w:rsidRPr="00B740B4">
        <w:t xml:space="preserve">(cf. Vg), </w:t>
      </w:r>
      <w:r w:rsidRPr="00B740B4">
        <w:t>but Th more naturally takes it as opening the actual sp</w:t>
      </w:r>
      <w:r w:rsidR="000936AA" w:rsidRPr="00B740B4">
        <w:t>eech</w:t>
      </w:r>
      <w:r w:rsidRPr="00B740B4">
        <w:t>.</w:t>
      </w:r>
    </w:p>
    <w:p w:rsidR="00C35D91" w:rsidRPr="00B740B4" w:rsidRDefault="00C35D91" w:rsidP="00C35D91">
      <w:r w:rsidRPr="00B740B4">
        <w:t xml:space="preserve">15.b. חצף seems to mean </w:t>
      </w:r>
      <w:r w:rsidR="00934A11" w:rsidRPr="00B740B4">
        <w:t>“</w:t>
      </w:r>
      <w:r w:rsidRPr="00B740B4">
        <w:t>barefaced/hardfaced,</w:t>
      </w:r>
      <w:r w:rsidR="00934A11" w:rsidRPr="00B740B4">
        <w:t>”</w:t>
      </w:r>
      <w:r w:rsidRPr="00B740B4">
        <w:t xml:space="preserve"> thus </w:t>
      </w:r>
      <w:r w:rsidR="00934A11" w:rsidRPr="00B740B4">
        <w:t>“</w:t>
      </w:r>
      <w:r w:rsidRPr="00B740B4">
        <w:t>peremptory, uncompromising, arrogant</w:t>
      </w:r>
      <w:r w:rsidR="00934A11" w:rsidRPr="00B740B4">
        <w:t>”</w:t>
      </w:r>
      <w:r w:rsidRPr="00B740B4">
        <w:t xml:space="preserve"> (cf. 3:22). Commentators look for a more polite translation if they take טעם to me</w:t>
      </w:r>
      <w:r w:rsidR="000936AA" w:rsidRPr="00B740B4">
        <w:t xml:space="preserve">an </w:t>
      </w:r>
      <w:r w:rsidR="00934A11" w:rsidRPr="00B740B4">
        <w:t>“</w:t>
      </w:r>
      <w:r w:rsidR="000936AA" w:rsidRPr="00B740B4">
        <w:t>deference</w:t>
      </w:r>
      <w:r w:rsidR="00934A11" w:rsidRPr="00B740B4">
        <w:t>”</w:t>
      </w:r>
      <w:r w:rsidR="000936AA" w:rsidRPr="00B740B4">
        <w:t>; but see n. 14.a</w:t>
      </w:r>
      <w:r w:rsidRPr="00B740B4">
        <w:t>.</w:t>
      </w:r>
    </w:p>
    <w:p w:rsidR="00C35D91" w:rsidRPr="00B740B4" w:rsidRDefault="00C35D91" w:rsidP="00C35D91">
      <w:r w:rsidRPr="00B740B4">
        <w:lastRenderedPageBreak/>
        <w:t>15.c. אדין (</w:t>
      </w:r>
      <w:r w:rsidR="00E1582D" w:rsidRPr="00B740B4">
        <w:t>EVV</w:t>
      </w:r>
      <w:r w:rsidRPr="00B740B4">
        <w:t xml:space="preserve"> </w:t>
      </w:r>
      <w:r w:rsidR="00934A11" w:rsidRPr="00B740B4">
        <w:t>“</w:t>
      </w:r>
      <w:r w:rsidRPr="00B740B4">
        <w:t>then</w:t>
      </w:r>
      <w:r w:rsidR="00934A11" w:rsidRPr="00B740B4">
        <w:t>”</w:t>
      </w:r>
      <w:r w:rsidRPr="00B740B4">
        <w:t xml:space="preserve">) appears at the beginning of the clause: it is a standard linking particle, used like ו in BH, and hardly requiring translation. באדין (vv 14, 35, 46) is less usual, though hardly a marker for </w:t>
      </w:r>
      <w:r w:rsidR="002F392E">
        <w:t>a new section (against Charles); I translate it “then.”</w:t>
      </w:r>
    </w:p>
    <w:p w:rsidR="00C35D91" w:rsidRPr="00B740B4" w:rsidRDefault="00C35D91" w:rsidP="00C35D91">
      <w:r w:rsidRPr="00B740B4">
        <w:t>16.a. Montgomery omits</w:t>
      </w:r>
      <w:r w:rsidR="00F10F9D" w:rsidRPr="00B740B4">
        <w:t xml:space="preserve"> </w:t>
      </w:r>
      <w:r w:rsidR="00F10F9D" w:rsidRPr="00B740B4">
        <w:rPr>
          <w:rFonts w:ascii="Arial" w:hAnsi="Arial" w:cs="Arial"/>
        </w:rPr>
        <w:t>ו</w:t>
      </w:r>
      <w:r w:rsidR="00F10F9D" w:rsidRPr="00B740B4">
        <w:t xml:space="preserve"> </w:t>
      </w:r>
      <w:r w:rsidRPr="00B740B4">
        <w:t xml:space="preserve"> על </w:t>
      </w:r>
      <w:r w:rsidR="00934A11" w:rsidRPr="00B740B4">
        <w:t>“</w:t>
      </w:r>
      <w:r w:rsidR="00F10F9D" w:rsidRPr="00B740B4">
        <w:t>went and,</w:t>
      </w:r>
      <w:r w:rsidR="00934A11" w:rsidRPr="00B740B4">
        <w:t>”</w:t>
      </w:r>
      <w:r w:rsidR="00F10F9D" w:rsidRPr="00B740B4">
        <w:t xml:space="preserve"> following </w:t>
      </w:r>
      <w:r w:rsidRPr="00B740B4">
        <w:t>Syr, on the grounds that Daniel cannot have gone straight in to the king without being taken in (cf. vv 24, 25)</w:t>
      </w:r>
      <w:r w:rsidR="00980147">
        <w:t>. B</w:t>
      </w:r>
      <w:r w:rsidR="006A4720" w:rsidRPr="00B740B4">
        <w:t>ut Taylor attributes Syr’s lack to homoioteleuton (</w:t>
      </w:r>
      <w:r w:rsidR="006A4720" w:rsidRPr="00B740B4">
        <w:rPr>
          <w:i/>
        </w:rPr>
        <w:t>Peshiṭta</w:t>
      </w:r>
      <w:r w:rsidR="006A4720" w:rsidRPr="00B740B4">
        <w:t xml:space="preserve">, 68). </w:t>
      </w:r>
      <w:r w:rsidRPr="00B740B4">
        <w:t xml:space="preserve">Perhaps the narrator tells the story briskly here (or presupposes that a person of Daniel’s [later!] stature may not need that mediation?) and </w:t>
      </w:r>
      <w:r w:rsidR="001D2DC3" w:rsidRPr="00B740B4">
        <w:t xml:space="preserve">then </w:t>
      </w:r>
      <w:r w:rsidR="00A91E3F" w:rsidRPr="00B740B4">
        <w:t xml:space="preserve">tells it </w:t>
      </w:r>
      <w:r w:rsidRPr="00B740B4">
        <w:t>more slowly/dramatically in vv 24, 25. But does v 16 require tha</w:t>
      </w:r>
      <w:r w:rsidR="001D2DC3" w:rsidRPr="00B740B4">
        <w:t>t he actually saw the king, which</w:t>
      </w:r>
      <w:r w:rsidRPr="00B740B4">
        <w:t xml:space="preserve"> would normally involve using the term</w:t>
      </w:r>
      <w:r w:rsidR="000936AA" w:rsidRPr="00B740B4">
        <w:t xml:space="preserve"> </w:t>
      </w:r>
      <w:r w:rsidRPr="00B740B4">
        <w:t xml:space="preserve">  </w:t>
      </w:r>
      <w:r w:rsidR="000936AA" w:rsidRPr="00B740B4">
        <w:t xml:space="preserve"> </w:t>
      </w:r>
      <w:r w:rsidRPr="00B740B4">
        <w:t xml:space="preserve">מלכא </w:t>
      </w:r>
      <w:r w:rsidR="000936AA" w:rsidRPr="00B740B4">
        <w:rPr>
          <w:rFonts w:ascii="Arial" w:hAnsi="Arial" w:cs="Arial"/>
        </w:rPr>
        <w:t>קדם</w:t>
      </w:r>
      <w:r w:rsidR="000936AA" w:rsidRPr="00B740B4">
        <w:t xml:space="preserve"> </w:t>
      </w:r>
      <w:r w:rsidR="00934A11" w:rsidRPr="00B740B4">
        <w:t>“</w:t>
      </w:r>
      <w:r w:rsidRPr="00B740B4">
        <w:t>before the king,</w:t>
      </w:r>
      <w:r w:rsidR="00934A11" w:rsidRPr="00B740B4">
        <w:t>”</w:t>
      </w:r>
      <w:r w:rsidRPr="00B740B4">
        <w:t xml:space="preserve"> as</w:t>
      </w:r>
      <w:r w:rsidR="001D2DC3" w:rsidRPr="00B740B4">
        <w:t xml:space="preserve"> in vv 24, 25?</w:t>
      </w:r>
      <w:r w:rsidR="000936AA" w:rsidRPr="00B740B4">
        <w:t xml:space="preserve"> </w:t>
      </w:r>
      <w:r w:rsidR="001D2DC3" w:rsidRPr="00B740B4">
        <w:t>Koch s</w:t>
      </w:r>
      <w:r w:rsidR="00373807" w:rsidRPr="00B740B4">
        <w:t>uggests that it was actually Ary</w:t>
      </w:r>
      <w:r w:rsidR="001D2DC3" w:rsidRPr="00B740B4">
        <w:t xml:space="preserve">ok who went in. </w:t>
      </w:r>
      <w:r w:rsidR="000936AA" w:rsidRPr="00B740B4">
        <w:t>See also n. 24.a</w:t>
      </w:r>
      <w:r w:rsidRPr="00B740B4">
        <w:t>.</w:t>
      </w:r>
      <w:r w:rsidR="00950D51" w:rsidRPr="00B740B4">
        <w:t xml:space="preserve"> </w:t>
      </w:r>
    </w:p>
    <w:p w:rsidR="00C35D91" w:rsidRPr="00B740B4" w:rsidRDefault="000936AA" w:rsidP="00C35D91">
      <w:r w:rsidRPr="00B740B4">
        <w:t xml:space="preserve">18.a. </w:t>
      </w:r>
      <w:r w:rsidR="00934A11" w:rsidRPr="00B740B4">
        <w:t>“</w:t>
      </w:r>
      <w:r w:rsidRPr="00B740B4">
        <w:t>M</w:t>
      </w:r>
      <w:r w:rsidR="00C35D91" w:rsidRPr="00B740B4">
        <w:t>ercy</w:t>
      </w:r>
      <w:r w:rsidR="00934A11" w:rsidRPr="00B740B4">
        <w:t>”</w:t>
      </w:r>
      <w:r w:rsidR="00C35D91" w:rsidRPr="00B740B4">
        <w:t xml:space="preserve"> </w:t>
      </w:r>
      <w:r w:rsidRPr="00B740B4">
        <w:t>(Th, Vg)</w:t>
      </w:r>
      <w:r w:rsidR="00900C4D">
        <w:t xml:space="preserve"> </w:t>
      </w:r>
      <w:r w:rsidR="00E84297" w:rsidRPr="00B740B4">
        <w:t xml:space="preserve">and </w:t>
      </w:r>
      <w:r w:rsidR="00934A11" w:rsidRPr="00B740B4">
        <w:t>“</w:t>
      </w:r>
      <w:r w:rsidR="00E84297" w:rsidRPr="00B740B4">
        <w:t>support</w:t>
      </w:r>
      <w:r w:rsidR="00934A11" w:rsidRPr="00B740B4">
        <w:t>”</w:t>
      </w:r>
      <w:r w:rsidR="00E84297" w:rsidRPr="00B740B4">
        <w:t xml:space="preserve"> (OG) are too specific translations</w:t>
      </w:r>
      <w:r w:rsidR="00C35D91" w:rsidRPr="00B740B4">
        <w:t xml:space="preserve"> of</w:t>
      </w:r>
      <w:r w:rsidR="00E84297" w:rsidRPr="00B740B4">
        <w:t xml:space="preserve"> </w:t>
      </w:r>
      <w:r w:rsidR="00E84297" w:rsidRPr="00B740B4">
        <w:rPr>
          <w:rFonts w:ascii="Arial" w:hAnsi="Arial" w:cs="Arial"/>
        </w:rPr>
        <w:t>ן</w:t>
      </w:r>
      <w:r w:rsidR="00950D51" w:rsidRPr="00B740B4">
        <w:rPr>
          <w:rFonts w:ascii="Arial" w:hAnsi="Arial" w:cs="Arial"/>
        </w:rPr>
        <w:t>י</w:t>
      </w:r>
      <w:r w:rsidR="00C35D91" w:rsidRPr="00B740B4">
        <w:t xml:space="preserve"> </w:t>
      </w:r>
      <w:r w:rsidR="00950D51" w:rsidRPr="00B740B4">
        <w:rPr>
          <w:rFonts w:ascii="Arial" w:hAnsi="Arial" w:cs="Arial"/>
        </w:rPr>
        <w:t>מ</w:t>
      </w:r>
      <w:r w:rsidR="00950D51" w:rsidRPr="00B740B4">
        <w:t xml:space="preserve"> </w:t>
      </w:r>
      <w:r w:rsidR="00950D51" w:rsidRPr="00B740B4">
        <w:rPr>
          <w:rFonts w:ascii="Arial" w:hAnsi="Arial" w:cs="Arial"/>
        </w:rPr>
        <w:t>ח</w:t>
      </w:r>
      <w:r w:rsidR="00950D51" w:rsidRPr="00B740B4">
        <w:t xml:space="preserve"> </w:t>
      </w:r>
      <w:r w:rsidR="00950D51" w:rsidRPr="00B740B4">
        <w:rPr>
          <w:rFonts w:ascii="Arial" w:hAnsi="Arial" w:cs="Arial"/>
        </w:rPr>
        <w:t>ר</w:t>
      </w:r>
      <w:r w:rsidR="00E84297" w:rsidRPr="00B740B4">
        <w:t xml:space="preserve">; </w:t>
      </w:r>
      <w:r w:rsidRPr="00B740B4">
        <w:t>see n. 1:9.b-b</w:t>
      </w:r>
      <w:r w:rsidR="00C35D91" w:rsidRPr="00B740B4">
        <w:t>.</w:t>
      </w:r>
    </w:p>
    <w:p w:rsidR="00C35D91" w:rsidRPr="00B740B4" w:rsidRDefault="00C35D91" w:rsidP="00C35D91">
      <w:r w:rsidRPr="00B740B4">
        <w:t xml:space="preserve">20.a. </w:t>
      </w:r>
      <w:r w:rsidR="00B0105D" w:rsidRPr="00B740B4">
        <w:t xml:space="preserve">KJV </w:t>
      </w:r>
      <w:r w:rsidR="00934A11" w:rsidRPr="00B740B4">
        <w:t>“</w:t>
      </w:r>
      <w:r w:rsidR="00B0105D" w:rsidRPr="00B740B4">
        <w:t>answered and said</w:t>
      </w:r>
      <w:r w:rsidR="00934A11" w:rsidRPr="00B740B4">
        <w:t>”</w:t>
      </w:r>
      <w:r w:rsidR="00125371" w:rsidRPr="00B740B4">
        <w:t xml:space="preserve"> presupposes the </w:t>
      </w:r>
      <w:r w:rsidR="00B0105D" w:rsidRPr="00B740B4">
        <w:t xml:space="preserve">common meaning of </w:t>
      </w:r>
      <w:r w:rsidR="00B0105D" w:rsidRPr="00B740B4">
        <w:rPr>
          <w:rFonts w:ascii="Arial" w:hAnsi="Arial" w:cs="Arial"/>
        </w:rPr>
        <w:t>ענה</w:t>
      </w:r>
      <w:r w:rsidR="00B0105D" w:rsidRPr="00B740B4">
        <w:t xml:space="preserve"> in BH</w:t>
      </w:r>
      <w:r w:rsidR="007729C1" w:rsidRPr="00B740B4">
        <w:t xml:space="preserve">; cf. the combination where the meaning </w:t>
      </w:r>
      <w:r w:rsidR="00934A11" w:rsidRPr="00B740B4">
        <w:t>“</w:t>
      </w:r>
      <w:r w:rsidR="007729C1" w:rsidRPr="00B740B4">
        <w:t>answer</w:t>
      </w:r>
      <w:r w:rsidR="00934A11" w:rsidRPr="00B740B4">
        <w:t>”</w:t>
      </w:r>
      <w:r w:rsidR="007729C1" w:rsidRPr="00B740B4">
        <w:t xml:space="preserve"> fits</w:t>
      </w:r>
      <w:r w:rsidR="00EB4288" w:rsidRPr="00B740B4">
        <w:t>,</w:t>
      </w:r>
      <w:r w:rsidR="007729C1" w:rsidRPr="00B740B4">
        <w:t xml:space="preserve"> in vv 5, 7, 8, 10. </w:t>
      </w:r>
      <w:r w:rsidR="001F3D63" w:rsidRPr="00B740B4">
        <w:t xml:space="preserve">Muraoka </w:t>
      </w:r>
      <w:r w:rsidR="00292D41" w:rsidRPr="00B740B4">
        <w:t>(</w:t>
      </w:r>
      <w:r w:rsidR="00292D41" w:rsidRPr="00B740B4">
        <w:rPr>
          <w:i/>
        </w:rPr>
        <w:t>Reader</w:t>
      </w:r>
      <w:r w:rsidR="00292D41" w:rsidRPr="00B740B4">
        <w:t>, 43)</w:t>
      </w:r>
      <w:r w:rsidR="00292D41" w:rsidRPr="00B740B4">
        <w:rPr>
          <w:i/>
        </w:rPr>
        <w:t xml:space="preserve"> </w:t>
      </w:r>
      <w:r w:rsidR="001F3D63" w:rsidRPr="00B740B4">
        <w:t xml:space="preserve">suggests </w:t>
      </w:r>
      <w:r w:rsidR="00292D41" w:rsidRPr="00B740B4">
        <w:t>it ind</w:t>
      </w:r>
      <w:r w:rsidR="00125371" w:rsidRPr="00B740B4">
        <w:t>icates “reaction to a situation,</w:t>
      </w:r>
      <w:r w:rsidR="00292D41" w:rsidRPr="00B740B4">
        <w:t xml:space="preserve">” </w:t>
      </w:r>
      <w:r w:rsidR="00125371" w:rsidRPr="00B740B4">
        <w:t xml:space="preserve">which fits here, but elsewhere </w:t>
      </w:r>
      <w:r w:rsidR="00B41BFF" w:rsidRPr="00B740B4">
        <w:t>(e.g., 3:14, 19) even that understanding seems forced. R</w:t>
      </w:r>
      <w:r w:rsidR="00EB4288" w:rsidRPr="00B740B4">
        <w:t>ather compare</w:t>
      </w:r>
      <w:r w:rsidR="00085F90" w:rsidRPr="00B740B4">
        <w:t xml:space="preserve"> the BH meaning </w:t>
      </w:r>
      <w:r w:rsidR="00934A11" w:rsidRPr="00B740B4">
        <w:t>“</w:t>
      </w:r>
      <w:r w:rsidR="00085F90" w:rsidRPr="00B740B4">
        <w:t>aver</w:t>
      </w:r>
      <w:r w:rsidR="00934A11" w:rsidRPr="00B740B4">
        <w:t>”</w:t>
      </w:r>
      <w:r w:rsidR="00085F90" w:rsidRPr="00B740B4">
        <w:t xml:space="preserve"> </w:t>
      </w:r>
      <w:r w:rsidR="00B41BFF" w:rsidRPr="00B740B4">
        <w:t>(</w:t>
      </w:r>
      <w:r w:rsidR="00085F90" w:rsidRPr="00B740B4">
        <w:t xml:space="preserve">and the later Hebrew and Aramaic meaning </w:t>
      </w:r>
      <w:r w:rsidR="00934A11" w:rsidRPr="00B740B4">
        <w:t>“</w:t>
      </w:r>
      <w:r w:rsidR="00B41BFF" w:rsidRPr="00B740B4">
        <w:t>begin to speak”); t</w:t>
      </w:r>
      <w:r w:rsidR="00085F90" w:rsidRPr="00B740B4">
        <w:t>he word</w:t>
      </w:r>
      <w:r w:rsidRPr="00B740B4">
        <w:t xml:space="preserve"> simply adds force to אמר</w:t>
      </w:r>
      <w:r w:rsidR="007729C1" w:rsidRPr="00B740B4">
        <w:t xml:space="preserve"> </w:t>
      </w:r>
      <w:r w:rsidR="00934A11" w:rsidRPr="00B740B4">
        <w:t>“</w:t>
      </w:r>
      <w:r w:rsidR="007729C1" w:rsidRPr="00B740B4">
        <w:t>say</w:t>
      </w:r>
      <w:r w:rsidR="00934A11" w:rsidRPr="00B740B4">
        <w:t>”</w:t>
      </w:r>
      <w:r w:rsidR="007729C1" w:rsidRPr="00B740B4">
        <w:t xml:space="preserve"> (cf. </w:t>
      </w:r>
      <w:r w:rsidR="00EB4288" w:rsidRPr="00B740B4">
        <w:t xml:space="preserve">OG; and </w:t>
      </w:r>
      <w:r w:rsidR="007729C1" w:rsidRPr="00B740B4">
        <w:t>Koch).</w:t>
      </w:r>
      <w:r w:rsidR="00900C4D">
        <w:t xml:space="preserve"> Many occurrences of the word in this chapter could be translated either way.</w:t>
      </w:r>
    </w:p>
    <w:p w:rsidR="00A159A9" w:rsidRPr="00B740B4" w:rsidRDefault="00A159A9" w:rsidP="00C35D91">
      <w:r w:rsidRPr="00B740B4">
        <w:t>20.b. 4QDan</w:t>
      </w:r>
      <w:r w:rsidRPr="00B740B4">
        <w:rPr>
          <w:vertAlign w:val="superscript"/>
        </w:rPr>
        <w:t>b</w:t>
      </w:r>
      <w:r w:rsidRPr="00B740B4">
        <w:t xml:space="preserve"> </w:t>
      </w:r>
      <w:r w:rsidR="00934A11" w:rsidRPr="00B740B4">
        <w:t>“</w:t>
      </w:r>
      <w:r w:rsidRPr="00B740B4">
        <w:t>the great God</w:t>
      </w:r>
      <w:r w:rsidR="00934A11" w:rsidRPr="00B740B4">
        <w:t>”</w:t>
      </w:r>
      <w:r w:rsidRPr="00B740B4">
        <w:t xml:space="preserve">; cf. OG </w:t>
      </w:r>
      <w:r w:rsidR="00934A11" w:rsidRPr="00B740B4">
        <w:t>“</w:t>
      </w:r>
      <w:r w:rsidRPr="00B740B4">
        <w:t>the great Lord.</w:t>
      </w:r>
      <w:r w:rsidR="00934A11" w:rsidRPr="00B740B4">
        <w:t>”</w:t>
      </w:r>
    </w:p>
    <w:p w:rsidR="00C35D91" w:rsidRPr="00B740B4" w:rsidRDefault="00A159A9" w:rsidP="00C35D91">
      <w:r w:rsidRPr="00B740B4">
        <w:t>20.c</w:t>
      </w:r>
      <w:r w:rsidR="00085F90" w:rsidRPr="00B740B4">
        <w:t xml:space="preserve">. I.e., </w:t>
      </w:r>
      <w:r w:rsidR="00934A11" w:rsidRPr="00B740B4">
        <w:t>“</w:t>
      </w:r>
      <w:r w:rsidR="00085F90" w:rsidRPr="00B740B4">
        <w:t>may Yahweh be,</w:t>
      </w:r>
      <w:r w:rsidR="00934A11" w:rsidRPr="00B740B4">
        <w:t>”</w:t>
      </w:r>
      <w:r w:rsidR="00C35D91" w:rsidRPr="00B740B4">
        <w:t xml:space="preserve"> </w:t>
      </w:r>
      <w:r w:rsidR="00B56F6D" w:rsidRPr="00B740B4">
        <w:t xml:space="preserve">see </w:t>
      </w:r>
      <w:r w:rsidR="00C35D91" w:rsidRPr="00B740B4">
        <w:rPr>
          <w:i/>
        </w:rPr>
        <w:t>Comment</w:t>
      </w:r>
      <w:r w:rsidR="00EB4288" w:rsidRPr="00B740B4">
        <w:t>; avoidance of</w:t>
      </w:r>
      <w:r w:rsidR="00B56F6D" w:rsidRPr="00B740B4">
        <w:t xml:space="preserve"> the actual name compares with</w:t>
      </w:r>
      <w:r w:rsidR="00C35D91" w:rsidRPr="00B740B4">
        <w:t xml:space="preserve"> the preference here and elsewhere for להוא or even לוה (</w:t>
      </w:r>
      <w:r w:rsidR="00934A11" w:rsidRPr="00B740B4">
        <w:t>“</w:t>
      </w:r>
      <w:r w:rsidR="00C35D91" w:rsidRPr="00B740B4">
        <w:t>may . . . be,</w:t>
      </w:r>
      <w:r w:rsidR="00934A11" w:rsidRPr="00B740B4">
        <w:t>”</w:t>
      </w:r>
      <w:r w:rsidR="00EB4288" w:rsidRPr="00B740B4">
        <w:t xml:space="preserve"> an EA-type imperfect</w:t>
      </w:r>
      <w:r w:rsidR="00C35D91" w:rsidRPr="00B740B4">
        <w:t>) to avoid the form יהוה which is identical with the divine name.</w:t>
      </w:r>
    </w:p>
    <w:p w:rsidR="00C35D91" w:rsidRPr="00B740B4" w:rsidRDefault="00A159A9" w:rsidP="00C35D91">
      <w:r w:rsidRPr="00B740B4">
        <w:t>20.d</w:t>
      </w:r>
      <w:r w:rsidR="00C35D91" w:rsidRPr="00B740B4">
        <w:t xml:space="preserve">. Or </w:t>
      </w:r>
      <w:r w:rsidR="00934A11" w:rsidRPr="00B740B4">
        <w:t>“</w:t>
      </w:r>
      <w:r w:rsidR="00C35D91" w:rsidRPr="00B740B4">
        <w:t>from age to age</w:t>
      </w:r>
      <w:r w:rsidR="00934A11" w:rsidRPr="00B740B4">
        <w:t>”</w:t>
      </w:r>
      <w:r w:rsidR="00900C4D">
        <w:t xml:space="preserve">: </w:t>
      </w:r>
      <w:r w:rsidR="00C35D91" w:rsidRPr="00B740B4">
        <w:t>both meanings of עלם</w:t>
      </w:r>
      <w:r w:rsidR="00EB4288" w:rsidRPr="00B740B4">
        <w:t xml:space="preserve"> apply here, suggesting </w:t>
      </w:r>
      <w:r w:rsidR="00C35D91" w:rsidRPr="00B740B4">
        <w:t>furthest possible time, past</w:t>
      </w:r>
      <w:r w:rsidR="00BF2806" w:rsidRPr="00B740B4">
        <w:t xml:space="preserve"> </w:t>
      </w:r>
      <w:r w:rsidR="00EB4288" w:rsidRPr="00B740B4">
        <w:t>or future</w:t>
      </w:r>
      <w:r w:rsidR="00900C4D">
        <w:t>. Either way,</w:t>
      </w:r>
      <w:r w:rsidR="00C35D91" w:rsidRPr="00B740B4">
        <w:t xml:space="preserve"> the wo</w:t>
      </w:r>
      <w:r w:rsidR="00EB4288" w:rsidRPr="00B740B4">
        <w:t xml:space="preserve">rd does not suggest timeless eternity: </w:t>
      </w:r>
      <w:r w:rsidR="00BF2806" w:rsidRPr="00B740B4">
        <w:t xml:space="preserve">see </w:t>
      </w:r>
      <w:r w:rsidR="00AF422C">
        <w:t>v</w:t>
      </w:r>
      <w:r w:rsidR="00BF2806" w:rsidRPr="00B740B4">
        <w:t xml:space="preserve"> 4 and n. 4.b</w:t>
      </w:r>
      <w:r w:rsidR="00900C4D">
        <w:t>. While t</w:t>
      </w:r>
      <w:r w:rsidR="00C35D91" w:rsidRPr="00B740B4">
        <w:t xml:space="preserve">hat </w:t>
      </w:r>
      <w:r w:rsidR="00616BF4" w:rsidRPr="00B740B4">
        <w:t xml:space="preserve">idea </w:t>
      </w:r>
      <w:r w:rsidR="00EB4288" w:rsidRPr="00B740B4">
        <w:t>does emerge</w:t>
      </w:r>
      <w:r w:rsidR="00616BF4" w:rsidRPr="00B740B4">
        <w:t xml:space="preserve"> </w:t>
      </w:r>
      <w:r w:rsidR="00C35D91" w:rsidRPr="00B740B4">
        <w:t>when עלם is linked wit</w:t>
      </w:r>
      <w:r w:rsidR="00616BF4" w:rsidRPr="00B740B4">
        <w:t>h God/his dominion/his deliverance</w:t>
      </w:r>
      <w:r w:rsidR="00C35D91" w:rsidRPr="00B740B4">
        <w:t xml:space="preserve"> (e.g.,</w:t>
      </w:r>
      <w:r w:rsidR="002B6994" w:rsidRPr="00B740B4">
        <w:t xml:space="preserve"> 4:34 [31</w:t>
      </w:r>
      <w:r w:rsidR="00900C4D">
        <w:t xml:space="preserve">]), even then </w:t>
      </w:r>
      <w:r w:rsidR="00EB4288" w:rsidRPr="00B740B4">
        <w:t>the connotation</w:t>
      </w:r>
      <w:r w:rsidR="00C35D91" w:rsidRPr="00B740B4">
        <w:t xml:space="preserve"> of unchangeable certa</w:t>
      </w:r>
      <w:r w:rsidR="00616BF4" w:rsidRPr="00B740B4">
        <w:t>inty is</w:t>
      </w:r>
      <w:r w:rsidR="00EB4288" w:rsidRPr="00B740B4">
        <w:t xml:space="preserve"> more important than the concept</w:t>
      </w:r>
      <w:r w:rsidR="00C35D91" w:rsidRPr="00B740B4">
        <w:t xml:space="preserve"> of me</w:t>
      </w:r>
      <w:r w:rsidR="00616BF4" w:rsidRPr="00B740B4">
        <w:t xml:space="preserve">re temporal continuance (cf. </w:t>
      </w:r>
      <w:r w:rsidR="00C35D91" w:rsidRPr="00B740B4">
        <w:t xml:space="preserve">Long, </w:t>
      </w:r>
      <w:r w:rsidR="00934A11" w:rsidRPr="00B740B4">
        <w:t>“</w:t>
      </w:r>
      <w:r w:rsidR="00C35D91" w:rsidRPr="00B740B4">
        <w:t>Notes on the Biblical Use of</w:t>
      </w:r>
      <w:r w:rsidR="00616BF4" w:rsidRPr="00B740B4">
        <w:t xml:space="preserve"> </w:t>
      </w:r>
      <w:r w:rsidR="00616BF4" w:rsidRPr="00B740B4">
        <w:rPr>
          <w:rFonts w:ascii="Arial" w:hAnsi="Arial" w:cs="Arial"/>
        </w:rPr>
        <w:t>ם</w:t>
      </w:r>
      <w:r w:rsidR="00616BF4" w:rsidRPr="00B740B4">
        <w:t xml:space="preserve"> </w:t>
      </w:r>
      <w:r w:rsidR="00616BF4" w:rsidRPr="00B740B4">
        <w:rPr>
          <w:rFonts w:ascii="Arial" w:hAnsi="Arial" w:cs="Arial"/>
        </w:rPr>
        <w:t>ל</w:t>
      </w:r>
      <w:r w:rsidR="00616BF4" w:rsidRPr="00B740B4">
        <w:t xml:space="preserve"> </w:t>
      </w:r>
      <w:r w:rsidR="00616BF4" w:rsidRPr="00B740B4">
        <w:rPr>
          <w:rFonts w:ascii="Arial" w:hAnsi="Arial" w:cs="Arial"/>
        </w:rPr>
        <w:t>ו</w:t>
      </w:r>
      <w:r w:rsidR="00616BF4" w:rsidRPr="00B740B4">
        <w:t xml:space="preserve"> </w:t>
      </w:r>
      <w:r w:rsidR="00616BF4" w:rsidRPr="00B740B4">
        <w:rPr>
          <w:rFonts w:ascii="Arial" w:hAnsi="Arial" w:cs="Arial"/>
        </w:rPr>
        <w:t>ע</w:t>
      </w:r>
      <w:r w:rsidR="00C35D91" w:rsidRPr="00B740B4">
        <w:t>-עד.</w:t>
      </w:r>
      <w:r w:rsidR="00934A11" w:rsidRPr="00B740B4">
        <w:t>”</w:t>
      </w:r>
      <w:r w:rsidR="00C35D91" w:rsidRPr="00B740B4">
        <w:t xml:space="preserve"> As v 20 also implies, to say </w:t>
      </w:r>
      <w:r w:rsidR="00EB4288" w:rsidRPr="00B740B4">
        <w:t xml:space="preserve">that </w:t>
      </w:r>
      <w:r w:rsidR="00C35D91" w:rsidRPr="00B740B4">
        <w:t>God is eternal</w:t>
      </w:r>
      <w:r w:rsidR="00900C4D">
        <w:t xml:space="preserve"> is not to make him outside time</w:t>
      </w:r>
      <w:r w:rsidR="00C35D91" w:rsidRPr="00B740B4">
        <w:t xml:space="preserve"> but to affirm him lord of all t</w:t>
      </w:r>
      <w:r w:rsidR="00900C4D">
        <w:t>ime and unlimited by time</w:t>
      </w:r>
      <w:r w:rsidR="009B410C">
        <w:t xml:space="preserve">: </w:t>
      </w:r>
      <w:r w:rsidR="002C43BE" w:rsidRPr="00B740B4">
        <w:t xml:space="preserve">see </w:t>
      </w:r>
      <w:r w:rsidR="00C35D91" w:rsidRPr="00B740B4">
        <w:t xml:space="preserve">Jenni, </w:t>
      </w:r>
      <w:r w:rsidR="00934A11" w:rsidRPr="00B740B4">
        <w:t>“</w:t>
      </w:r>
      <w:r w:rsidR="009B410C">
        <w:t>Das Wort ‘</w:t>
      </w:r>
      <w:r w:rsidR="00C35D91" w:rsidRPr="00B740B4">
        <w:t>ō</w:t>
      </w:r>
      <w:r w:rsidR="002C43BE" w:rsidRPr="00B740B4">
        <w:t>lām im AT</w:t>
      </w:r>
      <w:r w:rsidR="00934A11" w:rsidRPr="00B740B4">
        <w:t>”</w:t>
      </w:r>
      <w:r w:rsidR="002C43BE" w:rsidRPr="00B740B4">
        <w:t xml:space="preserve">; cf. </w:t>
      </w:r>
      <w:r w:rsidR="00C35D91" w:rsidRPr="00B740B4">
        <w:t xml:space="preserve">Barr, </w:t>
      </w:r>
      <w:r w:rsidR="00C35D91" w:rsidRPr="00B740B4">
        <w:rPr>
          <w:i/>
        </w:rPr>
        <w:t>Biblical Words for Time</w:t>
      </w:r>
      <w:r w:rsidR="002C43BE" w:rsidRPr="00B740B4">
        <w:t xml:space="preserve">, 69–70, 117 (rev. ed., 73–74, 123–24); </w:t>
      </w:r>
      <w:r w:rsidR="00C35D91" w:rsidRPr="00B740B4">
        <w:t xml:space="preserve">Gerleman, </w:t>
      </w:r>
      <w:r w:rsidR="00934A11" w:rsidRPr="00B740B4">
        <w:t>“</w:t>
      </w:r>
      <w:r w:rsidR="00C35D91" w:rsidRPr="00B740B4">
        <w:t>Die sperrende Grenz</w:t>
      </w:r>
      <w:r w:rsidR="002C43BE" w:rsidRPr="00B740B4">
        <w:t>e.</w:t>
      </w:r>
      <w:r w:rsidR="00934A11" w:rsidRPr="00B740B4">
        <w:t>”</w:t>
      </w:r>
    </w:p>
    <w:p w:rsidR="00E25EDE" w:rsidRPr="00B740B4" w:rsidRDefault="00E25EDE" w:rsidP="00C35D91">
      <w:r w:rsidRPr="00B740B4">
        <w:t>20.e. Th “insight” looks like a loose translation derived from the parallelism with “expertise</w:t>
      </w:r>
      <w:r w:rsidR="004A3A68" w:rsidRPr="00B740B4">
        <w:t xml:space="preserve">,” not an indication that </w:t>
      </w:r>
      <w:r w:rsidR="004A3A68" w:rsidRPr="00B740B4">
        <w:rPr>
          <w:rFonts w:ascii="Arial" w:hAnsi="Arial" w:cs="Arial"/>
        </w:rPr>
        <w:t>ה</w:t>
      </w:r>
      <w:r w:rsidR="004A3A68" w:rsidRPr="00B740B4">
        <w:t xml:space="preserve"> </w:t>
      </w:r>
      <w:r w:rsidR="004A3A68" w:rsidRPr="00B740B4">
        <w:rPr>
          <w:rFonts w:ascii="Arial" w:hAnsi="Arial" w:cs="Arial"/>
        </w:rPr>
        <w:t>ר</w:t>
      </w:r>
      <w:r w:rsidR="004A3A68" w:rsidRPr="00B740B4">
        <w:t xml:space="preserve"> </w:t>
      </w:r>
      <w:r w:rsidR="004A3A68" w:rsidRPr="00B740B4">
        <w:rPr>
          <w:rFonts w:ascii="Arial" w:hAnsi="Arial" w:cs="Arial"/>
        </w:rPr>
        <w:t>ו</w:t>
      </w:r>
      <w:r w:rsidR="004A3A68" w:rsidRPr="00B740B4">
        <w:t xml:space="preserve"> </w:t>
      </w:r>
      <w:r w:rsidR="004A3A68" w:rsidRPr="00B740B4">
        <w:rPr>
          <w:rFonts w:ascii="Arial" w:hAnsi="Arial" w:cs="Arial"/>
        </w:rPr>
        <w:t>ב</w:t>
      </w:r>
      <w:r w:rsidR="004A3A68" w:rsidRPr="00B740B4">
        <w:t xml:space="preserve"> </w:t>
      </w:r>
      <w:r w:rsidR="004A3A68" w:rsidRPr="00B740B4">
        <w:rPr>
          <w:rFonts w:ascii="Arial" w:hAnsi="Arial" w:cs="Arial"/>
        </w:rPr>
        <w:t>ג</w:t>
      </w:r>
      <w:r w:rsidR="00B96DA7" w:rsidRPr="00B740B4">
        <w:t xml:space="preserve"> </w:t>
      </w:r>
      <w:r w:rsidR="004A3A68" w:rsidRPr="00B740B4">
        <w:t xml:space="preserve">means “strength of insight”; </w:t>
      </w:r>
      <w:r w:rsidR="00B96DA7" w:rsidRPr="00B740B4">
        <w:t>see n. 23.c.</w:t>
      </w:r>
    </w:p>
    <w:p w:rsidR="00C35D91" w:rsidRPr="00B740B4" w:rsidRDefault="00C35D91" w:rsidP="00C35D91">
      <w:r w:rsidRPr="00B740B4">
        <w:t>21.a.</w:t>
      </w:r>
      <w:r w:rsidR="00CF7445" w:rsidRPr="00B740B4">
        <w:t xml:space="preserve"> For</w:t>
      </w:r>
      <w:r w:rsidRPr="00B740B4">
        <w:t xml:space="preserve"> זמניא</w:t>
      </w:r>
      <w:r w:rsidR="00CF7445" w:rsidRPr="00B740B4">
        <w:t>, EVV</w:t>
      </w:r>
      <w:r w:rsidRPr="00B740B4">
        <w:t xml:space="preserve"> </w:t>
      </w:r>
      <w:r w:rsidR="00934A11" w:rsidRPr="00B740B4">
        <w:t>“</w:t>
      </w:r>
      <w:r w:rsidRPr="00B740B4">
        <w:t>seasons</w:t>
      </w:r>
      <w:r w:rsidR="00934A11" w:rsidRPr="00B740B4">
        <w:t>”</w:t>
      </w:r>
      <w:r w:rsidRPr="00B740B4">
        <w:t xml:space="preserve"> </w:t>
      </w:r>
      <w:r w:rsidR="00CF7445" w:rsidRPr="00B740B4">
        <w:t>could give</w:t>
      </w:r>
      <w:r w:rsidRPr="00B740B4">
        <w:t xml:space="preserve"> the wrong impression; there is no great difference from עדניא </w:t>
      </w:r>
      <w:r w:rsidR="00934A11" w:rsidRPr="00B740B4">
        <w:t>“</w:t>
      </w:r>
      <w:r w:rsidRPr="00B740B4">
        <w:t>times.</w:t>
      </w:r>
      <w:r w:rsidR="00934A11" w:rsidRPr="00B740B4">
        <w:t>”</w:t>
      </w:r>
    </w:p>
    <w:p w:rsidR="00156B14" w:rsidRPr="00B740B4" w:rsidRDefault="009C06CB" w:rsidP="00C35D91">
      <w:r w:rsidRPr="00B740B4">
        <w:t xml:space="preserve">22.a. To </w:t>
      </w:r>
      <w:r w:rsidR="00156B14" w:rsidRPr="00B740B4">
        <w:t>translate the passive more literally</w:t>
      </w:r>
      <w:r w:rsidRPr="00B740B4">
        <w:t>,</w:t>
      </w:r>
      <w:r w:rsidR="00156B14" w:rsidRPr="00B740B4">
        <w:t xml:space="preserve"> “is settled” (see BDB</w:t>
      </w:r>
      <w:r w:rsidR="005F0FD3" w:rsidRPr="00B740B4">
        <w:t xml:space="preserve">; cf. </w:t>
      </w:r>
      <w:r w:rsidR="005F0FD3" w:rsidRPr="00B740B4">
        <w:rPr>
          <w:i/>
        </w:rPr>
        <w:t>DTT</w:t>
      </w:r>
      <w:r w:rsidR="005F0FD3" w:rsidRPr="00B740B4">
        <w:t xml:space="preserve"> 1629-30</w:t>
      </w:r>
      <w:r w:rsidR="00156B14" w:rsidRPr="00B740B4">
        <w:t>).</w:t>
      </w:r>
    </w:p>
    <w:p w:rsidR="00C35D91" w:rsidRPr="00B740B4" w:rsidRDefault="00C35D91" w:rsidP="00C35D91">
      <w:r w:rsidRPr="00B740B4">
        <w:t>23.a. ידה/ידא can have sin as well as Go</w:t>
      </w:r>
      <w:r w:rsidR="00CF7445" w:rsidRPr="00B740B4">
        <w:t>d (and human beings) a</w:t>
      </w:r>
      <w:r w:rsidR="005F0FD3" w:rsidRPr="00B740B4">
        <w:t>s its object</w:t>
      </w:r>
      <w:r w:rsidRPr="00B740B4">
        <w:t xml:space="preserve"> (see Comment [h] on 9:3–23); </w:t>
      </w:r>
      <w:r w:rsidR="00934A11" w:rsidRPr="00B740B4">
        <w:t>“</w:t>
      </w:r>
      <w:r w:rsidRPr="00B740B4">
        <w:t>confess</w:t>
      </w:r>
      <w:r w:rsidR="00934A11" w:rsidRPr="00B740B4">
        <w:t>”</w:t>
      </w:r>
      <w:r w:rsidRPr="00B740B4">
        <w:t xml:space="preserve"> </w:t>
      </w:r>
      <w:r w:rsidR="005F0FD3" w:rsidRPr="00B740B4">
        <w:t xml:space="preserve">(cf. G, Vg) </w:t>
      </w:r>
      <w:r w:rsidRPr="00B740B4">
        <w:t>brings out its meaning in these differ</w:t>
      </w:r>
      <w:r w:rsidR="007E56EE" w:rsidRPr="00B740B4">
        <w:t>ent connections better than EVV</w:t>
      </w:r>
      <w:r w:rsidRPr="00B740B4">
        <w:t xml:space="preserve"> </w:t>
      </w:r>
      <w:r w:rsidR="00934A11" w:rsidRPr="00B740B4">
        <w:t>“</w:t>
      </w:r>
      <w:r w:rsidRPr="00B740B4">
        <w:t>give thanks.</w:t>
      </w:r>
      <w:r w:rsidR="00934A11" w:rsidRPr="00B740B4">
        <w:t>”</w:t>
      </w:r>
    </w:p>
    <w:p w:rsidR="00C35D91" w:rsidRPr="00B740B4" w:rsidRDefault="00C35D91" w:rsidP="00C35D91">
      <w:r w:rsidRPr="00B740B4">
        <w:t>23.b. שבח, too, is not an essential</w:t>
      </w:r>
      <w:r w:rsidR="007E56EE" w:rsidRPr="00B740B4">
        <w:t xml:space="preserve">ly religious word; it means </w:t>
      </w:r>
      <w:r w:rsidR="00934A11" w:rsidRPr="00B740B4">
        <w:t>“</w:t>
      </w:r>
      <w:r w:rsidRPr="00B740B4">
        <w:t>recognize the value of</w:t>
      </w:r>
      <w:r w:rsidR="00934A11" w:rsidRPr="00B740B4">
        <w:t>”</w:t>
      </w:r>
      <w:r w:rsidRPr="00B740B4">
        <w:t xml:space="preserve"> (cf. </w:t>
      </w:r>
      <w:r w:rsidRPr="00B740B4">
        <w:rPr>
          <w:i/>
        </w:rPr>
        <w:t>DTT</w:t>
      </w:r>
      <w:r w:rsidRPr="00B740B4">
        <w:t>).</w:t>
      </w:r>
    </w:p>
    <w:p w:rsidR="00927650" w:rsidRPr="00B740B4" w:rsidRDefault="00C35D91" w:rsidP="00C35D91">
      <w:r w:rsidRPr="00B740B4">
        <w:t>23.</w:t>
      </w:r>
      <w:r w:rsidR="007E56EE" w:rsidRPr="00B740B4">
        <w:t xml:space="preserve">c. </w:t>
      </w:r>
      <w:r w:rsidR="00A73267" w:rsidRPr="00B740B4">
        <w:t xml:space="preserve">Whereas OG had </w:t>
      </w:r>
      <w:r w:rsidR="00934A11" w:rsidRPr="00B740B4">
        <w:t>“</w:t>
      </w:r>
      <w:r w:rsidR="00A73267" w:rsidRPr="00B740B4">
        <w:t>majesty</w:t>
      </w:r>
      <w:r w:rsidR="00934A11" w:rsidRPr="00B740B4">
        <w:t>”</w:t>
      </w:r>
      <w:r w:rsidR="00A73267" w:rsidRPr="00B740B4">
        <w:t xml:space="preserve"> for </w:t>
      </w:r>
      <w:r w:rsidR="00A33F1D" w:rsidRPr="00B740B4">
        <w:rPr>
          <w:rFonts w:ascii="Arial" w:hAnsi="Arial" w:cs="Arial"/>
        </w:rPr>
        <w:t>ה</w:t>
      </w:r>
      <w:r w:rsidR="00A33F1D" w:rsidRPr="00B740B4">
        <w:t xml:space="preserve"> </w:t>
      </w:r>
      <w:r w:rsidR="00A33F1D" w:rsidRPr="00B740B4">
        <w:rPr>
          <w:rFonts w:ascii="Arial" w:hAnsi="Arial" w:cs="Arial"/>
        </w:rPr>
        <w:t>ר</w:t>
      </w:r>
      <w:r w:rsidR="00A33F1D" w:rsidRPr="00B740B4">
        <w:t xml:space="preserve"> </w:t>
      </w:r>
      <w:r w:rsidR="00A33F1D" w:rsidRPr="00B740B4">
        <w:rPr>
          <w:rFonts w:ascii="Arial" w:hAnsi="Arial" w:cs="Arial"/>
        </w:rPr>
        <w:t>ו</w:t>
      </w:r>
      <w:r w:rsidR="00A33F1D" w:rsidRPr="00B740B4">
        <w:t xml:space="preserve"> </w:t>
      </w:r>
      <w:r w:rsidR="00A33F1D" w:rsidRPr="00B740B4">
        <w:rPr>
          <w:rFonts w:ascii="Arial" w:hAnsi="Arial" w:cs="Arial"/>
        </w:rPr>
        <w:t>ב</w:t>
      </w:r>
      <w:r w:rsidR="00A33F1D" w:rsidRPr="00B740B4">
        <w:t xml:space="preserve"> </w:t>
      </w:r>
      <w:r w:rsidR="00A33F1D" w:rsidRPr="00B740B4">
        <w:rPr>
          <w:rFonts w:ascii="Arial" w:hAnsi="Arial" w:cs="Arial"/>
        </w:rPr>
        <w:t>ג</w:t>
      </w:r>
      <w:r w:rsidR="00A73267" w:rsidRPr="00B740B4">
        <w:t xml:space="preserve"> </w:t>
      </w:r>
      <w:r w:rsidR="00A33F1D" w:rsidRPr="00B740B4">
        <w:t xml:space="preserve">in </w:t>
      </w:r>
      <w:r w:rsidR="00AF422C">
        <w:t>v</w:t>
      </w:r>
      <w:r w:rsidR="00A33F1D" w:rsidRPr="00B740B4">
        <w:t xml:space="preserve"> 20, here it has</w:t>
      </w:r>
      <w:r w:rsidR="007E56EE" w:rsidRPr="00B740B4">
        <w:t xml:space="preserve"> </w:t>
      </w:r>
      <w:r w:rsidR="00934A11" w:rsidRPr="00B740B4">
        <w:t>“</w:t>
      </w:r>
      <w:r w:rsidR="007E56EE" w:rsidRPr="00B740B4">
        <w:t>intelligence</w:t>
      </w:r>
      <w:r w:rsidR="00A33F1D" w:rsidRPr="00B740B4">
        <w:t>,</w:t>
      </w:r>
      <w:r w:rsidR="00934A11" w:rsidRPr="00B740B4">
        <w:t>”</w:t>
      </w:r>
      <w:r w:rsidR="00A33F1D" w:rsidRPr="00B740B4">
        <w:t xml:space="preserve"> which</w:t>
      </w:r>
      <w:r w:rsidRPr="00B740B4">
        <w:t xml:space="preserve"> produces the kind of hendiadys Daniel is</w:t>
      </w:r>
      <w:r w:rsidR="00A33F1D" w:rsidRPr="00B740B4">
        <w:t xml:space="preserve"> fond of. B</w:t>
      </w:r>
      <w:r w:rsidR="007E56EE" w:rsidRPr="00B740B4">
        <w:t xml:space="preserve">ut </w:t>
      </w:r>
      <w:r w:rsidR="00A33F1D" w:rsidRPr="00B740B4">
        <w:t xml:space="preserve">on the basis of the usual meaning of </w:t>
      </w:r>
      <w:r w:rsidR="00A33F1D" w:rsidRPr="00B740B4">
        <w:rPr>
          <w:rFonts w:ascii="Arial" w:hAnsi="Arial" w:cs="Arial"/>
        </w:rPr>
        <w:t>ה</w:t>
      </w:r>
      <w:r w:rsidR="00A33F1D" w:rsidRPr="00B740B4">
        <w:t xml:space="preserve"> </w:t>
      </w:r>
      <w:r w:rsidR="00A33F1D" w:rsidRPr="00B740B4">
        <w:rPr>
          <w:rFonts w:ascii="Arial" w:hAnsi="Arial" w:cs="Arial"/>
        </w:rPr>
        <w:t>ר</w:t>
      </w:r>
      <w:r w:rsidR="00A33F1D" w:rsidRPr="00B740B4">
        <w:t xml:space="preserve"> </w:t>
      </w:r>
      <w:r w:rsidR="00A33F1D" w:rsidRPr="00B740B4">
        <w:rPr>
          <w:rFonts w:ascii="Arial" w:hAnsi="Arial" w:cs="Arial"/>
        </w:rPr>
        <w:t>ו</w:t>
      </w:r>
      <w:r w:rsidR="00A33F1D" w:rsidRPr="00B740B4">
        <w:t xml:space="preserve"> </w:t>
      </w:r>
      <w:r w:rsidR="00A33F1D" w:rsidRPr="00B740B4">
        <w:rPr>
          <w:rFonts w:ascii="Arial" w:hAnsi="Arial" w:cs="Arial"/>
        </w:rPr>
        <w:t>ב</w:t>
      </w:r>
      <w:r w:rsidR="00A33F1D" w:rsidRPr="00B740B4">
        <w:t xml:space="preserve"> </w:t>
      </w:r>
      <w:r w:rsidR="00A33F1D" w:rsidRPr="00B740B4">
        <w:rPr>
          <w:rFonts w:ascii="Arial" w:hAnsi="Arial" w:cs="Arial"/>
        </w:rPr>
        <w:t>ג,</w:t>
      </w:r>
      <w:r w:rsidR="00A33F1D" w:rsidRPr="00B740B4">
        <w:t xml:space="preserve"> </w:t>
      </w:r>
      <w:r w:rsidR="00934A11" w:rsidRPr="00B740B4">
        <w:t>“</w:t>
      </w:r>
      <w:r w:rsidR="007E56EE" w:rsidRPr="00B740B4">
        <w:t>expertise</w:t>
      </w:r>
      <w:r w:rsidR="00A33F1D" w:rsidRPr="00B740B4">
        <w:t xml:space="preserve"> and might</w:t>
      </w:r>
      <w:r w:rsidR="00934A11" w:rsidRPr="00B740B4">
        <w:t>”</w:t>
      </w:r>
      <w:r w:rsidR="00A33F1D" w:rsidRPr="00B740B4">
        <w:t xml:space="preserve"> in vv 20 and 23 is a bracket around vv 21–22.</w:t>
      </w:r>
    </w:p>
    <w:p w:rsidR="00C35D91" w:rsidRPr="00B740B4" w:rsidRDefault="00927650" w:rsidP="00C35D91">
      <w:r w:rsidRPr="00B740B4">
        <w:t xml:space="preserve">23.d. </w:t>
      </w:r>
      <w:r w:rsidR="00C93BE4" w:rsidRPr="00B740B4">
        <w:t>Lit.</w:t>
      </w:r>
      <w:r w:rsidRPr="00B740B4">
        <w:t xml:space="preserve">, </w:t>
      </w:r>
      <w:r w:rsidR="00934A11" w:rsidRPr="00B740B4">
        <w:t>“</w:t>
      </w:r>
      <w:r w:rsidR="00900C4D">
        <w:t>the king’s thing</w:t>
      </w:r>
      <w:r w:rsidRPr="00B740B4">
        <w:t>.</w:t>
      </w:r>
      <w:r w:rsidR="00934A11" w:rsidRPr="00B740B4">
        <w:t>”</w:t>
      </w:r>
      <w:r w:rsidR="00A33F1D" w:rsidRPr="00B740B4">
        <w:t xml:space="preserve"> </w:t>
      </w:r>
    </w:p>
    <w:p w:rsidR="00C35D91" w:rsidRPr="00B740B4" w:rsidRDefault="00C35D91" w:rsidP="00C35D91">
      <w:r w:rsidRPr="00B740B4">
        <w:t xml:space="preserve">24.a. </w:t>
      </w:r>
      <w:r w:rsidR="00934A11" w:rsidRPr="00B740B4">
        <w:t>“</w:t>
      </w:r>
      <w:r w:rsidR="00C140A8" w:rsidRPr="00B740B4">
        <w:t>Went to</w:t>
      </w:r>
      <w:r w:rsidR="00934A11" w:rsidRPr="00B740B4">
        <w:t>”</w:t>
      </w:r>
      <w:r w:rsidR="00C140A8" w:rsidRPr="00B740B4">
        <w:t xml:space="preserve"> is </w:t>
      </w:r>
      <w:r w:rsidRPr="00B740B4">
        <w:t>על</w:t>
      </w:r>
      <w:r w:rsidR="00C140A8" w:rsidRPr="00B740B4">
        <w:t xml:space="preserve"> </w:t>
      </w:r>
      <w:r w:rsidR="00C140A8" w:rsidRPr="00B740B4">
        <w:rPr>
          <w:rFonts w:ascii="Arial" w:hAnsi="Arial" w:cs="Arial"/>
        </w:rPr>
        <w:t>על</w:t>
      </w:r>
      <w:r w:rsidR="005F0FD3" w:rsidRPr="00B740B4">
        <w:t>;</w:t>
      </w:r>
      <w:r w:rsidR="00C140A8" w:rsidRPr="00B740B4">
        <w:t xml:space="preserve"> 4QDan</w:t>
      </w:r>
      <w:r w:rsidR="00C140A8" w:rsidRPr="00B740B4">
        <w:rPr>
          <w:vertAlign w:val="superscript"/>
        </w:rPr>
        <w:t>a</w:t>
      </w:r>
      <w:r w:rsidR="00C140A8" w:rsidRPr="00B740B4">
        <w:t xml:space="preserve"> and some medieval mss omit </w:t>
      </w:r>
      <w:r w:rsidR="00934A11" w:rsidRPr="00B740B4">
        <w:t>“</w:t>
      </w:r>
      <w:r w:rsidR="00C140A8" w:rsidRPr="00B740B4">
        <w:t>went,</w:t>
      </w:r>
      <w:r w:rsidR="00934A11" w:rsidRPr="00B740B4">
        <w:t>”</w:t>
      </w:r>
      <w:r w:rsidR="00C140A8" w:rsidRPr="00B740B4">
        <w:t xml:space="preserve"> </w:t>
      </w:r>
      <w:r w:rsidR="00A33F1D" w:rsidRPr="00B740B4">
        <w:t xml:space="preserve">while </w:t>
      </w:r>
      <w:r w:rsidRPr="00B740B4">
        <w:t xml:space="preserve">G, Vg </w:t>
      </w:r>
      <w:r w:rsidR="00A33F1D" w:rsidRPr="00B740B4">
        <w:t xml:space="preserve">omit </w:t>
      </w:r>
      <w:r w:rsidR="00934A11" w:rsidRPr="00B740B4">
        <w:t>“</w:t>
      </w:r>
      <w:r w:rsidR="00C140A8" w:rsidRPr="00B740B4">
        <w:t>came</w:t>
      </w:r>
      <w:r w:rsidR="00934A11" w:rsidRPr="00B740B4">
        <w:t>”</w:t>
      </w:r>
      <w:r w:rsidR="00927650" w:rsidRPr="00B740B4">
        <w:t xml:space="preserve"> </w:t>
      </w:r>
      <w:r w:rsidRPr="00B740B4">
        <w:t>(</w:t>
      </w:r>
      <w:r w:rsidR="00A33F1D" w:rsidRPr="00B740B4">
        <w:rPr>
          <w:rFonts w:ascii="Arial" w:hAnsi="Arial" w:cs="Arial"/>
        </w:rPr>
        <w:t>ל</w:t>
      </w:r>
      <w:r w:rsidRPr="00B740B4">
        <w:t>אז</w:t>
      </w:r>
      <w:r w:rsidR="00C140A8" w:rsidRPr="00B740B4">
        <w:t>). B</w:t>
      </w:r>
      <w:r w:rsidRPr="00B740B4">
        <w:t xml:space="preserve">oth </w:t>
      </w:r>
      <w:r w:rsidR="00927650" w:rsidRPr="00B740B4">
        <w:t xml:space="preserve">verbs </w:t>
      </w:r>
      <w:r w:rsidR="00C140A8" w:rsidRPr="00B740B4">
        <w:t>are picked up from vv 16, 17 and</w:t>
      </w:r>
      <w:r w:rsidRPr="00B740B4">
        <w:t xml:space="preserve"> the omissions (the first being haplog</w:t>
      </w:r>
      <w:r w:rsidR="00A33F1D" w:rsidRPr="00B740B4">
        <w:t>.</w:t>
      </w:r>
      <w:r w:rsidR="00CF6243" w:rsidRPr="00B740B4">
        <w:t>) as</w:t>
      </w:r>
      <w:r w:rsidR="005F0FD3" w:rsidRPr="00B740B4">
        <w:t xml:space="preserve"> likely indicate</w:t>
      </w:r>
      <w:r w:rsidRPr="00B740B4">
        <w:t xml:space="preserve"> </w:t>
      </w:r>
      <w:r w:rsidR="00C140A8" w:rsidRPr="00B740B4">
        <w:t xml:space="preserve">simplification of an </w:t>
      </w:r>
      <w:r w:rsidRPr="00B740B4">
        <w:t>expansive style than a shorter original.</w:t>
      </w:r>
    </w:p>
    <w:p w:rsidR="00C35D91" w:rsidRPr="00B740B4" w:rsidRDefault="00C35D91" w:rsidP="00C35D91">
      <w:r w:rsidRPr="00B740B4">
        <w:t>24.b. תהובד</w:t>
      </w:r>
      <w:r w:rsidR="009B410C">
        <w:t xml:space="preserve"> </w:t>
      </w:r>
      <w:r w:rsidR="009B410C" w:rsidRPr="009B410C">
        <w:rPr>
          <w:rFonts w:ascii="Arial" w:hAnsi="Arial" w:cs="Arial"/>
        </w:rPr>
        <w:t>ל</w:t>
      </w:r>
      <w:r w:rsidR="009B410C" w:rsidRPr="009B410C">
        <w:t xml:space="preserve"> </w:t>
      </w:r>
      <w:r w:rsidR="009B410C" w:rsidRPr="009B410C">
        <w:rPr>
          <w:rFonts w:ascii="Arial" w:hAnsi="Arial" w:cs="Arial"/>
        </w:rPr>
        <w:t>א</w:t>
      </w:r>
      <w:r w:rsidRPr="00B740B4">
        <w:t xml:space="preserve">: perhaps </w:t>
      </w:r>
      <w:r w:rsidR="00934A11" w:rsidRPr="00B740B4">
        <w:t>“</w:t>
      </w:r>
      <w:r w:rsidRPr="00B740B4">
        <w:t>stop killing.</w:t>
      </w:r>
      <w:r w:rsidR="00934A11" w:rsidRPr="00B740B4">
        <w:t>”</w:t>
      </w:r>
    </w:p>
    <w:p w:rsidR="00C35D91" w:rsidRPr="00B740B4" w:rsidRDefault="00C35D91" w:rsidP="00C35D91">
      <w:r w:rsidRPr="00B740B4">
        <w:t xml:space="preserve">25.a. Or </w:t>
      </w:r>
      <w:r w:rsidR="00934A11" w:rsidRPr="00B740B4">
        <w:t>“</w:t>
      </w:r>
      <w:r w:rsidRPr="00B740B4">
        <w:t>with excitement</w:t>
      </w:r>
      <w:r w:rsidR="00934A11" w:rsidRPr="00B740B4">
        <w:t>”</w:t>
      </w:r>
      <w:r w:rsidRPr="00B740B4">
        <w:t xml:space="preserve"> (cf. </w:t>
      </w:r>
      <w:r w:rsidRPr="00B740B4">
        <w:rPr>
          <w:i/>
        </w:rPr>
        <w:t>DTT</w:t>
      </w:r>
      <w:r w:rsidR="00A33F1D" w:rsidRPr="00B740B4">
        <w:t>; NEB</w:t>
      </w:r>
      <w:r w:rsidRPr="00B740B4">
        <w:t xml:space="preserve"> </w:t>
      </w:r>
      <w:r w:rsidR="00A33F1D" w:rsidRPr="00B740B4">
        <w:t xml:space="preserve">has </w:t>
      </w:r>
      <w:r w:rsidR="00934A11" w:rsidRPr="00B740B4">
        <w:t>“</w:t>
      </w:r>
      <w:r w:rsidRPr="00B740B4">
        <w:t>in trepidation</w:t>
      </w:r>
      <w:r w:rsidR="00934A11" w:rsidRPr="00B740B4">
        <w:t>”</w:t>
      </w:r>
      <w:r w:rsidR="00A33F1D" w:rsidRPr="00B740B4">
        <w:t>)</w:t>
      </w:r>
      <w:r w:rsidRPr="00B740B4">
        <w:t>: בהל suggests strong fe</w:t>
      </w:r>
      <w:r w:rsidR="00A33F1D" w:rsidRPr="00B740B4">
        <w:t>elings, not just speed</w:t>
      </w:r>
      <w:r w:rsidRPr="00B740B4">
        <w:t>.</w:t>
      </w:r>
    </w:p>
    <w:p w:rsidR="00C35D91" w:rsidRPr="00B740B4" w:rsidRDefault="00C35D91" w:rsidP="00C35D91">
      <w:r w:rsidRPr="00B740B4">
        <w:lastRenderedPageBreak/>
        <w:t xml:space="preserve">25.b. הנעל: </w:t>
      </w:r>
      <w:r w:rsidR="0079356A" w:rsidRPr="00B740B4">
        <w:t xml:space="preserve">perhaps </w:t>
      </w:r>
      <w:r w:rsidRPr="00B740B4">
        <w:t>formed by analogy with the antonym הנפק (5:2) (</w:t>
      </w:r>
      <w:r w:rsidR="0079356A" w:rsidRPr="00B740B4">
        <w:t xml:space="preserve">so Bergman, </w:t>
      </w:r>
      <w:r w:rsidR="00934A11" w:rsidRPr="00B740B4">
        <w:t>“</w:t>
      </w:r>
      <w:r w:rsidR="0079356A" w:rsidRPr="00B740B4">
        <w:t>Han‘el</w:t>
      </w:r>
      <w:r w:rsidR="00934A11" w:rsidRPr="00B740B4">
        <w:t>”</w:t>
      </w:r>
      <w:r w:rsidRPr="00B740B4">
        <w:t>).</w:t>
      </w:r>
    </w:p>
    <w:p w:rsidR="00C35D91" w:rsidRPr="00B740B4" w:rsidRDefault="00C35D91" w:rsidP="00C35D91">
      <w:r w:rsidRPr="00B740B4">
        <w:t>26.a. איתי</w:t>
      </w:r>
      <w:r w:rsidR="0079356A" w:rsidRPr="00B740B4">
        <w:t xml:space="preserve"> followed by participle</w:t>
      </w:r>
      <w:r w:rsidRPr="00B740B4">
        <w:t xml:space="preserve"> is emphatic/confirmative (</w:t>
      </w:r>
      <w:r w:rsidRPr="00B740B4">
        <w:rPr>
          <w:i/>
        </w:rPr>
        <w:t>EWS</w:t>
      </w:r>
      <w:r w:rsidR="0079356A" w:rsidRPr="00B740B4">
        <w:t>,</w:t>
      </w:r>
      <w:r w:rsidRPr="00B740B4">
        <w:t xml:space="preserve"> 81).</w:t>
      </w:r>
    </w:p>
    <w:p w:rsidR="00C35D91" w:rsidRPr="00B740B4" w:rsidRDefault="00C35D91" w:rsidP="00C35D91">
      <w:r w:rsidRPr="00B740B4">
        <w:t>27.a. גזרין: see Comment on v 2.</w:t>
      </w:r>
    </w:p>
    <w:p w:rsidR="00C35D91" w:rsidRPr="00B740B4" w:rsidRDefault="00C35D91" w:rsidP="00C35D91">
      <w:r w:rsidRPr="00B740B4">
        <w:t xml:space="preserve">28.a. The </w:t>
      </w:r>
      <w:r w:rsidR="0079356A" w:rsidRPr="00B740B4">
        <w:t xml:space="preserve">unusual </w:t>
      </w:r>
      <w:r w:rsidRPr="00B740B4">
        <w:t>word order מלכא נבוכדנצר</w:t>
      </w:r>
      <w:r w:rsidR="0079356A" w:rsidRPr="00B740B4">
        <w:t xml:space="preserve"> (contrast, e.g., 3:1–9) </w:t>
      </w:r>
      <w:r w:rsidRPr="00B740B4">
        <w:t>s</w:t>
      </w:r>
      <w:r w:rsidR="0079356A" w:rsidRPr="00B740B4">
        <w:t xml:space="preserve">eems to be a Hebraism (so </w:t>
      </w:r>
      <w:r w:rsidRPr="00B740B4">
        <w:t xml:space="preserve">Mastin, </w:t>
      </w:r>
      <w:r w:rsidR="00934A11" w:rsidRPr="00B740B4">
        <w:t>“</w:t>
      </w:r>
      <w:r w:rsidRPr="00B740B4">
        <w:t>Appositional Ki</w:t>
      </w:r>
      <w:r w:rsidR="0079356A" w:rsidRPr="00B740B4">
        <w:t>ngship in Daniel</w:t>
      </w:r>
      <w:r w:rsidR="00934A11" w:rsidRPr="00B740B4">
        <w:t>”</w:t>
      </w:r>
      <w:r w:rsidR="0079356A" w:rsidRPr="00B740B4">
        <w:t>); see n. 1:21.b.</w:t>
      </w:r>
    </w:p>
    <w:p w:rsidR="00C35D91" w:rsidRPr="00B740B4" w:rsidRDefault="00C35D91" w:rsidP="00C35D91">
      <w:r w:rsidRPr="00B740B4">
        <w:t>28.b.</w:t>
      </w:r>
      <w:r w:rsidR="0079356A" w:rsidRPr="00B740B4">
        <w:t xml:space="preserve"> </w:t>
      </w:r>
      <w:r w:rsidR="0079356A" w:rsidRPr="00B740B4">
        <w:rPr>
          <w:rFonts w:ascii="Arial" w:hAnsi="Arial" w:cs="Arial"/>
        </w:rPr>
        <w:t>וחזוי</w:t>
      </w:r>
      <w:r w:rsidR="0079356A" w:rsidRPr="00B740B4">
        <w:t xml:space="preserve"> </w:t>
      </w:r>
      <w:r w:rsidRPr="00B740B4">
        <w:t>חלמך: explicati</w:t>
      </w:r>
      <w:r w:rsidR="00DF1A53" w:rsidRPr="00B740B4">
        <w:t>ve waw; on s</w:t>
      </w:r>
      <w:r w:rsidR="0079356A" w:rsidRPr="00B740B4">
        <w:t>.</w:t>
      </w:r>
      <w:r w:rsidR="00DF1A53" w:rsidRPr="00B740B4">
        <w:t xml:space="preserve"> and pl. see n. 1.a</w:t>
      </w:r>
      <w:r w:rsidRPr="00B740B4">
        <w:t>.</w:t>
      </w:r>
    </w:p>
    <w:p w:rsidR="00C35D91" w:rsidRPr="00B740B4" w:rsidRDefault="00C35D91" w:rsidP="00C35D91">
      <w:r w:rsidRPr="00B740B4">
        <w:t>28.c. The OT usually associates mental activity with the h</w:t>
      </w:r>
      <w:r w:rsidR="0079356A" w:rsidRPr="00B740B4">
        <w:t>eart, not the head (cf. n. 30.a; n. 1:8.a</w:t>
      </w:r>
      <w:r w:rsidR="000C3FC8" w:rsidRPr="00B740B4">
        <w:t>; Jer 23:16), and t</w:t>
      </w:r>
      <w:r w:rsidR="009B410C">
        <w:t xml:space="preserve">he reference </w:t>
      </w:r>
      <w:r w:rsidRPr="00B740B4">
        <w:t>may be to the head as containing the eyes. But Glasson (</w:t>
      </w:r>
      <w:r w:rsidR="00934A11" w:rsidRPr="00B740B4">
        <w:t>“</w:t>
      </w:r>
      <w:r w:rsidR="00FB2D24" w:rsidRPr="00B740B4">
        <w:t>Visions of Thy Head</w:t>
      </w:r>
      <w:r w:rsidR="00934A11" w:rsidRPr="00B740B4">
        <w:t>”</w:t>
      </w:r>
      <w:r w:rsidRPr="00B740B4">
        <w:t>) finds here the influence of Greek thinking, which did regard the head as the seat of consciousness and thought.</w:t>
      </w:r>
    </w:p>
    <w:p w:rsidR="00C169D0" w:rsidRDefault="00C169D0" w:rsidP="00C169D0">
      <w:r>
        <w:t>29.a</w:t>
      </w:r>
      <w:r w:rsidR="001014AB" w:rsidRPr="00B740B4">
        <w:t xml:space="preserve">. BHS and JPSV have the s. </w:t>
      </w:r>
      <w:r w:rsidR="001014AB" w:rsidRPr="00B740B4">
        <w:rPr>
          <w:rFonts w:ascii="Arial" w:hAnsi="Arial" w:cs="Arial"/>
        </w:rPr>
        <w:t>רעיונך</w:t>
      </w:r>
      <w:r w:rsidR="001014AB" w:rsidRPr="00B740B4">
        <w:t xml:space="preserve"> (cf. 5:10) but BHS notes that the original hand of L had pl. </w:t>
      </w:r>
    </w:p>
    <w:p w:rsidR="001014AB" w:rsidRPr="00C169D0" w:rsidRDefault="00C169D0" w:rsidP="00C169D0">
      <w:pPr>
        <w:ind w:firstLine="0"/>
      </w:pPr>
      <w:r w:rsidRPr="00C169D0">
        <w:rPr>
          <w:rFonts w:ascii="Arial" w:hAnsi="Arial" w:cs="Arial"/>
        </w:rPr>
        <w:t>ך</w:t>
      </w:r>
      <w:r w:rsidRPr="00C169D0">
        <w:t xml:space="preserve"> </w:t>
      </w:r>
      <w:r w:rsidRPr="00C169D0">
        <w:rPr>
          <w:rFonts w:ascii="Arial" w:hAnsi="Arial" w:cs="Arial"/>
        </w:rPr>
        <w:t>י</w:t>
      </w:r>
      <w:r w:rsidRPr="00C169D0">
        <w:t xml:space="preserve"> </w:t>
      </w:r>
      <w:r w:rsidRPr="00C169D0">
        <w:rPr>
          <w:rFonts w:ascii="Arial" w:hAnsi="Arial" w:cs="Arial"/>
        </w:rPr>
        <w:t>נ</w:t>
      </w:r>
      <w:r w:rsidRPr="00C169D0">
        <w:t xml:space="preserve"> </w:t>
      </w:r>
      <w:r w:rsidRPr="00C169D0">
        <w:rPr>
          <w:rFonts w:ascii="Arial" w:hAnsi="Arial" w:cs="Arial"/>
        </w:rPr>
        <w:t>ו</w:t>
      </w:r>
      <w:r w:rsidRPr="00C169D0">
        <w:t xml:space="preserve"> </w:t>
      </w:r>
      <w:r w:rsidRPr="00C169D0">
        <w:rPr>
          <w:rFonts w:ascii="Arial" w:hAnsi="Arial" w:cs="Arial"/>
        </w:rPr>
        <w:t>י</w:t>
      </w:r>
      <w:r w:rsidRPr="00C169D0">
        <w:t xml:space="preserve"> </w:t>
      </w:r>
      <w:r w:rsidRPr="00C169D0">
        <w:rPr>
          <w:rFonts w:ascii="Arial" w:hAnsi="Arial" w:cs="Arial"/>
        </w:rPr>
        <w:t>ע</w:t>
      </w:r>
      <w:r w:rsidRPr="00C169D0">
        <w:t xml:space="preserve"> </w:t>
      </w:r>
      <w:r w:rsidRPr="00C169D0">
        <w:rPr>
          <w:rFonts w:ascii="Arial" w:hAnsi="Arial" w:cs="Arial"/>
        </w:rPr>
        <w:t>ר</w:t>
      </w:r>
      <w:r w:rsidR="001014AB" w:rsidRPr="00B740B4">
        <w:rPr>
          <w:rFonts w:ascii="Arial" w:hAnsi="Arial" w:cs="Arial"/>
        </w:rPr>
        <w:t xml:space="preserve"> </w:t>
      </w:r>
      <w:r w:rsidR="001014AB" w:rsidRPr="00B740B4">
        <w:rPr>
          <w:rFonts w:cs="Arial"/>
        </w:rPr>
        <w:t>(cf. 4QDan</w:t>
      </w:r>
      <w:r w:rsidR="001014AB" w:rsidRPr="00B740B4">
        <w:rPr>
          <w:rFonts w:cs="Arial"/>
          <w:vertAlign w:val="superscript"/>
        </w:rPr>
        <w:t xml:space="preserve">b </w:t>
      </w:r>
      <w:r w:rsidR="001014AB" w:rsidRPr="00B740B4">
        <w:rPr>
          <w:rFonts w:cs="Arial"/>
        </w:rPr>
        <w:t>and some medieval mss).</w:t>
      </w:r>
    </w:p>
    <w:p w:rsidR="00C169D0" w:rsidRPr="00B740B4" w:rsidRDefault="00C169D0" w:rsidP="00C169D0">
      <w:r>
        <w:t>29.b</w:t>
      </w:r>
      <w:r w:rsidRPr="00B740B4">
        <w:t xml:space="preserve">. </w:t>
      </w:r>
      <w:r w:rsidRPr="00B740B4">
        <w:rPr>
          <w:rFonts w:ascii="Arial" w:hAnsi="Arial" w:cs="Arial"/>
        </w:rPr>
        <w:t>סלק</w:t>
      </w:r>
      <w:r w:rsidRPr="00B740B4">
        <w:t xml:space="preserve"> “come up,” uniquely in BA; see </w:t>
      </w:r>
      <w:r w:rsidRPr="00B740B4">
        <w:rPr>
          <w:i/>
        </w:rPr>
        <w:t>DTT</w:t>
      </w:r>
      <w:r w:rsidRPr="00B740B4">
        <w:t>, also BH עלה (BDB, 749a).</w:t>
      </w:r>
    </w:p>
    <w:p w:rsidR="00C35D91" w:rsidRPr="00B740B4" w:rsidRDefault="001014AB" w:rsidP="00C35D91">
      <w:r w:rsidRPr="00B740B4">
        <w:t>29.c</w:t>
      </w:r>
      <w:r w:rsidR="00C35D91" w:rsidRPr="00B740B4">
        <w:t>. The cl</w:t>
      </w:r>
      <w:r w:rsidR="00FB2D24" w:rsidRPr="00B740B4">
        <w:t>ause</w:t>
      </w:r>
      <w:r w:rsidR="00C35D91" w:rsidRPr="00B740B4">
        <w:t xml:space="preserve"> is epexegetic to ך</w:t>
      </w:r>
      <w:r w:rsidR="00C169D0">
        <w:t xml:space="preserve"> </w:t>
      </w:r>
      <w:r w:rsidR="00C169D0" w:rsidRPr="00C169D0">
        <w:rPr>
          <w:rFonts w:ascii="Arial" w:hAnsi="Arial" w:cs="Arial"/>
        </w:rPr>
        <w:t>י</w:t>
      </w:r>
      <w:r w:rsidR="00C169D0">
        <w:t xml:space="preserve"> </w:t>
      </w:r>
      <w:r w:rsidR="00C169D0" w:rsidRPr="00C169D0">
        <w:rPr>
          <w:rFonts w:ascii="Arial" w:hAnsi="Arial" w:cs="Arial"/>
        </w:rPr>
        <w:t>נ</w:t>
      </w:r>
      <w:r w:rsidR="00C169D0">
        <w:t xml:space="preserve"> </w:t>
      </w:r>
      <w:r w:rsidR="00C169D0" w:rsidRPr="00C169D0">
        <w:rPr>
          <w:rFonts w:ascii="Arial" w:hAnsi="Arial" w:cs="Arial"/>
        </w:rPr>
        <w:t>ו</w:t>
      </w:r>
      <w:r w:rsidR="00C35D91" w:rsidRPr="00B740B4">
        <w:t xml:space="preserve"> </w:t>
      </w:r>
      <w:r w:rsidR="00C169D0" w:rsidRPr="00C169D0">
        <w:rPr>
          <w:rFonts w:ascii="Arial" w:hAnsi="Arial" w:cs="Arial"/>
        </w:rPr>
        <w:t>י</w:t>
      </w:r>
      <w:r w:rsidR="00C169D0">
        <w:t xml:space="preserve"> </w:t>
      </w:r>
      <w:r w:rsidR="00C169D0" w:rsidRPr="00C169D0">
        <w:rPr>
          <w:rFonts w:ascii="Arial" w:hAnsi="Arial" w:cs="Arial"/>
        </w:rPr>
        <w:t>ע</w:t>
      </w:r>
      <w:r w:rsidR="00C169D0">
        <w:t xml:space="preserve"> </w:t>
      </w:r>
      <w:r w:rsidR="00C169D0" w:rsidRPr="00C169D0">
        <w:rPr>
          <w:rFonts w:ascii="Arial" w:hAnsi="Arial" w:cs="Arial"/>
        </w:rPr>
        <w:t>ר</w:t>
      </w:r>
      <w:r w:rsidR="00C169D0" w:rsidRPr="00C169D0">
        <w:t xml:space="preserve"> </w:t>
      </w:r>
      <w:r w:rsidR="00934A11" w:rsidRPr="00B740B4">
        <w:t>“</w:t>
      </w:r>
      <w:r w:rsidR="00C35D91" w:rsidRPr="00B740B4">
        <w:t>your thoughts</w:t>
      </w:r>
      <w:r w:rsidR="00934A11" w:rsidRPr="00B740B4">
        <w:t>”</w:t>
      </w:r>
      <w:r w:rsidR="00C35D91" w:rsidRPr="00B740B4">
        <w:t xml:space="preserve"> (Montgomery), not indirect </w:t>
      </w:r>
      <w:r w:rsidR="00133F87" w:rsidRPr="00B740B4">
        <w:t xml:space="preserve">object </w:t>
      </w:r>
      <w:r w:rsidR="00C35D91" w:rsidRPr="00B740B4">
        <w:t xml:space="preserve">of </w:t>
      </w:r>
      <w:r w:rsidR="006D7923" w:rsidRPr="00B740B4">
        <w:rPr>
          <w:rFonts w:ascii="Arial" w:hAnsi="Arial" w:cs="Arial"/>
        </w:rPr>
        <w:t>סלק</w:t>
      </w:r>
      <w:r w:rsidR="006D7923" w:rsidRPr="00B740B4">
        <w:t xml:space="preserve"> </w:t>
      </w:r>
      <w:r w:rsidR="00FB2D24" w:rsidRPr="00B740B4">
        <w:t>(Th</w:t>
      </w:r>
      <w:r w:rsidR="00C35D91" w:rsidRPr="00B740B4">
        <w:t>).</w:t>
      </w:r>
    </w:p>
    <w:p w:rsidR="00C35D91" w:rsidRPr="00B740B4" w:rsidRDefault="00C35D91" w:rsidP="00C35D91">
      <w:r w:rsidRPr="00B740B4">
        <w:t>30.a.</w:t>
      </w:r>
      <w:r w:rsidR="00FB2D24" w:rsidRPr="00B740B4">
        <w:t xml:space="preserve"> </w:t>
      </w:r>
      <w:r w:rsidR="00FB2D24" w:rsidRPr="00B740B4">
        <w:rPr>
          <w:rFonts w:ascii="Arial" w:hAnsi="Arial" w:cs="Arial"/>
        </w:rPr>
        <w:t>לבבך</w:t>
      </w:r>
      <w:r w:rsidRPr="00B740B4">
        <w:t xml:space="preserve"> רעיוני </w:t>
      </w:r>
      <w:r w:rsidR="00934A11" w:rsidRPr="00B740B4">
        <w:t>“</w:t>
      </w:r>
      <w:r w:rsidRPr="00B740B4">
        <w:t>the thoug</w:t>
      </w:r>
      <w:r w:rsidR="00FB2D24" w:rsidRPr="00B740B4">
        <w:t>hts of your heart</w:t>
      </w:r>
      <w:r w:rsidR="00934A11" w:rsidRPr="00B740B4">
        <w:t>”</w:t>
      </w:r>
      <w:r w:rsidR="00FB2D24" w:rsidRPr="00B740B4">
        <w:t xml:space="preserve">: see n. 28.c. The sentence </w:t>
      </w:r>
      <w:r w:rsidR="000C3FC8" w:rsidRPr="00B740B4">
        <w:t>is slightly</w:t>
      </w:r>
      <w:r w:rsidRPr="00B740B4">
        <w:t xml:space="preserve"> elliptical; Daniel</w:t>
      </w:r>
      <w:r w:rsidR="000C3FC8" w:rsidRPr="00B740B4">
        <w:t>’s point is that he has the revelation not because of</w:t>
      </w:r>
      <w:r w:rsidRPr="00B740B4">
        <w:t xml:space="preserve"> </w:t>
      </w:r>
      <w:r w:rsidR="000C3FC8" w:rsidRPr="00B740B4">
        <w:t xml:space="preserve">his </w:t>
      </w:r>
      <w:r w:rsidRPr="00B740B4">
        <w:t xml:space="preserve">wisdom but </w:t>
      </w:r>
      <w:r w:rsidR="000C3FC8" w:rsidRPr="00B740B4">
        <w:t xml:space="preserve">because of </w:t>
      </w:r>
      <w:r w:rsidRPr="00B740B4">
        <w:t>the divine purpose to make it known to the king.</w:t>
      </w:r>
    </w:p>
    <w:p w:rsidR="00C35D91" w:rsidRPr="00B740B4" w:rsidRDefault="00FB2D24" w:rsidP="00C35D91">
      <w:r w:rsidRPr="00B740B4">
        <w:t xml:space="preserve">31.a. Th lacks </w:t>
      </w:r>
      <w:r w:rsidR="00934A11" w:rsidRPr="00B740B4">
        <w:t>“</w:t>
      </w:r>
      <w:r w:rsidRPr="00B740B4">
        <w:t>large,</w:t>
      </w:r>
      <w:r w:rsidR="00934A11" w:rsidRPr="00B740B4">
        <w:t>”</w:t>
      </w:r>
      <w:r w:rsidRPr="00B740B4">
        <w:t xml:space="preserve"> but it</w:t>
      </w:r>
      <w:r w:rsidR="00C35D91" w:rsidRPr="00B740B4">
        <w:t xml:space="preserve"> may be abbreviating because of difficulty in construin</w:t>
      </w:r>
      <w:r w:rsidR="00362CC9" w:rsidRPr="00B740B4">
        <w:t>g the awkward and repetitive sentence (cf. Syr</w:t>
      </w:r>
      <w:r w:rsidR="00C35D91" w:rsidRPr="00B740B4">
        <w:t>’s paraphrase)</w:t>
      </w:r>
      <w:r w:rsidR="000C3FC8" w:rsidRPr="00B740B4">
        <w:t xml:space="preserve"> which reflects the vision’s </w:t>
      </w:r>
      <w:r w:rsidR="00283E5A" w:rsidRPr="00B740B4">
        <w:t>unutterable</w:t>
      </w:r>
      <w:r w:rsidR="000C3FC8" w:rsidRPr="00B740B4">
        <w:t xml:space="preserve"> nature</w:t>
      </w:r>
      <w:r w:rsidR="00C35D91" w:rsidRPr="00B740B4">
        <w:t>.</w:t>
      </w:r>
    </w:p>
    <w:p w:rsidR="00C35D91" w:rsidRPr="00B740B4" w:rsidRDefault="00C35D91" w:rsidP="00C35D91">
      <w:r w:rsidRPr="00B740B4">
        <w:t>32.a. Or copper; but the alloy bronze is stronger and thus more commonly used</w:t>
      </w:r>
      <w:r w:rsidR="004617A3" w:rsidRPr="00B740B4">
        <w:t>, not least for images (see Koch).</w:t>
      </w:r>
    </w:p>
    <w:p w:rsidR="00C35D91" w:rsidRPr="00B740B4" w:rsidRDefault="00C35D91" w:rsidP="00C35D91">
      <w:r w:rsidRPr="00B740B4">
        <w:t xml:space="preserve">33.a. שק (BH שוק) denotes the leg as a whole (cf. </w:t>
      </w:r>
      <w:r w:rsidRPr="00B740B4">
        <w:rPr>
          <w:i/>
        </w:rPr>
        <w:t>DTT</w:t>
      </w:r>
      <w:r w:rsidRPr="00B740B4">
        <w:t xml:space="preserve">; OG σκέλη), though excluding the hip, which belongs to the bronze section. Th κνῆμαι, Vg </w:t>
      </w:r>
      <w:r w:rsidRPr="00B740B4">
        <w:rPr>
          <w:i/>
        </w:rPr>
        <w:t>tibiae</w:t>
      </w:r>
      <w:r w:rsidRPr="00B740B4">
        <w:t xml:space="preserve"> </w:t>
      </w:r>
      <w:r w:rsidR="00362CC9" w:rsidRPr="00B740B4">
        <w:t>imply the lower leg only (shin/</w:t>
      </w:r>
      <w:r w:rsidR="00283E5A" w:rsidRPr="00B740B4">
        <w:t>calf): s</w:t>
      </w:r>
      <w:r w:rsidRPr="00B740B4">
        <w:t>o BDB</w:t>
      </w:r>
      <w:r w:rsidR="00362CC9" w:rsidRPr="00B740B4">
        <w:t>,</w:t>
      </w:r>
      <w:r w:rsidRPr="00B740B4">
        <w:t xml:space="preserve"> 1003, but its ref</w:t>
      </w:r>
      <w:r w:rsidR="00362CC9" w:rsidRPr="00B740B4">
        <w:t>erence</w:t>
      </w:r>
      <w:r w:rsidRPr="00B740B4">
        <w:t xml:space="preserve">s do not necessitate this </w:t>
      </w:r>
      <w:r w:rsidR="00C169D0">
        <w:t xml:space="preserve">meaning </w:t>
      </w:r>
      <w:r w:rsidRPr="00B740B4">
        <w:t xml:space="preserve">for human beings and </w:t>
      </w:r>
      <w:r w:rsidR="00C169D0">
        <w:t xml:space="preserve">they </w:t>
      </w:r>
      <w:r w:rsidRPr="00B740B4">
        <w:t>exclude it for animals.</w:t>
      </w:r>
    </w:p>
    <w:p w:rsidR="00C35D91" w:rsidRPr="00B740B4" w:rsidRDefault="00C35D91" w:rsidP="00C35D91">
      <w:r w:rsidRPr="00B740B4">
        <w:t>33.b.</w:t>
      </w:r>
      <w:r w:rsidR="006D7923" w:rsidRPr="00B740B4">
        <w:rPr>
          <w:rFonts w:ascii="Arial" w:hAnsi="Arial" w:cs="Arial"/>
        </w:rPr>
        <w:t xml:space="preserve"> חסף</w:t>
      </w:r>
      <w:r w:rsidR="00362CC9" w:rsidRPr="00B740B4">
        <w:t xml:space="preserve">: not </w:t>
      </w:r>
      <w:r w:rsidR="00934A11" w:rsidRPr="00B740B4">
        <w:t>“</w:t>
      </w:r>
      <w:r w:rsidR="00362CC9" w:rsidRPr="00B740B4">
        <w:t>clay</w:t>
      </w:r>
      <w:r w:rsidR="00934A11" w:rsidRPr="00B740B4">
        <w:t>”</w:t>
      </w:r>
      <w:r w:rsidR="00362CC9" w:rsidRPr="00B740B4">
        <w:t xml:space="preserve"> (the raw material</w:t>
      </w:r>
      <w:r w:rsidRPr="00B740B4">
        <w:t>; cf. טינא</w:t>
      </w:r>
      <w:r w:rsidR="00362CC9" w:rsidRPr="00B740B4">
        <w:t>, v 41) but</w:t>
      </w:r>
      <w:r w:rsidRPr="00B740B4">
        <w:t xml:space="preserve"> decorative tiling or potsherds (Th ὀστράκινον), tatty decoration when strength of structure is really needed. Contrast the description of Bei as clay</w:t>
      </w:r>
      <w:r w:rsidR="00362CC9" w:rsidRPr="00B740B4">
        <w:t xml:space="preserve"> inside, bronze outside (Bel </w:t>
      </w:r>
      <w:r w:rsidR="00C169D0">
        <w:t>and the Snake</w:t>
      </w:r>
      <w:r w:rsidR="00362CC9" w:rsidRPr="00B740B4">
        <w:t>7).</w:t>
      </w:r>
    </w:p>
    <w:p w:rsidR="00C35D91" w:rsidRPr="00B740B4" w:rsidRDefault="00C35D91" w:rsidP="00C35D91">
      <w:r w:rsidRPr="00B740B4">
        <w:t>34.a.</w:t>
      </w:r>
      <w:r w:rsidR="0025213E" w:rsidRPr="00B740B4">
        <w:t xml:space="preserve"> </w:t>
      </w:r>
      <w:r w:rsidR="0025213E" w:rsidRPr="00B740B4">
        <w:rPr>
          <w:rFonts w:ascii="Arial" w:hAnsi="Arial" w:cs="Arial"/>
        </w:rPr>
        <w:t>די</w:t>
      </w:r>
      <w:r w:rsidRPr="00B740B4">
        <w:t xml:space="preserve"> עד </w:t>
      </w:r>
      <w:r w:rsidR="00283E5A" w:rsidRPr="00B740B4">
        <w:t xml:space="preserve">often means “as” not “until” </w:t>
      </w:r>
      <w:r w:rsidR="003F14FD" w:rsidRPr="00B740B4">
        <w:t>in the visions (also 6:24 [25</w:t>
      </w:r>
      <w:r w:rsidRPr="00B740B4">
        <w:t>]) (BL 79i).</w:t>
      </w:r>
      <w:r w:rsidR="00C45E71" w:rsidRPr="00B740B4">
        <w:t xml:space="preserve"> On the similar phrases in vv 31 and 34 see </w:t>
      </w:r>
      <w:r w:rsidR="00C45E71" w:rsidRPr="00B740B4">
        <w:rPr>
          <w:bCs/>
        </w:rPr>
        <w:t>Li</w:t>
      </w:r>
      <w:r w:rsidR="00C45E71" w:rsidRPr="00B740B4">
        <w:rPr>
          <w:b/>
          <w:bCs/>
        </w:rPr>
        <w:t>,</w:t>
      </w:r>
      <w:r w:rsidR="00C45E71" w:rsidRPr="00B740B4">
        <w:rPr>
          <w:bCs/>
        </w:rPr>
        <w:t xml:space="preserve"> “The Function of the Active Participle in the Aramaic of Daniel,” 91.</w:t>
      </w:r>
    </w:p>
    <w:p w:rsidR="00C35D91" w:rsidRPr="00B740B4" w:rsidRDefault="0025213E" w:rsidP="00C35D91">
      <w:r w:rsidRPr="00B740B4">
        <w:t>34.b. G</w:t>
      </w:r>
      <w:r w:rsidR="00323A7B" w:rsidRPr="00B740B4">
        <w:t>, Vg</w:t>
      </w:r>
      <w:r w:rsidR="00C35D91" w:rsidRPr="00B740B4">
        <w:t xml:space="preserve"> add מטור</w:t>
      </w:r>
      <w:r w:rsidR="00B82F52" w:rsidRPr="00B740B4">
        <w:t xml:space="preserve"> </w:t>
      </w:r>
      <w:r w:rsidR="00934A11" w:rsidRPr="00B740B4">
        <w:t>“</w:t>
      </w:r>
      <w:r w:rsidR="00B82F52" w:rsidRPr="00B740B4">
        <w:t>from a crag</w:t>
      </w:r>
      <w:r w:rsidR="00934A11" w:rsidRPr="00B740B4">
        <w:t>”</w:t>
      </w:r>
      <w:r w:rsidR="00B82F52" w:rsidRPr="00B740B4">
        <w:t>;</w:t>
      </w:r>
      <w:r w:rsidR="00C35D91" w:rsidRPr="00B740B4">
        <w:t xml:space="preserve"> cf. v 45. But interpretations often contain more detail than the original vision: cf. vv 33, 41–4</w:t>
      </w:r>
      <w:r w:rsidR="00B82F52" w:rsidRPr="00B740B4">
        <w:t xml:space="preserve">2 (n. 41.a, </w:t>
      </w:r>
      <w:r w:rsidR="00283E5A" w:rsidRPr="00B740B4">
        <w:t xml:space="preserve">n. </w:t>
      </w:r>
      <w:r w:rsidR="00B82F52" w:rsidRPr="00B740B4">
        <w:t>42.a-a</w:t>
      </w:r>
      <w:r w:rsidR="00A64FD3">
        <w:t xml:space="preserve">); 7:7–8, 19–21. </w:t>
      </w:r>
      <w:r w:rsidR="00C35D91" w:rsidRPr="00B740B4">
        <w:t>Eissfeldt (</w:t>
      </w:r>
      <w:r w:rsidR="00934A11" w:rsidRPr="00B740B4">
        <w:t>“</w:t>
      </w:r>
      <w:r w:rsidR="00A64FD3">
        <w:t>Die Menetekel-Inschrift</w:t>
      </w:r>
      <w:r w:rsidR="00B82F52" w:rsidRPr="00B740B4">
        <w:t>,</w:t>
      </w:r>
      <w:r w:rsidR="00934A11" w:rsidRPr="00B740B4">
        <w:t>”</w:t>
      </w:r>
      <w:r w:rsidR="00C35D91" w:rsidRPr="00B740B4">
        <w:t xml:space="preserve"> 112–13) compares with the scriptural interpretation in 1QpHab, e.g., 12.1, 7, as well as the omen interpretation in Dan 5:25–28.</w:t>
      </w:r>
    </w:p>
    <w:p w:rsidR="00C35D91" w:rsidRPr="00B740B4" w:rsidRDefault="00C35D91" w:rsidP="00C35D91">
      <w:r w:rsidRPr="00B740B4">
        <w:t>35.a. כחדה suggests suddenness more than simultaneity; cf. BH [ו] יחד (e.g., Isa 43:17; 45:16) more than כאחד (e.g., Ezra 3:9; Isa 65:25).</w:t>
      </w:r>
    </w:p>
    <w:p w:rsidR="00C35D91" w:rsidRPr="00B740B4" w:rsidRDefault="00C35D91" w:rsidP="00C35D91">
      <w:r w:rsidRPr="00B740B4">
        <w:t>35.b. I</w:t>
      </w:r>
      <w:r w:rsidR="00283E5A" w:rsidRPr="00B740B4">
        <w:t xml:space="preserve"> take</w:t>
      </w:r>
      <w:r w:rsidRPr="00B740B4">
        <w:t xml:space="preserve"> דקו</w:t>
      </w:r>
      <w:r w:rsidR="00283E5A" w:rsidRPr="00B740B4">
        <w:t xml:space="preserve"> a</w:t>
      </w:r>
      <w:r w:rsidRPr="00B740B4">
        <w:t>s intr</w:t>
      </w:r>
      <w:r w:rsidR="00323A7B" w:rsidRPr="00B740B4">
        <w:t>ansitive</w:t>
      </w:r>
      <w:r w:rsidR="00283E5A" w:rsidRPr="00B740B4">
        <w:t xml:space="preserve"> active, though it could</w:t>
      </w:r>
      <w:r w:rsidR="00323A7B" w:rsidRPr="00B740B4">
        <w:t xml:space="preserve"> be </w:t>
      </w:r>
      <w:r w:rsidR="00283E5A" w:rsidRPr="00B740B4">
        <w:t>passive</w:t>
      </w:r>
      <w:r w:rsidR="00A64FD3">
        <w:t>,</w:t>
      </w:r>
      <w:r w:rsidR="00283E5A" w:rsidRPr="00B740B4">
        <w:t xml:space="preserve"> or</w:t>
      </w:r>
      <w:r w:rsidRPr="00B740B4">
        <w:t xml:space="preserve"> impersonal act</w:t>
      </w:r>
      <w:r w:rsidR="00323A7B" w:rsidRPr="00B740B4">
        <w:t>ive</w:t>
      </w:r>
      <w:r w:rsidRPr="00B740B4">
        <w:t xml:space="preserve"> (</w:t>
      </w:r>
      <w:r w:rsidR="00934A11" w:rsidRPr="00B740B4">
        <w:t>“</w:t>
      </w:r>
      <w:r w:rsidRPr="00B740B4">
        <w:t>they shattered the iron . . .</w:t>
      </w:r>
      <w:r w:rsidR="00934A11" w:rsidRPr="00B740B4">
        <w:t>”</w:t>
      </w:r>
      <w:r w:rsidRPr="00B740B4">
        <w:t xml:space="preserve">), </w:t>
      </w:r>
      <w:r w:rsidR="00323A7B" w:rsidRPr="00B740B4">
        <w:t xml:space="preserve">still </w:t>
      </w:r>
      <w:r w:rsidRPr="00B740B4">
        <w:t>to be tr</w:t>
      </w:r>
      <w:r w:rsidR="00323A7B" w:rsidRPr="00B740B4">
        <w:t>anslated</w:t>
      </w:r>
      <w:r w:rsidRPr="00B740B4">
        <w:t xml:space="preserve"> by the pass</w:t>
      </w:r>
      <w:r w:rsidR="00323A7B" w:rsidRPr="00B740B4">
        <w:t>ive</w:t>
      </w:r>
      <w:r w:rsidR="00F34B86">
        <w:t xml:space="preserve"> (</w:t>
      </w:r>
      <w:r w:rsidR="00F34B86">
        <w:rPr>
          <w:i/>
        </w:rPr>
        <w:t>HALOT</w:t>
      </w:r>
      <w:r w:rsidRPr="00B740B4">
        <w:t>).</w:t>
      </w:r>
      <w:r w:rsidR="007729C1" w:rsidRPr="00B740B4">
        <w:t xml:space="preserve"> The word is pointed as from </w:t>
      </w:r>
      <w:r w:rsidR="007729C1" w:rsidRPr="00B740B4">
        <w:rPr>
          <w:rFonts w:ascii="Arial" w:hAnsi="Arial" w:cs="Arial"/>
        </w:rPr>
        <w:t>דוק</w:t>
      </w:r>
      <w:r w:rsidR="007729C1" w:rsidRPr="00B740B4">
        <w:t xml:space="preserve">, not </w:t>
      </w:r>
      <w:r w:rsidR="007729C1" w:rsidRPr="00B740B4">
        <w:rPr>
          <w:rFonts w:ascii="Arial" w:hAnsi="Arial" w:cs="Arial"/>
        </w:rPr>
        <w:t>דקק</w:t>
      </w:r>
      <w:r w:rsidR="007729C1" w:rsidRPr="00B740B4">
        <w:t>; both occur (</w:t>
      </w:r>
      <w:r w:rsidR="007729C1" w:rsidRPr="00B740B4">
        <w:rPr>
          <w:i/>
        </w:rPr>
        <w:t>DTT</w:t>
      </w:r>
      <w:r w:rsidR="007729C1" w:rsidRPr="00B740B4">
        <w:t>).</w:t>
      </w:r>
    </w:p>
    <w:p w:rsidR="00257839" w:rsidRPr="00B740B4" w:rsidRDefault="00257839" w:rsidP="00C35D91">
      <w:r w:rsidRPr="00B740B4">
        <w:t>35.c. 4QDan</w:t>
      </w:r>
      <w:r w:rsidRPr="00B740B4">
        <w:rPr>
          <w:vertAlign w:val="superscript"/>
        </w:rPr>
        <w:t>a</w:t>
      </w:r>
      <w:r w:rsidRPr="00B740B4">
        <w:t>, G, Vg, Syr have s.</w:t>
      </w:r>
    </w:p>
    <w:p w:rsidR="00C35D91" w:rsidRPr="00B740B4" w:rsidRDefault="00257839" w:rsidP="00C35D91">
      <w:r w:rsidRPr="00B740B4">
        <w:t>35.d</w:t>
      </w:r>
      <w:r w:rsidR="00557312" w:rsidRPr="00B740B4">
        <w:t xml:space="preserve">. </w:t>
      </w:r>
      <w:r w:rsidR="00557312" w:rsidRPr="00B740B4">
        <w:rPr>
          <w:i/>
        </w:rPr>
        <w:t xml:space="preserve">HALOT </w:t>
      </w:r>
      <w:r w:rsidR="00557312" w:rsidRPr="00B740B4">
        <w:t xml:space="preserve">suggests </w:t>
      </w:r>
      <w:r w:rsidR="00934A11" w:rsidRPr="00B740B4">
        <w:t>“</w:t>
      </w:r>
      <w:r w:rsidR="00557312" w:rsidRPr="00B740B4">
        <w:t>trace,</w:t>
      </w:r>
      <w:r w:rsidR="00934A11" w:rsidRPr="00B740B4">
        <w:t>”</w:t>
      </w:r>
      <w:r w:rsidR="00557312" w:rsidRPr="00B740B4">
        <w:t xml:space="preserve"> but </w:t>
      </w:r>
      <w:r w:rsidR="00934A11" w:rsidRPr="00B740B4">
        <w:t>“</w:t>
      </w:r>
      <w:r w:rsidR="00C35D91" w:rsidRPr="00B740B4">
        <w:t>place</w:t>
      </w:r>
      <w:r w:rsidR="00934A11" w:rsidRPr="00B740B4">
        <w:t>”</w:t>
      </w:r>
      <w:r w:rsidR="00C35D91" w:rsidRPr="00B740B4">
        <w:t xml:space="preserve"> </w:t>
      </w:r>
      <w:r w:rsidR="00557312" w:rsidRPr="00B740B4">
        <w:t xml:space="preserve">(Th, Vg) </w:t>
      </w:r>
      <w:r w:rsidR="00C35D91" w:rsidRPr="00B740B4">
        <w:t xml:space="preserve">fits regular usage of אתר, fits the context (v 35b: there was no room left for them), and fits the allusion in Rev 20:11 (Charles; Jones, </w:t>
      </w:r>
      <w:r w:rsidR="00884A2D" w:rsidRPr="00B740B4">
        <w:rPr>
          <w:i/>
        </w:rPr>
        <w:t>Ideas of History in the Book of Daniel,</w:t>
      </w:r>
      <w:r w:rsidR="00557312" w:rsidRPr="00B740B4">
        <w:rPr>
          <w:i/>
        </w:rPr>
        <w:t xml:space="preserve"> </w:t>
      </w:r>
      <w:r w:rsidR="00C35D91" w:rsidRPr="00B740B4">
        <w:t>257).</w:t>
      </w:r>
    </w:p>
    <w:p w:rsidR="00C35D91" w:rsidRPr="00B740B4" w:rsidRDefault="00C35D91" w:rsidP="00C35D91">
      <w:r w:rsidRPr="00B740B4">
        <w:t xml:space="preserve">36.a. While the pl. might denote deference/meekness (cf. v 30), </w:t>
      </w:r>
      <w:r w:rsidR="00557312" w:rsidRPr="00B740B4">
        <w:t xml:space="preserve">or </w:t>
      </w:r>
      <w:r w:rsidRPr="00B740B4">
        <w:t xml:space="preserve">less plausibly reference to the divine council or use of the </w:t>
      </w:r>
      <w:r w:rsidR="00934A11" w:rsidRPr="00B740B4">
        <w:t>“</w:t>
      </w:r>
      <w:r w:rsidRPr="00B740B4">
        <w:t>royal we,</w:t>
      </w:r>
      <w:r w:rsidR="00934A11" w:rsidRPr="00B740B4">
        <w:t>”</w:t>
      </w:r>
      <w:r w:rsidRPr="00B740B4">
        <w:t xml:space="preserve"> the incidental but deliberate emphasis on including the friends in vv 17–18, 23</w:t>
      </w:r>
      <w:r w:rsidR="00A64FD3">
        <w:t xml:space="preserve">, 49 suggests </w:t>
      </w:r>
      <w:r w:rsidRPr="00B740B4">
        <w:t xml:space="preserve">the </w:t>
      </w:r>
      <w:r w:rsidR="00FC7A35" w:rsidRPr="00B740B4">
        <w:t xml:space="preserve">same </w:t>
      </w:r>
      <w:r w:rsidR="00A64FD3">
        <w:t>significance</w:t>
      </w:r>
      <w:r w:rsidR="00FC7A35" w:rsidRPr="00B740B4">
        <w:t xml:space="preserve"> here.</w:t>
      </w:r>
    </w:p>
    <w:p w:rsidR="00C35D91" w:rsidRPr="00B740B4" w:rsidRDefault="00C35D91" w:rsidP="00C35D91">
      <w:r w:rsidRPr="00B740B4">
        <w:lastRenderedPageBreak/>
        <w:t xml:space="preserve">38.a-a. MT accents suggest </w:t>
      </w:r>
      <w:r w:rsidR="00934A11" w:rsidRPr="00B740B4">
        <w:t>“</w:t>
      </w:r>
      <w:r w:rsidRPr="00B740B4">
        <w:t>and wherever human beings l</w:t>
      </w:r>
      <w:r w:rsidR="00557312" w:rsidRPr="00B740B4">
        <w:t>ive, he has given . . .</w:t>
      </w:r>
      <w:r w:rsidR="00934A11" w:rsidRPr="00B740B4">
        <w:t>”</w:t>
      </w:r>
      <w:r w:rsidR="00557312" w:rsidRPr="00B740B4">
        <w:t xml:space="preserve"> (cf. </w:t>
      </w:r>
      <w:r w:rsidR="0027741D" w:rsidRPr="00B740B4">
        <w:t>Vg</w:t>
      </w:r>
      <w:r w:rsidRPr="00B740B4">
        <w:t>); but more likely human beings are mentioned as amo</w:t>
      </w:r>
      <w:r w:rsidR="0027741D" w:rsidRPr="00B740B4">
        <w:t>ng those Nebuchadnezzar rules (c</w:t>
      </w:r>
      <w:r w:rsidRPr="00B740B4">
        <w:t xml:space="preserve">f. G, though there is no need </w:t>
      </w:r>
      <w:r w:rsidR="0027741D" w:rsidRPr="00B740B4">
        <w:t xml:space="preserve">on the basis of G </w:t>
      </w:r>
      <w:r w:rsidRPr="00B740B4">
        <w:t>to omit ו</w:t>
      </w:r>
      <w:r w:rsidR="0027741D" w:rsidRPr="00B740B4">
        <w:t xml:space="preserve"> </w:t>
      </w:r>
      <w:r w:rsidR="00934A11" w:rsidRPr="00B740B4">
        <w:t>“</w:t>
      </w:r>
      <w:r w:rsidR="0027741D" w:rsidRPr="00B740B4">
        <w:t>and</w:t>
      </w:r>
      <w:r w:rsidR="00934A11" w:rsidRPr="00B740B4">
        <w:t>”</w:t>
      </w:r>
      <w:r w:rsidR="0027741D" w:rsidRPr="00B740B4">
        <w:t xml:space="preserve"> (against JB)</w:t>
      </w:r>
      <w:r w:rsidRPr="00B740B4">
        <w:t>.</w:t>
      </w:r>
    </w:p>
    <w:p w:rsidR="00C35D91" w:rsidRPr="00B740B4" w:rsidRDefault="00C35D91" w:rsidP="00C35D91">
      <w:r w:rsidRPr="00B740B4">
        <w:t>38.b</w:t>
      </w:r>
      <w:r w:rsidR="0027741D" w:rsidRPr="00B740B4">
        <w:t>.</w:t>
      </w:r>
      <w:r w:rsidRPr="00B740B4">
        <w:t xml:space="preserve"> הוא</w:t>
      </w:r>
      <w:r w:rsidR="0027741D" w:rsidRPr="00B740B4">
        <w:t xml:space="preserve">  </w:t>
      </w:r>
      <w:r w:rsidR="0027741D" w:rsidRPr="00B740B4">
        <w:rPr>
          <w:rFonts w:ascii="Arial" w:hAnsi="Arial" w:cs="Arial"/>
        </w:rPr>
        <w:t>אנתה</w:t>
      </w:r>
      <w:r w:rsidR="0027741D" w:rsidRPr="00B740B4">
        <w:t xml:space="preserve"> </w:t>
      </w:r>
      <w:r w:rsidR="00FC7A35" w:rsidRPr="00B740B4">
        <w:t>: see GKC 141gh.</w:t>
      </w:r>
    </w:p>
    <w:p w:rsidR="00C35D91" w:rsidRPr="00B740B4" w:rsidRDefault="00C35D91" w:rsidP="00C35D91">
      <w:r w:rsidRPr="00B740B4">
        <w:t xml:space="preserve">40.a. Vv 40 and 41 are repetitive, and </w:t>
      </w:r>
      <w:r w:rsidR="00FC7A35" w:rsidRPr="00B740B4">
        <w:t xml:space="preserve">many </w:t>
      </w:r>
      <w:r w:rsidRPr="00B740B4">
        <w:t>an</w:t>
      </w:r>
      <w:r w:rsidR="00FC7A35" w:rsidRPr="00B740B4">
        <w:t xml:space="preserve">cient and modern versions </w:t>
      </w:r>
      <w:r w:rsidRPr="00B740B4">
        <w:t xml:space="preserve">have shorter texts; see </w:t>
      </w:r>
      <w:r w:rsidR="0027741D" w:rsidRPr="00B740B4">
        <w:t xml:space="preserve">the </w:t>
      </w:r>
      <w:r w:rsidRPr="00B740B4">
        <w:t xml:space="preserve">following notes. The structure of the sentences, too, can be understood in varying ways, and in v 41 I have not followed </w:t>
      </w:r>
      <w:r w:rsidR="00B66FC0" w:rsidRPr="00B740B4">
        <w:t xml:space="preserve">that of </w:t>
      </w:r>
      <w:r w:rsidRPr="00B740B4">
        <w:t>MT (f</w:t>
      </w:r>
      <w:r w:rsidR="00FC7A35" w:rsidRPr="00B740B4">
        <w:t>or which see</w:t>
      </w:r>
      <w:r w:rsidR="0027741D" w:rsidRPr="00B740B4">
        <w:t xml:space="preserve"> RV); cf. n. 45.a-a</w:t>
      </w:r>
      <w:r w:rsidRPr="00B740B4">
        <w:t>.</w:t>
      </w:r>
    </w:p>
    <w:p w:rsidR="00C35D91" w:rsidRPr="00B740B4" w:rsidRDefault="00C35D91" w:rsidP="00C35D91">
      <w:r w:rsidRPr="00B740B4">
        <w:t>40.b. כלא</w:t>
      </w:r>
      <w:r w:rsidR="0027741D" w:rsidRPr="00B740B4">
        <w:t xml:space="preserve">. Not </w:t>
      </w:r>
      <w:r w:rsidR="00934A11" w:rsidRPr="00B740B4">
        <w:t>“</w:t>
      </w:r>
      <w:r w:rsidR="0027741D" w:rsidRPr="00B740B4">
        <w:t>wholly,</w:t>
      </w:r>
      <w:r w:rsidR="00934A11" w:rsidRPr="00B740B4">
        <w:t>”</w:t>
      </w:r>
      <w:r w:rsidR="0027741D" w:rsidRPr="00B740B4">
        <w:t xml:space="preserve"> against </w:t>
      </w:r>
      <w:r w:rsidRPr="00B740B4">
        <w:t xml:space="preserve">Montgomery, </w:t>
      </w:r>
      <w:r w:rsidR="00934A11" w:rsidRPr="00B740B4">
        <w:t>“</w:t>
      </w:r>
      <w:r w:rsidRPr="00B740B4">
        <w:t xml:space="preserve">Adverbial </w:t>
      </w:r>
      <w:r w:rsidRPr="00B740B4">
        <w:rPr>
          <w:i/>
        </w:rPr>
        <w:t>kúll</w:t>
      </w:r>
      <w:r w:rsidR="0027741D" w:rsidRPr="00B740B4">
        <w:rPr>
          <w:i/>
        </w:rPr>
        <w:t>a</w:t>
      </w:r>
      <w:r w:rsidR="00934A11" w:rsidRPr="00B740B4">
        <w:t>”</w:t>
      </w:r>
      <w:r w:rsidR="00133F87" w:rsidRPr="00B740B4">
        <w:t>; s</w:t>
      </w:r>
      <w:r w:rsidRPr="00B740B4">
        <w:t xml:space="preserve">ee Fitzmyer, </w:t>
      </w:r>
      <w:r w:rsidR="0027741D" w:rsidRPr="00B740B4">
        <w:rPr>
          <w:i/>
        </w:rPr>
        <w:t xml:space="preserve">A Wandering </w:t>
      </w:r>
      <w:r w:rsidRPr="00B740B4">
        <w:rPr>
          <w:i/>
        </w:rPr>
        <w:t>Aramaean</w:t>
      </w:r>
      <w:r w:rsidRPr="00B740B4">
        <w:t>, 205–17.</w:t>
      </w:r>
    </w:p>
    <w:p w:rsidR="00C35D91" w:rsidRPr="00B740B4" w:rsidRDefault="00C35D91" w:rsidP="00C35D91">
      <w:r w:rsidRPr="00B740B4">
        <w:t xml:space="preserve">40.c-c. </w:t>
      </w:r>
      <w:r w:rsidR="00133F87" w:rsidRPr="00B740B4">
        <w:t xml:space="preserve">G, Syr, Vg </w:t>
      </w:r>
      <w:r w:rsidR="00362CC9" w:rsidRPr="00B740B4">
        <w:t>omit.</w:t>
      </w:r>
    </w:p>
    <w:p w:rsidR="00C35D91" w:rsidRPr="00B740B4" w:rsidRDefault="00C35D91" w:rsidP="00C35D91">
      <w:r w:rsidRPr="00B740B4">
        <w:t xml:space="preserve">40.d-d. </w:t>
      </w:r>
      <w:r w:rsidR="00F234D3">
        <w:t xml:space="preserve">With </w:t>
      </w:r>
      <w:r w:rsidRPr="00B740B4">
        <w:t xml:space="preserve">MT </w:t>
      </w:r>
      <w:r w:rsidR="00F234D3">
        <w:t>I take</w:t>
      </w:r>
      <w:r w:rsidRPr="00B740B4">
        <w:t xml:space="preserve"> אלין </w:t>
      </w:r>
      <w:r w:rsidR="00133F87" w:rsidRPr="00B740B4">
        <w:rPr>
          <w:rFonts w:ascii="Arial" w:hAnsi="Arial" w:cs="Arial"/>
        </w:rPr>
        <w:t>כל</w:t>
      </w:r>
      <w:r w:rsidR="00133F87" w:rsidRPr="00B740B4">
        <w:t xml:space="preserve"> </w:t>
      </w:r>
      <w:r w:rsidRPr="00B740B4">
        <w:t>as obj</w:t>
      </w:r>
      <w:r w:rsidR="00133F87" w:rsidRPr="00B740B4">
        <w:t>ect</w:t>
      </w:r>
      <w:r w:rsidR="00F234D3">
        <w:t xml:space="preserve"> of the preceding verb</w:t>
      </w:r>
      <w:r w:rsidR="00362CC9" w:rsidRPr="00B740B4">
        <w:t>. Th, Syr</w:t>
      </w:r>
      <w:r w:rsidRPr="00B740B4">
        <w:t xml:space="preserve"> omit אלין (OG ἡ γῆ being surely explicative of אלין, not gr</w:t>
      </w:r>
      <w:r w:rsidR="00133F87" w:rsidRPr="00B740B4">
        <w:t>ounds for emendation—against NEB</w:t>
      </w:r>
      <w:r w:rsidRPr="00B740B4">
        <w:t>). Kaufmann (</w:t>
      </w:r>
      <w:r w:rsidR="00362CC9" w:rsidRPr="00B740B4">
        <w:rPr>
          <w:i/>
        </w:rPr>
        <w:t xml:space="preserve">Religion </w:t>
      </w:r>
      <w:r w:rsidR="00133F87" w:rsidRPr="00B740B4">
        <w:rPr>
          <w:i/>
        </w:rPr>
        <w:t>of Israel</w:t>
      </w:r>
      <w:r w:rsidR="00133F87" w:rsidRPr="00B740B4">
        <w:t xml:space="preserve"> </w:t>
      </w:r>
      <w:r w:rsidR="00362CC9" w:rsidRPr="00B740B4">
        <w:t>4:582) follows Th, Syr</w:t>
      </w:r>
      <w:r w:rsidRPr="00B740B4">
        <w:t xml:space="preserve"> on the grounds that MT nonsensically has the feet breaking the statue: but here surely the interpretation influences the vision and refers </w:t>
      </w:r>
      <w:r w:rsidR="00A0764A" w:rsidRPr="00B740B4">
        <w:t>to the liter</w:t>
      </w:r>
      <w:r w:rsidR="00E1582D" w:rsidRPr="00B740B4">
        <w:t>al fact of the fourth regime</w:t>
      </w:r>
      <w:r w:rsidRPr="00B740B4">
        <w:t xml:space="preserve"> destroying its predecessor(s).</w:t>
      </w:r>
    </w:p>
    <w:p w:rsidR="00C35D91" w:rsidRPr="00B740B4" w:rsidRDefault="00E1582D" w:rsidP="00C35D91">
      <w:r w:rsidRPr="00B740B4">
        <w:t>41.a. OG omits; but see n. 34.b</w:t>
      </w:r>
      <w:r w:rsidR="00C35D91" w:rsidRPr="00B740B4">
        <w:t>.</w:t>
      </w:r>
    </w:p>
    <w:p w:rsidR="00C35D91" w:rsidRPr="00B740B4" w:rsidRDefault="00C35D91" w:rsidP="00C35D91">
      <w:r w:rsidRPr="00B740B4">
        <w:t>41.b. פחר</w:t>
      </w:r>
      <w:r w:rsidR="00E1582D" w:rsidRPr="00B740B4">
        <w:t xml:space="preserve"> can mean </w:t>
      </w:r>
      <w:r w:rsidR="00934A11" w:rsidRPr="00B740B4">
        <w:t>“</w:t>
      </w:r>
      <w:r w:rsidR="00E1582D" w:rsidRPr="00B740B4">
        <w:t>potter</w:t>
      </w:r>
      <w:r w:rsidR="00934A11" w:rsidRPr="00B740B4">
        <w:t>”</w:t>
      </w:r>
      <w:r w:rsidR="00E1582D" w:rsidRPr="00B740B4">
        <w:t xml:space="preserve"> (</w:t>
      </w:r>
      <w:r w:rsidRPr="00B740B4">
        <w:t xml:space="preserve">cf. Vg) or </w:t>
      </w:r>
      <w:r w:rsidR="00934A11" w:rsidRPr="00B740B4">
        <w:t>“</w:t>
      </w:r>
      <w:r w:rsidRPr="00B740B4">
        <w:t>clay</w:t>
      </w:r>
      <w:r w:rsidR="00934A11" w:rsidRPr="00B740B4">
        <w:t>”</w:t>
      </w:r>
      <w:r w:rsidRPr="00B740B4">
        <w:t xml:space="preserve"> (cf. OG); the latter fits better. Adding the word emphasizes the weakness of the material.</w:t>
      </w:r>
      <w:r w:rsidR="002229EA" w:rsidRPr="00B740B4">
        <w:t xml:space="preserve"> McAllister</w:t>
      </w:r>
      <w:r w:rsidR="002229EA" w:rsidRPr="00B740B4">
        <w:rPr>
          <w:b/>
        </w:rPr>
        <w:t xml:space="preserve"> </w:t>
      </w:r>
      <w:r w:rsidR="002229EA" w:rsidRPr="00B740B4">
        <w:t>(“Clay in Nebuchadnezzar’s Dream”) notes links between vv 41-43 and Gen 1—2</w:t>
      </w:r>
      <w:r w:rsidR="00C7253B">
        <w:t xml:space="preserve"> (cf. also </w:t>
      </w:r>
      <w:r w:rsidR="00C7253B" w:rsidRPr="00C7253B">
        <w:rPr>
          <w:iCs/>
        </w:rPr>
        <w:t>Doukhan</w:t>
      </w:r>
      <w:r w:rsidR="00C7253B">
        <w:rPr>
          <w:b/>
        </w:rPr>
        <w:t>,</w:t>
      </w:r>
      <w:r w:rsidR="00C7253B" w:rsidRPr="00C7253B">
        <w:rPr>
          <w:i/>
          <w:iCs/>
        </w:rPr>
        <w:t xml:space="preserve"> </w:t>
      </w:r>
      <w:r w:rsidR="00C7253B" w:rsidRPr="00C7253B">
        <w:t>“Allusions à la c</w:t>
      </w:r>
      <w:r w:rsidR="00C7253B">
        <w:t>réation dans le livre de Daniel”).</w:t>
      </w:r>
    </w:p>
    <w:p w:rsidR="00C35D91" w:rsidRPr="00B740B4" w:rsidRDefault="00C35D91" w:rsidP="00C35D91">
      <w:r w:rsidRPr="00B740B4">
        <w:t xml:space="preserve">41.c. פיגה could suggest </w:t>
      </w:r>
      <w:r w:rsidR="00934A11" w:rsidRPr="00B740B4">
        <w:t>“</w:t>
      </w:r>
      <w:r w:rsidRPr="00B740B4">
        <w:t>divided</w:t>
      </w:r>
      <w:r w:rsidR="00934A11" w:rsidRPr="00B740B4">
        <w:t>”</w:t>
      </w:r>
      <w:r w:rsidRPr="00B740B4">
        <w:t xml:space="preserve"> (</w:t>
      </w:r>
      <w:r w:rsidR="00E1582D" w:rsidRPr="00B740B4">
        <w:t>EVV</w:t>
      </w:r>
      <w:r w:rsidR="00F832D2" w:rsidRPr="00B740B4">
        <w:t>) into smaller regime</w:t>
      </w:r>
      <w:r w:rsidRPr="00B740B4">
        <w:t>s, as happened to the Greek empire (Ginsberg). But it could equally suggest internally divided (</w:t>
      </w:r>
      <w:r w:rsidRPr="00B740B4">
        <w:rPr>
          <w:i/>
        </w:rPr>
        <w:t>DTT</w:t>
      </w:r>
      <w:r w:rsidRPr="00B740B4">
        <w:t>) or composite, and therefore vulnerable, which fits the context here better (Montgomery).</w:t>
      </w:r>
    </w:p>
    <w:p w:rsidR="000B01AE" w:rsidRPr="00B740B4" w:rsidRDefault="000B01AE" w:rsidP="00C35D91">
      <w:r w:rsidRPr="00B740B4">
        <w:t xml:space="preserve">41.d. </w:t>
      </w:r>
      <w:r w:rsidR="00C35D91" w:rsidRPr="00B740B4">
        <w:t>נצבתא</w:t>
      </w:r>
      <w:r w:rsidRPr="00B740B4">
        <w:t xml:space="preserve"> </w:t>
      </w:r>
      <w:r w:rsidR="00C35D91" w:rsidRPr="00B740B4">
        <w:t>usually mean</w:t>
      </w:r>
      <w:r w:rsidRPr="00B740B4">
        <w:t>s</w:t>
      </w:r>
      <w:r w:rsidR="00C35D91" w:rsidRPr="00B740B4">
        <w:t xml:space="preserve"> </w:t>
      </w:r>
      <w:r w:rsidR="00934A11" w:rsidRPr="00B740B4">
        <w:t>“</w:t>
      </w:r>
      <w:r w:rsidR="00C35D91" w:rsidRPr="00B740B4">
        <w:t>seed/planting</w:t>
      </w:r>
      <w:r w:rsidR="00934A11" w:rsidRPr="00B740B4">
        <w:t>”</w:t>
      </w:r>
      <w:r w:rsidR="00C35D91" w:rsidRPr="00B740B4">
        <w:t xml:space="preserve"> (cf. G, </w:t>
      </w:r>
      <w:r w:rsidR="00E1582D" w:rsidRPr="00B740B4">
        <w:t xml:space="preserve">Vg, </w:t>
      </w:r>
      <w:r w:rsidR="00C35D91" w:rsidRPr="00B740B4">
        <w:rPr>
          <w:i/>
        </w:rPr>
        <w:t>DTT</w:t>
      </w:r>
      <w:r w:rsidRPr="00B740B4">
        <w:t xml:space="preserve">); the nuance of firmness perhaps deries from the notion of a plant’s rootedness (Newsom, </w:t>
      </w:r>
      <w:r w:rsidRPr="00B740B4">
        <w:rPr>
          <w:i/>
        </w:rPr>
        <w:t>Daniel</w:t>
      </w:r>
      <w:r w:rsidRPr="00B740B4">
        <w:t>, 63).</w:t>
      </w:r>
    </w:p>
    <w:p w:rsidR="00C35D91" w:rsidRPr="00B740B4" w:rsidRDefault="00C35D91" w:rsidP="00C35D91">
      <w:r w:rsidRPr="00B740B4">
        <w:t xml:space="preserve">41.e. טינא, </w:t>
      </w:r>
      <w:r w:rsidR="00934A11" w:rsidRPr="00B740B4">
        <w:t>“</w:t>
      </w:r>
      <w:r w:rsidRPr="00B740B4">
        <w:t>wet clay</w:t>
      </w:r>
      <w:r w:rsidR="00934A11" w:rsidRPr="00B740B4">
        <w:t>”</w:t>
      </w:r>
      <w:r w:rsidRPr="00B740B4">
        <w:t xml:space="preserve"> or </w:t>
      </w:r>
      <w:r w:rsidR="00934A11" w:rsidRPr="00B740B4">
        <w:t>“</w:t>
      </w:r>
      <w:r w:rsidRPr="00B740B4">
        <w:t>mud</w:t>
      </w:r>
      <w:r w:rsidR="00934A11" w:rsidRPr="00B740B4">
        <w:t>”</w:t>
      </w:r>
      <w:r w:rsidRPr="00B740B4">
        <w:t xml:space="preserve"> (</w:t>
      </w:r>
      <w:r w:rsidRPr="00B740B4">
        <w:rPr>
          <w:i/>
        </w:rPr>
        <w:t>DTT</w:t>
      </w:r>
      <w:r w:rsidRPr="00B740B4">
        <w:t xml:space="preserve">); cf. </w:t>
      </w:r>
      <w:r w:rsidR="00E1582D" w:rsidRPr="00B740B4">
        <w:t>EVV</w:t>
      </w:r>
      <w:r w:rsidRPr="00B740B4">
        <w:t xml:space="preserve"> </w:t>
      </w:r>
      <w:r w:rsidR="00934A11" w:rsidRPr="00B740B4">
        <w:t>“</w:t>
      </w:r>
      <w:r w:rsidRPr="00B740B4">
        <w:t>miry.</w:t>
      </w:r>
      <w:r w:rsidR="00934A11" w:rsidRPr="00B740B4">
        <w:t>”</w:t>
      </w:r>
    </w:p>
    <w:p w:rsidR="00C35D91" w:rsidRPr="00B740B4" w:rsidRDefault="00E1582D" w:rsidP="00C35D91">
      <w:r w:rsidRPr="00B740B4">
        <w:t>42.a-a. JB</w:t>
      </w:r>
      <w:r w:rsidR="004F49F1" w:rsidRPr="00B740B4">
        <w:t xml:space="preserve"> omits, though</w:t>
      </w:r>
      <w:r w:rsidRPr="00B740B4">
        <w:t xml:space="preserve"> </w:t>
      </w:r>
      <w:r w:rsidR="00C35D91" w:rsidRPr="00B740B4">
        <w:t>here OG includes it</w:t>
      </w:r>
      <w:r w:rsidRPr="00B740B4">
        <w:t xml:space="preserve"> (contrast n. 41.a)</w:t>
      </w:r>
      <w:r w:rsidR="00C35D91" w:rsidRPr="00B740B4">
        <w:t>.</w:t>
      </w:r>
    </w:p>
    <w:p w:rsidR="00C35D91" w:rsidRPr="00B740B4" w:rsidRDefault="00C35D91" w:rsidP="00C35D91">
      <w:r w:rsidRPr="00B740B4">
        <w:t>42.b.</w:t>
      </w:r>
      <w:r w:rsidR="00F234D3">
        <w:t xml:space="preserve"> </w:t>
      </w:r>
      <w:r w:rsidRPr="00B740B4">
        <w:t xml:space="preserve"> קצת</w:t>
      </w:r>
      <w:r w:rsidR="00F234D3">
        <w:t xml:space="preserve"> </w:t>
      </w:r>
      <w:r w:rsidR="00F234D3" w:rsidRPr="00F234D3">
        <w:rPr>
          <w:rFonts w:ascii="Arial" w:hAnsi="Arial" w:cs="Arial"/>
        </w:rPr>
        <w:t>מן</w:t>
      </w:r>
      <w:r w:rsidR="006D041C" w:rsidRPr="00B740B4">
        <w:t>: perhaps</w:t>
      </w:r>
      <w:r w:rsidRPr="00B740B4">
        <w:t xml:space="preserve"> </w:t>
      </w:r>
      <w:r w:rsidR="00934A11" w:rsidRPr="00B740B4">
        <w:t>“</w:t>
      </w:r>
      <w:r w:rsidR="009B5930" w:rsidRPr="00B740B4">
        <w:t>as a whole</w:t>
      </w:r>
      <w:r w:rsidR="00934A11" w:rsidRPr="00B740B4">
        <w:t>”</w:t>
      </w:r>
      <w:r w:rsidR="009B5930" w:rsidRPr="00B740B4">
        <w:t xml:space="preserve"> (Meek: see n. 1:2.c</w:t>
      </w:r>
      <w:r w:rsidRPr="00B740B4">
        <w:t>).</w:t>
      </w:r>
      <w:r w:rsidR="00F234D3">
        <w:t xml:space="preserve"> </w:t>
      </w:r>
    </w:p>
    <w:p w:rsidR="00C35D91" w:rsidRPr="00B740B4" w:rsidRDefault="00C35D91" w:rsidP="00C35D91">
      <w:r w:rsidRPr="00B740B4">
        <w:t>43.a-a. The ph</w:t>
      </w:r>
      <w:r w:rsidR="0050122B" w:rsidRPr="00B740B4">
        <w:t>r</w:t>
      </w:r>
      <w:r w:rsidRPr="00B740B4">
        <w:t xml:space="preserve">ase could refer to a combining of two races generally, but </w:t>
      </w:r>
      <w:r w:rsidR="009B5930" w:rsidRPr="00B740B4">
        <w:t xml:space="preserve">it </w:t>
      </w:r>
      <w:r w:rsidRPr="00B740B4">
        <w:t>more naturally denotes intermarriage (cf. Ezra 9:2; Ps 106:35).</w:t>
      </w:r>
    </w:p>
    <w:p w:rsidR="00C35D91" w:rsidRPr="00B740B4" w:rsidRDefault="00C35D91" w:rsidP="00C35D91">
      <w:r w:rsidRPr="00B740B4">
        <w:t>43.b. Probably די [היך =] האך, not as MT כדי</w:t>
      </w:r>
      <w:r w:rsidR="009B5930" w:rsidRPr="00B740B4">
        <w:t xml:space="preserve"> </w:t>
      </w:r>
      <w:r w:rsidR="009B5930" w:rsidRPr="00B740B4">
        <w:rPr>
          <w:rFonts w:ascii="Arial" w:hAnsi="Arial" w:cs="Arial"/>
        </w:rPr>
        <w:t>הא</w:t>
      </w:r>
      <w:r w:rsidRPr="00B740B4">
        <w:t>; a strong form of כדי (= BH</w:t>
      </w:r>
      <w:r w:rsidR="00360920">
        <w:t xml:space="preserve">  </w:t>
      </w:r>
      <w:r w:rsidRPr="00B740B4">
        <w:t>ר</w:t>
      </w:r>
      <w:r w:rsidR="00360920">
        <w:t xml:space="preserve"> </w:t>
      </w:r>
      <w:r w:rsidR="00360920" w:rsidRPr="00360920">
        <w:rPr>
          <w:rFonts w:ascii="Arial" w:hAnsi="Arial" w:cs="Arial"/>
        </w:rPr>
        <w:t>ש</w:t>
      </w:r>
      <w:r w:rsidR="00360920">
        <w:t xml:space="preserve"> </w:t>
      </w:r>
      <w:r w:rsidR="00360920" w:rsidRPr="00360920">
        <w:rPr>
          <w:rFonts w:ascii="Arial" w:hAnsi="Arial" w:cs="Arial"/>
        </w:rPr>
        <w:t>א</w:t>
      </w:r>
      <w:r w:rsidRPr="00B740B4">
        <w:t>). See BDB.</w:t>
      </w:r>
    </w:p>
    <w:p w:rsidR="00C35D91" w:rsidRPr="00B740B4" w:rsidRDefault="00C35D91" w:rsidP="00C35D91">
      <w:r w:rsidRPr="00B740B4">
        <w:t xml:space="preserve">44.a. חבל can mean </w:t>
      </w:r>
      <w:r w:rsidR="00934A11" w:rsidRPr="00B740B4">
        <w:t>“</w:t>
      </w:r>
      <w:r w:rsidRPr="00B740B4">
        <w:t>be corrupted,</w:t>
      </w:r>
      <w:r w:rsidR="00934A11" w:rsidRPr="00B740B4">
        <w:t>”</w:t>
      </w:r>
      <w:r w:rsidRPr="00B740B4">
        <w:t xml:space="preserve"> but t</w:t>
      </w:r>
      <w:r w:rsidR="00A0764A" w:rsidRPr="00B740B4">
        <w:t>his hardly fits the context</w:t>
      </w:r>
      <w:r w:rsidR="003F14FD" w:rsidRPr="00B740B4">
        <w:t>; for</w:t>
      </w:r>
      <w:r w:rsidR="00360920">
        <w:t xml:space="preserve"> </w:t>
      </w:r>
      <w:r w:rsidR="003F14FD" w:rsidRPr="00B740B4">
        <w:t>the parallelism cf. 6:26 [27</w:t>
      </w:r>
      <w:r w:rsidRPr="00B740B4">
        <w:t>]; 7:14.</w:t>
      </w:r>
    </w:p>
    <w:p w:rsidR="00C35D91" w:rsidRPr="00B740B4" w:rsidRDefault="00D66B71" w:rsidP="00C35D91">
      <w:r w:rsidRPr="00B740B4">
        <w:t xml:space="preserve">44.b. </w:t>
      </w:r>
      <w:r w:rsidR="00934A11" w:rsidRPr="00B740B4">
        <w:t>“</w:t>
      </w:r>
      <w:r w:rsidRPr="00B740B4">
        <w:t>Its royal authority</w:t>
      </w:r>
      <w:r w:rsidR="00934A11" w:rsidRPr="00B740B4">
        <w:t>”</w:t>
      </w:r>
      <w:r w:rsidRPr="00B740B4">
        <w:t xml:space="preserve"> (</w:t>
      </w:r>
      <w:r w:rsidR="00C35D91" w:rsidRPr="00B740B4">
        <w:t>Th, Vg) would require final הּ and repointing, not</w:t>
      </w:r>
      <w:r w:rsidRPr="00B740B4">
        <w:t xml:space="preserve"> </w:t>
      </w:r>
      <w:r w:rsidR="00C35D91" w:rsidRPr="00B740B4">
        <w:t xml:space="preserve"> ה—which is, however, unusual as emph</w:t>
      </w:r>
      <w:r w:rsidRPr="00B740B4">
        <w:t>atic</w:t>
      </w:r>
      <w:r w:rsidR="00C35D91" w:rsidRPr="00B740B4">
        <w:t xml:space="preserve"> st</w:t>
      </w:r>
      <w:r w:rsidRPr="00B740B4">
        <w:t xml:space="preserve">ate ending (Lattey, </w:t>
      </w:r>
      <w:r w:rsidR="00934A11" w:rsidRPr="00B740B4">
        <w:t>“</w:t>
      </w:r>
      <w:r w:rsidRPr="00B740B4">
        <w:t>Sovereignty and Realm</w:t>
      </w:r>
      <w:r w:rsidR="00934A11" w:rsidRPr="00B740B4">
        <w:t>”</w:t>
      </w:r>
      <w:r w:rsidR="00C35D91" w:rsidRPr="00B740B4">
        <w:t>).</w:t>
      </w:r>
    </w:p>
    <w:p w:rsidR="00C35D91" w:rsidRPr="00B740B4" w:rsidRDefault="00C35D91" w:rsidP="00C35D91">
      <w:r w:rsidRPr="00B740B4">
        <w:t xml:space="preserve">45.a-a. The order is odd (contrast vv 32–33, 35), but G’s </w:t>
      </w:r>
      <w:r w:rsidR="00934A11" w:rsidRPr="00B740B4">
        <w:t>“</w:t>
      </w:r>
      <w:r w:rsidRPr="00B740B4">
        <w:t>pottery, iron, bronze . . .</w:t>
      </w:r>
      <w:r w:rsidR="00934A11" w:rsidRPr="00B740B4">
        <w:t>”</w:t>
      </w:r>
      <w:r w:rsidRPr="00B740B4">
        <w:t xml:space="preserve"> is surely secondary. Possibly the or</w:t>
      </w:r>
      <w:r w:rsidR="00D66B71" w:rsidRPr="00B740B4">
        <w:t xml:space="preserve">iginal omitted </w:t>
      </w:r>
      <w:r w:rsidR="00934A11" w:rsidRPr="00B740B4">
        <w:t>“</w:t>
      </w:r>
      <w:r w:rsidR="00D66B71" w:rsidRPr="00B740B4">
        <w:t>pottery</w:t>
      </w:r>
      <w:r w:rsidR="00934A11" w:rsidRPr="00B740B4">
        <w:t>”</w:t>
      </w:r>
      <w:r w:rsidRPr="00B740B4">
        <w:t xml:space="preserve"> or it was lost at an early stage and then (re)inserted variously. This phrase is the end of a sentence begun in v 44b (</w:t>
      </w:r>
      <w:r w:rsidR="00D66B71" w:rsidRPr="00B740B4">
        <w:t xml:space="preserve">cf. G); MT punctuation </w:t>
      </w:r>
      <w:r w:rsidRPr="00B740B4">
        <w:t>makes poor sense.</w:t>
      </w:r>
    </w:p>
    <w:p w:rsidR="00C35D91" w:rsidRPr="00B740B4" w:rsidRDefault="00C35D91" w:rsidP="00C35D91">
      <w:r w:rsidRPr="00B740B4">
        <w:t>45.b. An overtranslation of</w:t>
      </w:r>
      <w:r w:rsidR="00A84C3D" w:rsidRPr="00B740B4">
        <w:t xml:space="preserve"> </w:t>
      </w:r>
      <w:r w:rsidR="00A84C3D" w:rsidRPr="00B740B4">
        <w:rPr>
          <w:rFonts w:ascii="Arial" w:hAnsi="Arial" w:cs="Arial"/>
        </w:rPr>
        <w:t>רב</w:t>
      </w:r>
      <w:r w:rsidR="00A84C3D" w:rsidRPr="00B740B4">
        <w:t xml:space="preserve"> </w:t>
      </w:r>
      <w:r w:rsidRPr="00B740B4">
        <w:t xml:space="preserve"> אלה, but using t</w:t>
      </w:r>
      <w:r w:rsidR="00A84C3D" w:rsidRPr="00B740B4">
        <w:t>his expression enables one</w:t>
      </w:r>
      <w:r w:rsidRPr="00B740B4">
        <w:t xml:space="preserve"> to avoid using either the def</w:t>
      </w:r>
      <w:r w:rsidR="00A84C3D" w:rsidRPr="00B740B4">
        <w:t>inite</w:t>
      </w:r>
      <w:r w:rsidRPr="00B740B4">
        <w:t xml:space="preserve"> art</w:t>
      </w:r>
      <w:r w:rsidR="00A84C3D" w:rsidRPr="00B740B4">
        <w:t>icle (G</w:t>
      </w:r>
      <w:r w:rsidR="00EF7F5B" w:rsidRPr="00B740B4">
        <w:t>, cf. Syr</w:t>
      </w:r>
      <w:r w:rsidR="00066E4C">
        <w:t>, NRSV</w:t>
      </w:r>
      <w:r w:rsidRPr="00B740B4">
        <w:t>)</w:t>
      </w:r>
      <w:r w:rsidR="00A84C3D" w:rsidRPr="00B740B4">
        <w:t xml:space="preserve"> when </w:t>
      </w:r>
      <w:r w:rsidRPr="00B740B4">
        <w:t xml:space="preserve"> אלה is abs</w:t>
      </w:r>
      <w:r w:rsidR="00A84C3D" w:rsidRPr="00B740B4">
        <w:t>olute</w:t>
      </w:r>
      <w:r w:rsidRPr="00B740B4">
        <w:t>, or the indef</w:t>
      </w:r>
      <w:r w:rsidR="00A84C3D" w:rsidRPr="00B740B4">
        <w:t>inite (RSV</w:t>
      </w:r>
      <w:r w:rsidRPr="00B740B4">
        <w:t>), which might be misleading (cf. Keil).</w:t>
      </w:r>
    </w:p>
    <w:p w:rsidR="00C35D91" w:rsidRPr="00B740B4" w:rsidRDefault="00C35D91" w:rsidP="00C35D91">
      <w:r w:rsidRPr="00B740B4">
        <w:t xml:space="preserve">46.a. </w:t>
      </w:r>
      <w:r w:rsidR="00A84C3D" w:rsidRPr="00B740B4">
        <w:t>The translation takes</w:t>
      </w:r>
      <w:r w:rsidR="000F5F17" w:rsidRPr="00B740B4">
        <w:t xml:space="preserve"> </w:t>
      </w:r>
      <w:r w:rsidR="00A84C3D" w:rsidRPr="00B740B4">
        <w:t xml:space="preserve"> </w:t>
      </w:r>
      <w:r w:rsidRPr="00B740B4">
        <w:t>סגד</w:t>
      </w:r>
      <w:r w:rsidR="00A84C3D" w:rsidRPr="00B740B4">
        <w:t xml:space="preserve"> </w:t>
      </w:r>
      <w:r w:rsidRPr="00B740B4">
        <w:t xml:space="preserve">to refer to </w:t>
      </w:r>
      <w:r w:rsidR="00A84C3D" w:rsidRPr="00B740B4">
        <w:t>a physical action, repeating</w:t>
      </w:r>
      <w:r w:rsidRPr="00B740B4">
        <w:t xml:space="preserve"> the content of the previous phrase; it is used in the papyr</w:t>
      </w:r>
      <w:r w:rsidR="00A84C3D" w:rsidRPr="00B740B4">
        <w:t>i of prostration before a man (s</w:t>
      </w:r>
      <w:r w:rsidRPr="00B740B4">
        <w:t xml:space="preserve">ee </w:t>
      </w:r>
      <w:r w:rsidR="00E47E73">
        <w:t xml:space="preserve">H. D. Preuss in </w:t>
      </w:r>
      <w:r w:rsidRPr="00B740B4">
        <w:rPr>
          <w:i/>
        </w:rPr>
        <w:t>TWAT</w:t>
      </w:r>
      <w:r w:rsidR="00A84C3D" w:rsidRPr="00B740B4">
        <w:rPr>
          <w:i/>
        </w:rPr>
        <w:t xml:space="preserve"> </w:t>
      </w:r>
      <w:r w:rsidR="00A84C3D" w:rsidRPr="00B740B4">
        <w:t xml:space="preserve">on </w:t>
      </w:r>
      <w:r w:rsidRPr="00B740B4">
        <w:t xml:space="preserve"> חוה</w:t>
      </w:r>
      <w:r w:rsidR="00A84C3D" w:rsidRPr="00B740B4">
        <w:t>)</w:t>
      </w:r>
      <w:r w:rsidR="0003654E" w:rsidRPr="00B740B4">
        <w:t xml:space="preserve">. But </w:t>
      </w:r>
      <w:r w:rsidRPr="00B740B4">
        <w:t>Kreuzer (</w:t>
      </w:r>
      <w:r w:rsidR="00934A11" w:rsidRPr="00B740B4">
        <w:t>“</w:t>
      </w:r>
      <w:r w:rsidRPr="00B740B4">
        <w:t xml:space="preserve">Zur Bedeutung und Etymologie von </w:t>
      </w:r>
      <w:r w:rsidR="00510E5B" w:rsidRPr="00B740B4">
        <w:rPr>
          <w:i/>
        </w:rPr>
        <w:t>hištaḥawāh/yštḥwy</w:t>
      </w:r>
      <w:r w:rsidR="00934A11" w:rsidRPr="00B740B4">
        <w:t>”</w:t>
      </w:r>
      <w:r w:rsidRPr="00B740B4">
        <w:t xml:space="preserve">) thinks both expressions signify </w:t>
      </w:r>
      <w:r w:rsidR="00934A11" w:rsidRPr="00B740B4">
        <w:t>“</w:t>
      </w:r>
      <w:r w:rsidRPr="00B740B4">
        <w:t>do homage</w:t>
      </w:r>
      <w:r w:rsidR="00934A11" w:rsidRPr="00B740B4">
        <w:t>”</w:t>
      </w:r>
      <w:r w:rsidRPr="00B740B4">
        <w:t xml:space="preserve"> without implying a physical gesture.</w:t>
      </w:r>
    </w:p>
    <w:p w:rsidR="00C35D91" w:rsidRPr="00B740B4" w:rsidRDefault="00C35D91" w:rsidP="00C35D91">
      <w:r w:rsidRPr="00B740B4">
        <w:t>46.b. ניחחין</w:t>
      </w:r>
      <w:r w:rsidR="00360920">
        <w:t xml:space="preserve">, </w:t>
      </w:r>
      <w:r w:rsidRPr="00B740B4">
        <w:t xml:space="preserve">used </w:t>
      </w:r>
      <w:r w:rsidR="00A0764A" w:rsidRPr="00B740B4">
        <w:t xml:space="preserve">in the OT </w:t>
      </w:r>
      <w:r w:rsidR="00360920">
        <w:t xml:space="preserve">only </w:t>
      </w:r>
      <w:r w:rsidRPr="00B740B4">
        <w:t>of offerings to God (e.g., Gen 8:21).</w:t>
      </w:r>
      <w:r w:rsidR="00360920">
        <w:t xml:space="preserve"> </w:t>
      </w:r>
      <w:r w:rsidR="00A0764A" w:rsidRPr="00B740B4">
        <w:t>OG</w:t>
      </w:r>
      <w:r w:rsidR="00360920">
        <w:t>’s</w:t>
      </w:r>
      <w:r w:rsidR="00A0764A" w:rsidRPr="00B740B4">
        <w:t xml:space="preserve"> not modify</w:t>
      </w:r>
      <w:r w:rsidR="00360920">
        <w:t>ing</w:t>
      </w:r>
      <w:r w:rsidR="00A0764A" w:rsidRPr="00B740B4">
        <w:t xml:space="preserve"> this</w:t>
      </w:r>
      <w:r w:rsidR="00657F08" w:rsidRPr="00B740B4">
        <w:t xml:space="preserve"> expression of Nebuchadnezzar’s homage </w:t>
      </w:r>
      <w:r w:rsidR="00360920">
        <w:t xml:space="preserve">is perhaps surprising </w:t>
      </w:r>
      <w:r w:rsidR="00657F08" w:rsidRPr="00B740B4">
        <w:t xml:space="preserve">(cf. Meadowcroft, </w:t>
      </w:r>
      <w:r w:rsidR="00657F08" w:rsidRPr="00B740B4">
        <w:rPr>
          <w:i/>
        </w:rPr>
        <w:t>Aramaic Daniel and Greek Daniel</w:t>
      </w:r>
      <w:r w:rsidR="00657F08" w:rsidRPr="00B740B4">
        <w:t>, 187-90).</w:t>
      </w:r>
      <w:r w:rsidR="00F37A7F" w:rsidRPr="00B740B4">
        <w:t xml:space="preserve"> But see the </w:t>
      </w:r>
      <w:r w:rsidR="00F37A7F" w:rsidRPr="00360920">
        <w:rPr>
          <w:i/>
        </w:rPr>
        <w:t>Comment</w:t>
      </w:r>
      <w:r w:rsidR="00F37A7F" w:rsidRPr="00B740B4">
        <w:t>.</w:t>
      </w:r>
    </w:p>
    <w:p w:rsidR="00C35D91" w:rsidRPr="00B740B4" w:rsidRDefault="00C35D91" w:rsidP="00C35D91">
      <w:r w:rsidRPr="00B740B4">
        <w:t>47.a-a. Again the second term in each construct chain is abs</w:t>
      </w:r>
      <w:r w:rsidR="00510E5B" w:rsidRPr="00B740B4">
        <w:t>olute</w:t>
      </w:r>
      <w:r w:rsidRPr="00B740B4">
        <w:t>, not emph</w:t>
      </w:r>
      <w:r w:rsidR="00510E5B" w:rsidRPr="00B740B4">
        <w:t>atic; cf. n. 45.b</w:t>
      </w:r>
      <w:r w:rsidRPr="00B740B4">
        <w:t>.</w:t>
      </w:r>
    </w:p>
    <w:p w:rsidR="00C35D91" w:rsidRPr="00B740B4" w:rsidRDefault="00C35D91" w:rsidP="00C35D91">
      <w:r w:rsidRPr="00B740B4">
        <w:lastRenderedPageBreak/>
        <w:t>48.a. V 49 suggests that והשלטה</w:t>
      </w:r>
      <w:r w:rsidR="00360920">
        <w:t xml:space="preserve"> </w:t>
      </w:r>
      <w:r w:rsidRPr="00B740B4">
        <w:t>expresses a possible, not an actual act (cf. in BH Exod 9:15; 1 Sam 13:13; GKC 106p).</w:t>
      </w:r>
    </w:p>
    <w:p w:rsidR="00C35D91" w:rsidRPr="00B740B4" w:rsidRDefault="00C35D91" w:rsidP="00C35D91">
      <w:r w:rsidRPr="00B740B4">
        <w:t xml:space="preserve">49.a. </w:t>
      </w:r>
      <w:r w:rsidR="00C93BE4" w:rsidRPr="00B740B4">
        <w:t>Lit.</w:t>
      </w:r>
      <w:r w:rsidR="00F37A7F" w:rsidRPr="00B740B4">
        <w:t>, “asked the king, and he appointed”: s</w:t>
      </w:r>
      <w:r w:rsidRPr="00B740B4">
        <w:t>ee BL 106e.</w:t>
      </w:r>
    </w:p>
    <w:p w:rsidR="00C35D91" w:rsidRPr="00B740B4" w:rsidRDefault="00C35D91" w:rsidP="00C35D91">
      <w:r w:rsidRPr="00B740B4">
        <w:t xml:space="preserve">49.b. Lit, </w:t>
      </w:r>
      <w:r w:rsidR="00934A11" w:rsidRPr="00B740B4">
        <w:t>“</w:t>
      </w:r>
      <w:r w:rsidRPr="00B740B4">
        <w:t>gate</w:t>
      </w:r>
      <w:r w:rsidR="00934A11" w:rsidRPr="00B740B4">
        <w:t>”</w:t>
      </w:r>
      <w:r w:rsidRPr="00B740B4">
        <w:t>—i.e., originally where the king’s servants awaited his call (Esth 2:19, 21; 3:2–3), though the term came to de</w:t>
      </w:r>
      <w:r w:rsidR="00510E5B" w:rsidRPr="00B740B4">
        <w:t xml:space="preserve">note the chancellery. See </w:t>
      </w:r>
      <w:r w:rsidRPr="00B740B4">
        <w:t xml:space="preserve">Rüger, </w:t>
      </w:r>
      <w:r w:rsidR="00934A11" w:rsidRPr="00B740B4">
        <w:t>“</w:t>
      </w:r>
      <w:r w:rsidRPr="00B740B4">
        <w:t>Das Tor d</w:t>
      </w:r>
      <w:r w:rsidR="00510E5B" w:rsidRPr="00B740B4">
        <w:t>es Königs</w:t>
      </w:r>
      <w:r w:rsidRPr="00B740B4">
        <w:t>.</w:t>
      </w:r>
      <w:r w:rsidR="00934A11" w:rsidRPr="00B740B4">
        <w:t>”</w:t>
      </w:r>
    </w:p>
    <w:p w:rsidR="00C35D91" w:rsidRPr="00B740B4" w:rsidRDefault="00C35D91" w:rsidP="009479B1">
      <w:pPr>
        <w:pStyle w:val="Heading2"/>
      </w:pPr>
      <w:r w:rsidRPr="00B740B4">
        <w:t>Form/Structure/Setting</w:t>
      </w:r>
    </w:p>
    <w:p w:rsidR="009955B8" w:rsidRPr="00B740B4" w:rsidRDefault="008E1B12" w:rsidP="009955B8">
      <w:pPr>
        <w:pStyle w:val="Heading3"/>
      </w:pPr>
      <w:r w:rsidRPr="00B740B4">
        <w:t>Form</w:t>
      </w:r>
      <w:r w:rsidR="009955B8" w:rsidRPr="00B740B4">
        <w:t xml:space="preserve"> </w:t>
      </w:r>
    </w:p>
    <w:p w:rsidR="008E1B12" w:rsidRPr="00B740B4" w:rsidRDefault="008E1B12" w:rsidP="00C35D91"/>
    <w:p w:rsidR="00C35D91" w:rsidRPr="00B740B4" w:rsidRDefault="006916BC" w:rsidP="000C6120">
      <w:pPr>
        <w:autoSpaceDE w:val="0"/>
        <w:autoSpaceDN w:val="0"/>
        <w:adjustRightInd w:val="0"/>
      </w:pPr>
      <w:r w:rsidRPr="00B740B4">
        <w:t xml:space="preserve">See </w:t>
      </w:r>
      <w:r w:rsidR="008818B6" w:rsidRPr="00B740B4">
        <w:t>chap.</w:t>
      </w:r>
      <w:r w:rsidRPr="00B740B4">
        <w:t xml:space="preserve"> 1 </w:t>
      </w:r>
      <w:r w:rsidRPr="00B740B4">
        <w:rPr>
          <w:i/>
        </w:rPr>
        <w:t>Form</w:t>
      </w:r>
      <w:r w:rsidRPr="00B740B4">
        <w:t xml:space="preserve">. </w:t>
      </w:r>
      <w:r w:rsidR="008818B6" w:rsidRPr="00B740B4">
        <w:t>Chap.</w:t>
      </w:r>
      <w:r w:rsidR="00C35D91" w:rsidRPr="00B740B4">
        <w:t xml:space="preserve"> 2 also combines features of </w:t>
      </w:r>
      <w:r w:rsidR="00594626" w:rsidRPr="00B740B4">
        <w:t xml:space="preserve">court </w:t>
      </w:r>
      <w:r w:rsidR="00C35D91" w:rsidRPr="00B740B4">
        <w:t>tale, legend, aretalogy, and midrash, blending these into a formally</w:t>
      </w:r>
      <w:r w:rsidR="00517D36" w:rsidRPr="00B740B4">
        <w:t xml:space="preserve"> more compact whole than chap.</w:t>
      </w:r>
      <w:r w:rsidR="00C35D91" w:rsidRPr="00B740B4">
        <w:t xml:space="preserve"> 1. </w:t>
      </w:r>
      <w:r w:rsidR="00420561" w:rsidRPr="00B740B4">
        <w:t>The story</w:t>
      </w:r>
      <w:r w:rsidR="00C35D91" w:rsidRPr="00B740B4">
        <w:t xml:space="preserve"> shares a basic structure and some verbal formulae with traditional tales that tell </w:t>
      </w:r>
      <w:r w:rsidR="00934A11" w:rsidRPr="00B740B4">
        <w:t>“</w:t>
      </w:r>
      <w:r w:rsidR="00C35D91" w:rsidRPr="00B740B4">
        <w:t>the success story of the wise courtier,</w:t>
      </w:r>
      <w:r w:rsidR="00934A11" w:rsidRPr="00B740B4">
        <w:t>”</w:t>
      </w:r>
      <w:r w:rsidR="00C35D91" w:rsidRPr="00B740B4">
        <w:t xml:space="preserve"> including Ahiqar a</w:t>
      </w:r>
      <w:r w:rsidR="00391014" w:rsidRPr="00B740B4">
        <w:t>nd Gen 41. With these, it has in common</w:t>
      </w:r>
      <w:r w:rsidR="007F572D">
        <w:t xml:space="preserve"> motifs which</w:t>
      </w:r>
      <w:r w:rsidR="00C35D91" w:rsidRPr="00B740B4">
        <w:t xml:space="preserve"> appear</w:t>
      </w:r>
      <w:r w:rsidR="001F5F04" w:rsidRPr="00B740B4">
        <w:t xml:space="preserve"> in other </w:t>
      </w:r>
      <w:r w:rsidR="00594626" w:rsidRPr="00B740B4">
        <w:t xml:space="preserve">court </w:t>
      </w:r>
      <w:r w:rsidR="00C35D91" w:rsidRPr="00B740B4">
        <w:t xml:space="preserve">tales in </w:t>
      </w:r>
      <w:r w:rsidR="00391014" w:rsidRPr="00B740B4">
        <w:t xml:space="preserve">the </w:t>
      </w:r>
      <w:r w:rsidR="00C35D91" w:rsidRPr="00B740B4">
        <w:t>OT and apocrypha (Esther, Tobit, 1 Esd 3–4) and elsewhere:</w:t>
      </w:r>
      <w:r w:rsidR="00C47D9F">
        <w:rPr>
          <w:rStyle w:val="FootnoteReference"/>
        </w:rPr>
        <w:footnoteReference w:id="386"/>
      </w:r>
      <w:r w:rsidR="00C35D91" w:rsidRPr="00B740B4">
        <w:t xml:space="preserve"> the interrupted sleep, the puzzled king, the ineffectual experts, the angry tyrant, the imperiled hero, the victorious outsider appearing last, the king open to insight </w:t>
      </w:r>
      <w:r w:rsidRPr="00B740B4">
        <w:t>and change, the victor rewarded.</w:t>
      </w:r>
      <w:r w:rsidRPr="00B740B4">
        <w:rPr>
          <w:rStyle w:val="FootnoteReference"/>
        </w:rPr>
        <w:footnoteReference w:id="387"/>
      </w:r>
      <w:r w:rsidR="00B42365" w:rsidRPr="00B740B4">
        <w:t xml:space="preserve"> Thu</w:t>
      </w:r>
      <w:r w:rsidR="00517D36" w:rsidRPr="00B740B4">
        <w:t>s it also shares the sa</w:t>
      </w:r>
      <w:r w:rsidR="00CA6934" w:rsidRPr="00B740B4">
        <w:t xml:space="preserve">tirical </w:t>
      </w:r>
      <w:r w:rsidR="00391014" w:rsidRPr="00B740B4">
        <w:t>tone and aim of chap. 1.</w:t>
      </w:r>
      <w:r w:rsidR="00972335" w:rsidRPr="00B740B4">
        <w:rPr>
          <w:rStyle w:val="FootnoteReference"/>
        </w:rPr>
        <w:footnoteReference w:id="388"/>
      </w:r>
      <w:r w:rsidR="00391014" w:rsidRPr="00B740B4">
        <w:t xml:space="preserve"> I</w:t>
      </w:r>
      <w:r w:rsidR="00B42365" w:rsidRPr="00B740B4">
        <w:t>ts aim is pres</w:t>
      </w:r>
      <w:r w:rsidR="001F5F04" w:rsidRPr="00B740B4">
        <w:t>umably not to imply that any Judahite</w:t>
      </w:r>
      <w:r w:rsidR="00B42365" w:rsidRPr="00B740B4">
        <w:t xml:space="preserve"> can expect to beat the authorities at their </w:t>
      </w:r>
      <w:r w:rsidR="00391014" w:rsidRPr="00B740B4">
        <w:t>own game, but rather to assur</w:t>
      </w:r>
      <w:r w:rsidR="001F5F04" w:rsidRPr="00B740B4">
        <w:t>e Judahite</w:t>
      </w:r>
      <w:r w:rsidR="007F572D">
        <w:t xml:space="preserve">s </w:t>
      </w:r>
      <w:r w:rsidR="00B42365" w:rsidRPr="00B740B4">
        <w:t>he</w:t>
      </w:r>
      <w:r w:rsidR="00391014" w:rsidRPr="00B740B4">
        <w:t>ar</w:t>
      </w:r>
      <w:r w:rsidR="007F572D">
        <w:t>ing</w:t>
      </w:r>
      <w:r w:rsidR="00391014" w:rsidRPr="00B740B4">
        <w:t xml:space="preserve"> the story </w:t>
      </w:r>
      <w:r w:rsidR="00B42365" w:rsidRPr="00B740B4">
        <w:t>that the God of the heavens is lord over the regimes that seem to control his people’s destinty.</w:t>
      </w:r>
    </w:p>
    <w:p w:rsidR="00C35D91" w:rsidRPr="00B740B4" w:rsidRDefault="00C35D91" w:rsidP="00C35D91">
      <w:r w:rsidRPr="00B740B4">
        <w:t>As elsewhere in Daniel, Tobit, and 1 Esd 3–4, such motifs are rework</w:t>
      </w:r>
      <w:r w:rsidR="00391014" w:rsidRPr="00B740B4">
        <w:t>ed when</w:t>
      </w:r>
      <w:r w:rsidRPr="00B740B4">
        <w:t xml:space="preserve"> the </w:t>
      </w:r>
      <w:r w:rsidR="00594626" w:rsidRPr="00B740B4">
        <w:t xml:space="preserve">court </w:t>
      </w:r>
      <w:r w:rsidRPr="00B740B4">
        <w:t xml:space="preserve">tale is taken into a religious context; </w:t>
      </w:r>
      <w:r w:rsidR="00391014" w:rsidRPr="00B740B4">
        <w:t xml:space="preserve">in this sense, </w:t>
      </w:r>
      <w:r w:rsidRPr="00B740B4">
        <w:t xml:space="preserve">it becomes a legend. Daniel is a model of Israelite wisdom (v 14) and a model of Israelite piety, in his prayer (v 18), his vision (v 19), his praise (vv 19–23), his witness (vv 27–28), his self-effacement (v 30), </w:t>
      </w:r>
      <w:r w:rsidR="00391014" w:rsidRPr="00B740B4">
        <w:t xml:space="preserve">and </w:t>
      </w:r>
      <w:r w:rsidRPr="00B740B4">
        <w:t>his conviction (v 45); the fruit of his work is not merely rewards and promotion (v 48) but obeisance and recognition of his God (vv 46–47).</w:t>
      </w:r>
    </w:p>
    <w:p w:rsidR="00C35D91" w:rsidRPr="00B740B4" w:rsidRDefault="00C35D91" w:rsidP="00C35D91">
      <w:r w:rsidRPr="00B740B4">
        <w:t xml:space="preserve">In turn this last motif reflects the fact that in Dan 2 </w:t>
      </w:r>
      <w:r w:rsidR="00934A11" w:rsidRPr="00B740B4">
        <w:t>“</w:t>
      </w:r>
      <w:r w:rsidRPr="00B740B4">
        <w:t>the God of Daniel is the central figure and not the courtier</w:t>
      </w:r>
      <w:r w:rsidR="00934A11" w:rsidRPr="00B740B4">
        <w:t>”</w:t>
      </w:r>
      <w:r w:rsidRPr="00B740B4">
        <w:t>;</w:t>
      </w:r>
      <w:r w:rsidR="00517D36" w:rsidRPr="00B740B4">
        <w:rPr>
          <w:rStyle w:val="FootnoteReference"/>
        </w:rPr>
        <w:footnoteReference w:id="389"/>
      </w:r>
      <w:r w:rsidR="00E86B1D" w:rsidRPr="00B740B4">
        <w:t xml:space="preserve"> contrast Josephus </w:t>
      </w:r>
      <w:r w:rsidR="00E86B1D" w:rsidRPr="00B740B4">
        <w:rPr>
          <w:i/>
        </w:rPr>
        <w:t>Antiquities</w:t>
      </w:r>
      <w:r w:rsidRPr="00B740B4">
        <w:t xml:space="preserve"> 10.10.3 [10.200] where it is out of regard for Daniel’s wisdom that God reveals the dream to him.</w:t>
      </w:r>
      <w:r w:rsidR="00517D36" w:rsidRPr="00B740B4">
        <w:rPr>
          <w:rStyle w:val="FootnoteReference"/>
        </w:rPr>
        <w:footnoteReference w:id="390"/>
      </w:r>
      <w:r w:rsidRPr="00B740B4">
        <w:t xml:space="preserve"> When the situation looks hopeless, it is </w:t>
      </w:r>
      <w:r w:rsidR="00391014" w:rsidRPr="00B740B4">
        <w:t>God’s intervention that redeems it.</w:t>
      </w:r>
      <w:r w:rsidRPr="00B740B4">
        <w:t xml:space="preserve"> God’s re</w:t>
      </w:r>
      <w:r w:rsidR="00391014" w:rsidRPr="00B740B4">
        <w:t>vealing things to Daniel, confronting the expert</w:t>
      </w:r>
      <w:r w:rsidRPr="00B740B4">
        <w:t>s’ assertion that deity’s home is not among humanity (vv 11, 23, 28–29, 45, 47), gives Dan</w:t>
      </w:r>
      <w:r w:rsidR="00517D36" w:rsidRPr="00B740B4">
        <w:t xml:space="preserve"> 2 the features of an aretalogy.</w:t>
      </w:r>
      <w:r w:rsidR="00517D36" w:rsidRPr="00B740B4">
        <w:rPr>
          <w:rStyle w:val="FootnoteReference"/>
        </w:rPr>
        <w:footnoteReference w:id="391"/>
      </w:r>
      <w:r w:rsidR="00517D36" w:rsidRPr="00B740B4">
        <w:t xml:space="preserve"> </w:t>
      </w:r>
      <w:r w:rsidRPr="00B740B4">
        <w:t>Daniel’s praise and his revelation emphasize God’s sovereig</w:t>
      </w:r>
      <w:r w:rsidR="00391014" w:rsidRPr="00B740B4">
        <w:t>nty in events (vv 20–21, 37–45) and reinforce</w:t>
      </w:r>
      <w:r w:rsidRPr="00B740B4">
        <w:t xml:space="preserve"> this</w:t>
      </w:r>
      <w:r w:rsidR="009A2393" w:rsidRPr="00B740B4">
        <w:t xml:space="preserve"> feature</w:t>
      </w:r>
      <w:r w:rsidRPr="00B740B4">
        <w:t xml:space="preserve">; indeed, </w:t>
      </w:r>
      <w:r w:rsidR="00594626" w:rsidRPr="00B740B4">
        <w:t xml:space="preserve">court </w:t>
      </w:r>
      <w:r w:rsidRPr="00B740B4">
        <w:t xml:space="preserve">tale, legend, and aretalogy are subordinate to the theme of the </w:t>
      </w:r>
      <w:r w:rsidR="007F572D">
        <w:t xml:space="preserve">king’s </w:t>
      </w:r>
      <w:r w:rsidRPr="00B740B4">
        <w:t>recognition o</w:t>
      </w:r>
      <w:r w:rsidR="007F572D">
        <w:t>f God’s authority over him</w:t>
      </w:r>
      <w:r w:rsidR="009A2393" w:rsidRPr="00B740B4">
        <w:t>.</w:t>
      </w:r>
      <w:r w:rsidR="009A2393" w:rsidRPr="00B740B4">
        <w:rPr>
          <w:rStyle w:val="FootnoteReference"/>
        </w:rPr>
        <w:footnoteReference w:id="392"/>
      </w:r>
    </w:p>
    <w:p w:rsidR="007F572D" w:rsidRDefault="00C35D91" w:rsidP="00C35D91">
      <w:r w:rsidRPr="00B740B4">
        <w:t xml:space="preserve">The </w:t>
      </w:r>
      <w:r w:rsidR="007F572D">
        <w:t xml:space="preserve">parallels between the </w:t>
      </w:r>
      <w:r w:rsidR="00594626" w:rsidRPr="00B740B4">
        <w:t xml:space="preserve">court </w:t>
      </w:r>
      <w:r w:rsidRPr="00B740B4">
        <w:t>tale’s structure, plot, moti</w:t>
      </w:r>
      <w:r w:rsidR="007F572D">
        <w:t xml:space="preserve">fs, words, and phrases to those in the story of </w:t>
      </w:r>
      <w:r w:rsidRPr="00B740B4">
        <w:t>Joseph and the Egyptian ruler in Gen 40–41</w:t>
      </w:r>
      <w:r w:rsidR="007F572D">
        <w:t xml:space="preserve"> are so substantial</w:t>
      </w:r>
      <w:r w:rsidR="00410430" w:rsidRPr="00B740B4">
        <w:t xml:space="preserve"> that Dan 2</w:t>
      </w:r>
      <w:r w:rsidR="008C1F4C" w:rsidRPr="00B740B4">
        <w:t xml:space="preserve"> has</w:t>
      </w:r>
      <w:r w:rsidRPr="00B740B4">
        <w:t xml:space="preserve"> be</w:t>
      </w:r>
      <w:r w:rsidR="008C1F4C" w:rsidRPr="00B740B4">
        <w:t>en</w:t>
      </w:r>
      <w:r w:rsidRPr="00B740B4">
        <w:t xml:space="preserve"> described as a hagg</w:t>
      </w:r>
      <w:r w:rsidR="00410430" w:rsidRPr="00B740B4">
        <w:t>adah or midrash on those</w:t>
      </w:r>
      <w:r w:rsidR="009A2393" w:rsidRPr="00B740B4">
        <w:t xml:space="preserve"> chapter</w:t>
      </w:r>
      <w:r w:rsidR="00410430" w:rsidRPr="00B740B4">
        <w:t>s</w:t>
      </w:r>
      <w:r w:rsidR="009A2393" w:rsidRPr="00B740B4">
        <w:t>.</w:t>
      </w:r>
      <w:r w:rsidR="009A2393" w:rsidRPr="00B740B4">
        <w:rPr>
          <w:rStyle w:val="FootnoteReference"/>
        </w:rPr>
        <w:footnoteReference w:id="393"/>
      </w:r>
      <w:r w:rsidR="009A2393" w:rsidRPr="00B740B4">
        <w:t xml:space="preserve"> </w:t>
      </w:r>
      <w:r w:rsidRPr="00B740B4">
        <w:t>In both</w:t>
      </w:r>
      <w:r w:rsidR="00645AD3" w:rsidRPr="00B740B4">
        <w:t xml:space="preserve"> stories</w:t>
      </w:r>
      <w:r w:rsidR="009A2393" w:rsidRPr="00B740B4">
        <w:t>,</w:t>
      </w:r>
      <w:r w:rsidRPr="00B740B4">
        <w:t xml:space="preserve"> a heathen king has </w:t>
      </w:r>
      <w:r w:rsidR="009A2393" w:rsidRPr="00B740B4">
        <w:t xml:space="preserve">his anxiety aroused by </w:t>
      </w:r>
      <w:r w:rsidR="009A2393" w:rsidRPr="00B740B4">
        <w:lastRenderedPageBreak/>
        <w:t>dreams. In both, h</w:t>
      </w:r>
      <w:r w:rsidRPr="00B740B4">
        <w:t xml:space="preserve">e summons magicians (the word comes only in Gen 41, Exod </w:t>
      </w:r>
      <w:r w:rsidR="00391014" w:rsidRPr="00B740B4">
        <w:t>8–9, and Dan 1–2) and other expert</w:t>
      </w:r>
      <w:r w:rsidRPr="00B740B4">
        <w:t xml:space="preserve">s, but none can offer an interpretation (פתר, the BH equivalent to פשר in Dan, appears </w:t>
      </w:r>
      <w:r w:rsidR="00645AD3" w:rsidRPr="00B740B4">
        <w:t xml:space="preserve">in the OT </w:t>
      </w:r>
      <w:r w:rsidRPr="00B740B4">
        <w:t xml:space="preserve">only in Gen 40–41). Both stories refer to </w:t>
      </w:r>
      <w:r w:rsidR="009A2393" w:rsidRPr="00B740B4">
        <w:t>the king’s anger with his adviso</w:t>
      </w:r>
      <w:r w:rsidRPr="00B740B4">
        <w:t>rs, which leads them to be entrusted to the attention of his chief of police. Eventually a young Israelite who has been in exile in the king’s custody for two years and who may be able to interpret the dream is discovered and brought hastily before him. In response to the king’s inquiry about his ability as a dream interpreter, he denies possessing such ability in himself; it is God who must give any explanation of the dream. The dream, he declares, concerns future events affecting the king, which the young man explains, adding that the message is certain to come true. As a consequence the king determines to put the young man in a position of honor as prime minister over the whole land.</w:t>
      </w:r>
      <w:r w:rsidR="00862D1E">
        <w:rPr>
          <w:rStyle w:val="FootnoteReference"/>
        </w:rPr>
        <w:footnoteReference w:id="394"/>
      </w:r>
    </w:p>
    <w:p w:rsidR="00AE1AB6" w:rsidRPr="00B740B4" w:rsidRDefault="00C35D91" w:rsidP="00C35D91">
      <w:r w:rsidRPr="00B740B4">
        <w:t>Dan 2 has points of contact with other OT passage</w:t>
      </w:r>
      <w:r w:rsidR="00645AD3" w:rsidRPr="00B740B4">
        <w:t>s. It has links with Gen 11:1–9</w:t>
      </w:r>
      <w:r w:rsidR="00AE1AB6" w:rsidRPr="00B740B4">
        <w:rPr>
          <w:rStyle w:val="FootnoteReference"/>
        </w:rPr>
        <w:footnoteReference w:id="395"/>
      </w:r>
      <w:r w:rsidR="00645AD3" w:rsidRPr="00B740B4">
        <w:t xml:space="preserve"> and t</w:t>
      </w:r>
      <w:r w:rsidRPr="00B740B4">
        <w:t xml:space="preserve">he story’s moral parallels Proverbs’ promises of success and long life to those who fear Yahweh (e.g., 9:10–11; 10:27; 14:27). The opening of the </w:t>
      </w:r>
      <w:r w:rsidR="007F572D">
        <w:t xml:space="preserve">dream </w:t>
      </w:r>
      <w:r w:rsidRPr="00B740B4">
        <w:t>interpretati</w:t>
      </w:r>
      <w:r w:rsidR="007F572D">
        <w:t>on</w:t>
      </w:r>
      <w:r w:rsidRPr="00B740B4">
        <w:t xml:space="preserve"> (v</w:t>
      </w:r>
      <w:r w:rsidR="007F572D">
        <w:t>v 37–38) reflects Ps 8:6–8 and/</w:t>
      </w:r>
      <w:r w:rsidRPr="00B740B4">
        <w:t xml:space="preserve">or Jer 27:5–7, passages which seem to have been an important stimulus to the content of the vision (see </w:t>
      </w:r>
      <w:r w:rsidRPr="00B740B4">
        <w:rPr>
          <w:i/>
        </w:rPr>
        <w:t>Comment</w:t>
      </w:r>
      <w:r w:rsidRPr="00B740B4">
        <w:t>). Gold, silver, bronze, and iron are listed together elsewhere (e.g., Josh 6:19, 24; 22:8; Job 28:1–2), though commonly stone and timber are added (e.g., 1 Ch</w:t>
      </w:r>
      <w:r w:rsidR="00974BA0">
        <w:t>r 22:14–16, 29:2; 2 Chr 2:</w:t>
      </w:r>
      <w:r w:rsidRPr="00B740B4">
        <w:t>7–14</w:t>
      </w:r>
      <w:r w:rsidR="00974BA0">
        <w:t xml:space="preserve"> [6-13</w:t>
      </w:r>
      <w:r w:rsidRPr="00B740B4">
        <w:t xml:space="preserve">]; Isa 60:17; cf. Dan 5:23). </w:t>
      </w:r>
    </w:p>
    <w:p w:rsidR="00C35D91" w:rsidRPr="00B740B4" w:rsidRDefault="00C35D91" w:rsidP="00C35D91">
      <w:r w:rsidRPr="00B740B4">
        <w:t>The b</w:t>
      </w:r>
      <w:r w:rsidR="00645AD3" w:rsidRPr="00B740B4">
        <w:t>roadest influence on Dan 2</w:t>
      </w:r>
      <w:r w:rsidRPr="00B740B4">
        <w:t>, however, is that of Isa 40–66.</w:t>
      </w:r>
      <w:r w:rsidR="007C6434" w:rsidRPr="00B740B4">
        <w:rPr>
          <w:rStyle w:val="FootnoteReference"/>
        </w:rPr>
        <w:footnoteReference w:id="396"/>
      </w:r>
      <w:r w:rsidRPr="00B740B4">
        <w:t xml:space="preserve"> </w:t>
      </w:r>
      <w:r w:rsidR="005A7E30">
        <w:t>“The author of Daniel 2 is clearly preoccupied with the same problems as Deutero-Isaiah .”</w:t>
      </w:r>
      <w:r w:rsidR="005A7E30">
        <w:rPr>
          <w:rStyle w:val="FootnoteReference"/>
        </w:rPr>
        <w:footnoteReference w:id="397"/>
      </w:r>
      <w:r w:rsidR="005A7E30">
        <w:t xml:space="preserve"> </w:t>
      </w:r>
      <w:r w:rsidRPr="00B740B4">
        <w:t>The chapter’s major theme is the contrast between the helplessness of the Babylonians’ spiritual resources and the power and wisdom of the God of Israel to effect an</w:t>
      </w:r>
      <w:r w:rsidR="00645AD3" w:rsidRPr="00B740B4">
        <w:t xml:space="preserve">d to interpret history, which is </w:t>
      </w:r>
      <w:r w:rsidRPr="00B740B4">
        <w:t xml:space="preserve">a major theme of Isa 40–48 (e.g., 41:1–7, 21–29; 44:25–26; 47:9–15). Those chapters, too, suggest that silver and gold, bronze and iron, end up useless as clay (40:19; 45:2; 41:25), crushed and blown away like chaff (41:15–16; also 41:12, cf. v 35). They, too, see Israel’s God as Lord even of things hidden in darkness, </w:t>
      </w:r>
      <w:r w:rsidR="00645AD3" w:rsidRPr="00B740B4">
        <w:t xml:space="preserve">as </w:t>
      </w:r>
      <w:r w:rsidRPr="00B740B4">
        <w:t>Lord of light and darkness (45:3,</w:t>
      </w:r>
      <w:r w:rsidR="00645AD3" w:rsidRPr="00B740B4">
        <w:t xml:space="preserve"> 7; cf. v 22). They, too, envisag</w:t>
      </w:r>
      <w:r w:rsidRPr="00B740B4">
        <w:t xml:space="preserve">e the nations and their kings doing obeisance before the exiles and their God (45:3, 14; 49:23; 60:6–7, 14); in Dan 2 this </w:t>
      </w:r>
      <w:r w:rsidR="00645AD3" w:rsidRPr="00B740B4">
        <w:t xml:space="preserve">actually </w:t>
      </w:r>
      <w:r w:rsidRPr="00B740B4">
        <w:t xml:space="preserve">happens (vv 46–47). They, too, promise an </w:t>
      </w:r>
      <w:r w:rsidR="00AE1AB6" w:rsidRPr="00B740B4">
        <w:t>ultimate realization of Yahweh</w:t>
      </w:r>
      <w:r w:rsidRPr="00B740B4">
        <w:t>’s kingship (44:6; 52:7).</w:t>
      </w:r>
    </w:p>
    <w:p w:rsidR="00C35D91" w:rsidRPr="00B740B4" w:rsidRDefault="00C35D91" w:rsidP="00C35D91">
      <w:r w:rsidRPr="00B740B4">
        <w:t xml:space="preserve">Daniel’s thanksgiving (vv 20–23) parallels those of the Psalms and utilizes their phrases and motifs, though </w:t>
      </w:r>
      <w:r w:rsidR="00DE7F74" w:rsidRPr="00B740B4">
        <w:t xml:space="preserve">it is </w:t>
      </w:r>
      <w:r w:rsidRPr="00B740B4">
        <w:t>composed for its context in Daniel’s experienc</w:t>
      </w:r>
      <w:r w:rsidR="00645AD3" w:rsidRPr="00B740B4">
        <w:t xml:space="preserve">e rather than reflecting existent </w:t>
      </w:r>
      <w:r w:rsidRPr="00B740B4">
        <w:t>use in worship.</w:t>
      </w:r>
      <w:r w:rsidR="00DE7F74" w:rsidRPr="00B740B4">
        <w:t xml:space="preserve"> It is an imitation of a thanks</w:t>
      </w:r>
      <w:r w:rsidRPr="00B740B4">
        <w:t>giving, like the wisdom psalms</w:t>
      </w:r>
      <w:r w:rsidR="00DE7F74" w:rsidRPr="00B740B4">
        <w:t xml:space="preserve"> that have a thanksgiving motif</w:t>
      </w:r>
      <w:r w:rsidRPr="00B740B4">
        <w:t>.</w:t>
      </w:r>
      <w:r w:rsidR="00DE7F74" w:rsidRPr="00B740B4">
        <w:rPr>
          <w:rStyle w:val="FootnoteReference"/>
        </w:rPr>
        <w:footnoteReference w:id="398"/>
      </w:r>
      <w:r w:rsidRPr="00B740B4">
        <w:t xml:space="preserve"> </w:t>
      </w:r>
      <w:r w:rsidR="0009337E" w:rsidRPr="00B740B4">
        <w:t xml:space="preserve">Its literary nature is reflected in the </w:t>
      </w:r>
      <w:r w:rsidR="00CC48D1">
        <w:t>neatness of its structure in bicola.</w:t>
      </w:r>
      <w:r w:rsidR="0009337E" w:rsidRPr="00B740B4">
        <w:rPr>
          <w:rStyle w:val="FootnoteReference"/>
        </w:rPr>
        <w:footnoteReference w:id="399"/>
      </w:r>
      <w:r w:rsidR="0009337E" w:rsidRPr="00B740B4">
        <w:t xml:space="preserve"> </w:t>
      </w:r>
      <w:r w:rsidR="00645AD3" w:rsidRPr="00B740B4">
        <w:t>Its</w:t>
      </w:r>
      <w:r w:rsidRPr="00B740B4">
        <w:t xml:space="preserve"> </w:t>
      </w:r>
      <w:r w:rsidR="00DE7F74" w:rsidRPr="00B740B4">
        <w:t xml:space="preserve">content </w:t>
      </w:r>
      <w:r w:rsidRPr="00B740B4">
        <w:t>recalls Job (e.g., 1:21; 12:22; 32:8; 38:19) more specifica</w:t>
      </w:r>
      <w:r w:rsidR="00DE7F74" w:rsidRPr="00B740B4">
        <w:t>lly th</w:t>
      </w:r>
      <w:r w:rsidR="00645AD3" w:rsidRPr="00B740B4">
        <w:t>an the Psalter. It</w:t>
      </w:r>
      <w:r w:rsidR="00DE7F74" w:rsidRPr="00B740B4">
        <w:t xml:space="preserve"> begins with a </w:t>
      </w:r>
      <w:r w:rsidRPr="00B740B4">
        <w:t xml:space="preserve">liturgical blessing of God, like those at the end of the </w:t>
      </w:r>
      <w:r w:rsidR="000265D7" w:rsidRPr="00B740B4">
        <w:t>books of the Psalter (esp.</w:t>
      </w:r>
      <w:r w:rsidRPr="00B740B4">
        <w:t xml:space="preserve"> 72:18–19). The</w:t>
      </w:r>
      <w:r w:rsidR="00645AD3" w:rsidRPr="00B740B4">
        <w:t>n the</w:t>
      </w:r>
      <w:r w:rsidRPr="00B740B4">
        <w:t xml:space="preserve"> twofold reason for this blessing is briefly stated in the opening formula, in the accustomed fashion. It is expanded in vv 21a and 21b–22 in a series of participles, the two divine characteristics </w:t>
      </w:r>
      <w:r w:rsidR="00E1231B" w:rsidRPr="00B740B4">
        <w:t xml:space="preserve">to which the blessing referred </w:t>
      </w:r>
      <w:r w:rsidRPr="00B740B4">
        <w:t xml:space="preserve">being taken up in </w:t>
      </w:r>
      <w:r w:rsidRPr="00B740B4">
        <w:lastRenderedPageBreak/>
        <w:t>reverse order. Verse 23a corresponds to v 2</w:t>
      </w:r>
      <w:r w:rsidR="00DE7F74" w:rsidRPr="00B740B4">
        <w:t xml:space="preserve">0, praising the </w:t>
      </w:r>
      <w:r w:rsidR="00934A11" w:rsidRPr="00B740B4">
        <w:t>“</w:t>
      </w:r>
      <w:r w:rsidR="00DE7F74" w:rsidRPr="00B740B4">
        <w:t>God of my ancesto</w:t>
      </w:r>
      <w:r w:rsidRPr="00B740B4">
        <w:t>rs</w:t>
      </w:r>
      <w:r w:rsidR="00934A11" w:rsidRPr="00B740B4">
        <w:t>”</w:t>
      </w:r>
      <w:r w:rsidRPr="00B740B4">
        <w:t xml:space="preserve"> as one who has shared with his servants the two gifts on which vv 20–22 focuses. Verse 23b further narrows the focus to the particular event that prompted this psalm, and thus resolves a formal ambiguity about the psalm.</w:t>
      </w:r>
      <w:r w:rsidR="00C61E0E" w:rsidRPr="00B740B4">
        <w:rPr>
          <w:vertAlign w:val="superscript"/>
        </w:rPr>
        <w:t xml:space="preserve"> </w:t>
      </w:r>
      <w:r w:rsidR="00C61E0E" w:rsidRPr="00B740B4">
        <w:rPr>
          <w:vertAlign w:val="superscript"/>
        </w:rPr>
        <w:footnoteReference w:id="400"/>
      </w:r>
      <w:r w:rsidRPr="00B740B4">
        <w:t xml:space="preserve"> Internally, it has the fundamental featu</w:t>
      </w:r>
      <w:r w:rsidR="00DE7F74" w:rsidRPr="00B740B4">
        <w:t xml:space="preserve">re of a hymn: it focuses on </w:t>
      </w:r>
      <w:r w:rsidRPr="00B740B4">
        <w:t>God’s characteristic attrib</w:t>
      </w:r>
      <w:r w:rsidR="00DE7F74" w:rsidRPr="00B740B4">
        <w:t>utes and actions, rather than on</w:t>
      </w:r>
      <w:r w:rsidRPr="00B740B4">
        <w:t xml:space="preserve"> confess</w:t>
      </w:r>
      <w:r w:rsidR="00DE7F74" w:rsidRPr="00B740B4">
        <w:t>ing</w:t>
      </w:r>
      <w:r w:rsidRPr="00B740B4">
        <w:t xml:space="preserve"> what God has just now done for the speaker. Yet it lacks the hymn’s characteristic imperative call to praise. The blessing formula, and the concentrated acknowledgment of the rea</w:t>
      </w:r>
      <w:r w:rsidR="00E1231B" w:rsidRPr="00B740B4">
        <w:t>sons for praise which follows</w:t>
      </w:r>
      <w:r w:rsidRPr="00B740B4">
        <w:t>, are characteristic of that praise which confesses how God’s love and power have been personally applied to the worshiper’s needs (e.g., Gen 24:27; Ps 28:6; 66:20; 68:20, 36 [19</w:t>
      </w:r>
      <w:r w:rsidR="00E1231B" w:rsidRPr="00B740B4">
        <w:t>, 35]; also Luke 1:68), which</w:t>
      </w:r>
      <w:r w:rsidRPr="00B740B4">
        <w:t xml:space="preserve"> is the context the psalm presupposes. The content of the praise (vv 20b–22) relates to the fact that God has answered Daniel’s prayer, and to the content of that answer. The psalm is not a liturgical piece but (in the setting of the story) a confession arising from </w:t>
      </w:r>
      <w:r w:rsidR="00DE7F74" w:rsidRPr="00B740B4">
        <w:t>an experience of</w:t>
      </w:r>
      <w:r w:rsidRPr="00B740B4">
        <w:t xml:space="preserve"> God’s action in the midst of life in the world. The relationship between praise and context is made ex</w:t>
      </w:r>
      <w:r w:rsidR="0079799A">
        <w:t>plicit by v 23a. The</w:t>
      </w:r>
      <w:r w:rsidRPr="00B740B4">
        <w:t xml:space="preserve"> </w:t>
      </w:r>
      <w:r w:rsidR="00E1231B" w:rsidRPr="00B740B4">
        <w:t>“</w:t>
      </w:r>
      <w:r w:rsidRPr="00B740B4">
        <w:t>psalm</w:t>
      </w:r>
      <w:r w:rsidR="00E1231B" w:rsidRPr="00B740B4">
        <w:t>”</w:t>
      </w:r>
      <w:r w:rsidRPr="00B740B4">
        <w:t xml:space="preserve"> makes for an interesting comparison with Ps 113 (also Ps 66). After declaring in very similar terms </w:t>
      </w:r>
      <w:r w:rsidR="00934A11" w:rsidRPr="00B740B4">
        <w:t>“</w:t>
      </w:r>
      <w:r w:rsidRPr="00B740B4">
        <w:t>may the name of Yahweh be blessed from now to all ages,</w:t>
      </w:r>
      <w:r w:rsidR="00934A11" w:rsidRPr="00B740B4">
        <w:t>”</w:t>
      </w:r>
      <w:r w:rsidR="0079799A">
        <w:t xml:space="preserve"> that psalm bases its</w:t>
      </w:r>
      <w:r w:rsidRPr="00B740B4">
        <w:t xml:space="preserve"> affirmation in Yahweh’s continuing majesty and condescension to meet his people’s needs (mostly in participles). Here too, the general statement is closely related to a confession of </w:t>
      </w:r>
      <w:r w:rsidR="00DE7F74" w:rsidRPr="00B740B4">
        <w:t xml:space="preserve">a </w:t>
      </w:r>
      <w:r w:rsidRPr="00B740B4">
        <w:t>particular experience.</w:t>
      </w:r>
      <w:r w:rsidR="00DE7F74" w:rsidRPr="00B740B4">
        <w:rPr>
          <w:rStyle w:val="FootnoteReference"/>
        </w:rPr>
        <w:footnoteReference w:id="401"/>
      </w:r>
      <w:r w:rsidRPr="00B740B4">
        <w:t xml:space="preserve"> </w:t>
      </w:r>
    </w:p>
    <w:p w:rsidR="00C35D91" w:rsidRPr="00B740B4" w:rsidRDefault="00E1231B" w:rsidP="00C35D91">
      <w:r w:rsidRPr="00B740B4">
        <w:t xml:space="preserve">Although </w:t>
      </w:r>
      <w:r w:rsidR="00C35D91" w:rsidRPr="00B740B4">
        <w:t xml:space="preserve">this rather literary narrative </w:t>
      </w:r>
      <w:r w:rsidRPr="00B740B4">
        <w:t xml:space="preserve">reshapes </w:t>
      </w:r>
      <w:r w:rsidR="00C35D91" w:rsidRPr="00B740B4">
        <w:t>the report of the dream</w:t>
      </w:r>
      <w:r w:rsidRPr="00B740B4">
        <w:t xml:space="preserve"> and its interpretation </w:t>
      </w:r>
      <w:r w:rsidR="00C35D91" w:rsidRPr="00B740B4">
        <w:t>thr</w:t>
      </w:r>
      <w:r w:rsidR="00C719A0" w:rsidRPr="00B740B4">
        <w:t xml:space="preserve">ough the delaying of the </w:t>
      </w:r>
      <w:r w:rsidR="00C35D91" w:rsidRPr="00B740B4">
        <w:t>dream report</w:t>
      </w:r>
      <w:r w:rsidR="0079799A">
        <w:t xml:space="preserve"> through the inclusion of the thanksgiving</w:t>
      </w:r>
      <w:r w:rsidRPr="00B740B4">
        <w:t xml:space="preserve">, </w:t>
      </w:r>
      <w:r w:rsidR="0079799A">
        <w:t xml:space="preserve">the </w:t>
      </w:r>
      <w:r w:rsidR="00C719A0" w:rsidRPr="00B740B4">
        <w:t>report and interpretation</w:t>
      </w:r>
      <w:r w:rsidR="00C35D91" w:rsidRPr="00B740B4">
        <w:t xml:space="preserve"> have a similar form to those in Gen 40–41 and Dan 4</w:t>
      </w:r>
      <w:r w:rsidR="00C719A0" w:rsidRPr="00B740B4">
        <w:t>.</w:t>
      </w:r>
      <w:r w:rsidR="00C719A0" w:rsidRPr="00B740B4">
        <w:rPr>
          <w:rStyle w:val="FootnoteReference"/>
        </w:rPr>
        <w:footnoteReference w:id="402"/>
      </w:r>
      <w:r w:rsidR="00C35D91" w:rsidRPr="00B740B4">
        <w:t xml:space="preserve"> The introduction to a dream report commonly identifies dreamer, place, time, and the dreamer’s mental state. The dream may be visual (so here) or au</w:t>
      </w:r>
      <w:r w:rsidR="00C719A0" w:rsidRPr="00B740B4">
        <w:t xml:space="preserve">dio-visual (Dan 4) and may </w:t>
      </w:r>
      <w:r w:rsidR="00C35D91" w:rsidRPr="00B740B4">
        <w:t>include words addressed to the dreamer (Dan 7). The dreamer’s awe</w:t>
      </w:r>
      <w:r w:rsidRPr="00B740B4">
        <w:t>d reaction is usually described</w:t>
      </w:r>
      <w:r w:rsidR="00C35D91" w:rsidRPr="00B740B4">
        <w:t xml:space="preserve"> when dream figures appear and/or when the dream is</w:t>
      </w:r>
      <w:r w:rsidRPr="00B740B4">
        <w:t xml:space="preserve"> over. The dreamer expresses the</w:t>
      </w:r>
      <w:r w:rsidR="00C35D91" w:rsidRPr="00B740B4">
        <w:t xml:space="preserve"> need to have the dre</w:t>
      </w:r>
      <w:r w:rsidR="00C719A0" w:rsidRPr="00B740B4">
        <w:t>am interpreted; its reference may be</w:t>
      </w:r>
      <w:r w:rsidR="00C35D91" w:rsidRPr="00B740B4">
        <w:t xml:space="preserve"> to the immediate or more dist</w:t>
      </w:r>
      <w:r w:rsidRPr="00B740B4">
        <w:t>ant future of the dreamer or the dreamer’s</w:t>
      </w:r>
      <w:r w:rsidR="00C35D91" w:rsidRPr="00B740B4">
        <w:t xml:space="preserve"> people. Both the dreams’ content (their concern with God’s control of history as this affects his people’s lives) and their framework (the theme of the</w:t>
      </w:r>
      <w:r w:rsidR="001F5F04" w:rsidRPr="00B740B4">
        <w:t xml:space="preserve"> revelatory gifts of the Judahite</w:t>
      </w:r>
      <w:r w:rsidR="0079799A">
        <w:t xml:space="preserve"> </w:t>
      </w:r>
      <w:r w:rsidR="00C35D91" w:rsidRPr="00B740B4">
        <w:t xml:space="preserve">seer) link the dreams with </w:t>
      </w:r>
      <w:r w:rsidRPr="00B740B4">
        <w:t xml:space="preserve">their narrative context in </w:t>
      </w:r>
      <w:r w:rsidR="00C35D91" w:rsidRPr="00B740B4">
        <w:t xml:space="preserve">Daniel; they are integral to it and it to them. The </w:t>
      </w:r>
      <w:r w:rsidR="00C719A0" w:rsidRPr="00B740B4">
        <w:t xml:space="preserve">form of the </w:t>
      </w:r>
      <w:r w:rsidR="00C35D91" w:rsidRPr="00B740B4">
        <w:t>account of the dream’s in</w:t>
      </w:r>
      <w:r w:rsidR="0079799A">
        <w:t>terpretation, also used for the account</w:t>
      </w:r>
      <w:r w:rsidR="00C35D91" w:rsidRPr="00B740B4">
        <w:t xml:space="preserve"> of the omen in Dan 5, compares with the form of scriptural interpretation in the Qumran literature; successive features of the dream are quoted, identified, and explained.</w:t>
      </w:r>
      <w:r w:rsidR="00C719A0" w:rsidRPr="00B740B4">
        <w:rPr>
          <w:rStyle w:val="FootnoteReference"/>
        </w:rPr>
        <w:footnoteReference w:id="403"/>
      </w:r>
      <w:r w:rsidR="00C35D91" w:rsidRPr="00B740B4">
        <w:t xml:space="preserve"> Interpretations commonly contain more or less detail than the original revelation, or fail to correspond</w:t>
      </w:r>
      <w:r w:rsidR="00F4543B" w:rsidRPr="00B740B4">
        <w:t xml:space="preserve"> to it in some other way; it</w:t>
      </w:r>
      <w:r w:rsidR="00C35D91" w:rsidRPr="00B740B4">
        <w:t xml:space="preserve"> is not a sign of textual </w:t>
      </w:r>
      <w:r w:rsidRPr="00B740B4">
        <w:t>development but of the way</w:t>
      </w:r>
      <w:r w:rsidR="00C35D91" w:rsidRPr="00B740B4">
        <w:t xml:space="preserve"> interpretations stand on their ow</w:t>
      </w:r>
      <w:r w:rsidR="00774948">
        <w:t xml:space="preserve">n. They are not simply the straightforward </w:t>
      </w:r>
      <w:r w:rsidR="00C35D91" w:rsidRPr="00B740B4">
        <w:t>translation of a coded message but revelation in their own r</w:t>
      </w:r>
      <w:r w:rsidR="00F4543B" w:rsidRPr="00B740B4">
        <w:t>ight.</w:t>
      </w:r>
      <w:r w:rsidR="00F4543B" w:rsidRPr="00B740B4">
        <w:rPr>
          <w:rStyle w:val="FootnoteReference"/>
        </w:rPr>
        <w:footnoteReference w:id="404"/>
      </w:r>
      <w:r w:rsidR="00F4543B" w:rsidRPr="00B740B4">
        <w:t xml:space="preserve"> </w:t>
      </w:r>
    </w:p>
    <w:p w:rsidR="00C35D91" w:rsidRPr="00B740B4" w:rsidRDefault="00C35D91" w:rsidP="00C35D91">
      <w:r w:rsidRPr="00B740B4">
        <w:t>The dream’s contents and its interpretation have a more substantial extrabiblical background</w:t>
      </w:r>
      <w:r w:rsidR="00774948">
        <w:t>.</w:t>
      </w:r>
    </w:p>
    <w:p w:rsidR="00C35D91" w:rsidRPr="00B740B4" w:rsidRDefault="00C35D91" w:rsidP="00C35D91">
      <w:r w:rsidRPr="00B740B4">
        <w:t xml:space="preserve">(a) Dreams, oracles, and prophecies with implications for the future of the state appear in Akkadian texts relating to Zimri-Lim, Esarhaddon, </w:t>
      </w:r>
      <w:r w:rsidR="00F4543B" w:rsidRPr="00B740B4">
        <w:t>and Asshurbanipal.</w:t>
      </w:r>
      <w:r w:rsidR="00F4543B" w:rsidRPr="00B740B4">
        <w:rPr>
          <w:rStyle w:val="FootnoteReference"/>
        </w:rPr>
        <w:footnoteReference w:id="405"/>
      </w:r>
      <w:r w:rsidR="00F4543B" w:rsidRPr="00B740B4">
        <w:t xml:space="preserve"> </w:t>
      </w:r>
      <w:r w:rsidRPr="00B740B4">
        <w:t xml:space="preserve">A number of Akkadian texts </w:t>
      </w:r>
      <w:r w:rsidRPr="00B740B4">
        <w:lastRenderedPageBreak/>
        <w:t>offer descriptions in predictive form of the</w:t>
      </w:r>
      <w:r w:rsidR="00774948">
        <w:t xml:space="preserve"> reigns of (unnamed) kings. They</w:t>
      </w:r>
      <w:r w:rsidR="00CD7A25">
        <w:t xml:space="preserve"> are apparently quasi-prediction</w:t>
      </w:r>
      <w:r w:rsidRPr="00B740B4">
        <w:t xml:space="preserve">s, at least until their closing sections where they come to express </w:t>
      </w:r>
      <w:r w:rsidR="0089602E" w:rsidRPr="00B740B4">
        <w:t>promises from</w:t>
      </w:r>
      <w:r w:rsidRPr="00B740B4">
        <w:t xml:space="preserve"> the prophet’s day.</w:t>
      </w:r>
      <w:r w:rsidR="00F4543B" w:rsidRPr="00B740B4">
        <w:rPr>
          <w:rStyle w:val="FootnoteReference"/>
        </w:rPr>
        <w:footnoteReference w:id="406"/>
      </w:r>
      <w:r w:rsidR="00CD7A25">
        <w:t xml:space="preserve"> Further such quasi-prediction</w:t>
      </w:r>
      <w:r w:rsidRPr="00B740B4">
        <w:t>s come from Egypt and elsewhere in the Hellenistic period.</w:t>
      </w:r>
      <w:r w:rsidR="0089602E" w:rsidRPr="00B740B4">
        <w:rPr>
          <w:rStyle w:val="FootnoteReference"/>
        </w:rPr>
        <w:footnoteReference w:id="407"/>
      </w:r>
      <w:r w:rsidRPr="00B740B4">
        <w:t xml:space="preserve"> </w:t>
      </w:r>
      <w:r w:rsidR="000D31EA" w:rsidRPr="00B740B4">
        <w:t>It ha</w:t>
      </w:r>
      <w:r w:rsidR="0089602E" w:rsidRPr="00B740B4">
        <w:t xml:space="preserve">s been suggested that </w:t>
      </w:r>
      <w:r w:rsidR="00753C08">
        <w:t>a Babylonian political prophecy</w:t>
      </w:r>
      <w:r w:rsidRPr="00B740B4">
        <w:t xml:space="preserve"> from the Hellenistic period underlies Dan 2</w:t>
      </w:r>
      <w:r w:rsidR="0089602E" w:rsidRPr="00B740B4">
        <w:rPr>
          <w:rStyle w:val="FootnoteReference"/>
        </w:rPr>
        <w:footnoteReference w:id="408"/>
      </w:r>
      <w:r w:rsidR="0021054A" w:rsidRPr="00B740B4">
        <w:t>—</w:t>
      </w:r>
      <w:r w:rsidR="0089602E" w:rsidRPr="00B740B4">
        <w:t xml:space="preserve">or </w:t>
      </w:r>
      <w:r w:rsidR="00835025" w:rsidRPr="00B740B4">
        <w:t>that</w:t>
      </w:r>
      <w:r w:rsidR="000F7167">
        <w:t xml:space="preserve"> a Judah</w:t>
      </w:r>
      <w:r w:rsidR="001F5F04" w:rsidRPr="00B740B4">
        <w:t>ite</w:t>
      </w:r>
      <w:r w:rsidR="00753C08">
        <w:t xml:space="preserve"> prophecy</w:t>
      </w:r>
      <w:r w:rsidRPr="00B740B4">
        <w:t xml:space="preserve"> from the sixth</w:t>
      </w:r>
      <w:r w:rsidR="0089602E" w:rsidRPr="00B740B4">
        <w:t xml:space="preserve"> century does so</w:t>
      </w:r>
      <w:r w:rsidRPr="00B740B4">
        <w:t>.</w:t>
      </w:r>
      <w:r w:rsidR="0089602E" w:rsidRPr="00B740B4">
        <w:rPr>
          <w:rStyle w:val="FootnoteReference"/>
        </w:rPr>
        <w:footnoteReference w:id="409"/>
      </w:r>
    </w:p>
    <w:p w:rsidR="00C35D91" w:rsidRPr="00B740B4" w:rsidRDefault="000D31EA" w:rsidP="00C35D91">
      <w:r w:rsidRPr="00B740B4">
        <w:t>(b) As r</w:t>
      </w:r>
      <w:r w:rsidR="00C35D91" w:rsidRPr="00B740B4">
        <w:t>oyal dreams occur within t</w:t>
      </w:r>
      <w:r w:rsidR="00835025" w:rsidRPr="00B740B4">
        <w:t xml:space="preserve">he OT </w:t>
      </w:r>
      <w:r w:rsidRPr="00B740B4">
        <w:t xml:space="preserve">(e.g., Pharaoh, Solomon), </w:t>
      </w:r>
      <w:r w:rsidR="00C35D91" w:rsidRPr="00B740B4">
        <w:t>extrabiblical texts refer to the dreams of Sennacherib and Esarhaddon and include detailed accounts of dreams and other communications received by Nabonidus</w:t>
      </w:r>
      <w:r w:rsidR="00835025" w:rsidRPr="00B740B4">
        <w:t>.</w:t>
      </w:r>
      <w:r w:rsidR="00835025" w:rsidRPr="00B740B4">
        <w:rPr>
          <w:rStyle w:val="FootnoteReference"/>
        </w:rPr>
        <w:footnoteReference w:id="410"/>
      </w:r>
      <w:r w:rsidR="00C35D91" w:rsidRPr="00B740B4">
        <w:t xml:space="preserve"> </w:t>
      </w:r>
      <w:r w:rsidR="00835025" w:rsidRPr="00B740B4">
        <w:t>It has been suggest</w:t>
      </w:r>
      <w:r w:rsidR="00C35D91" w:rsidRPr="00B740B4">
        <w:t>ed that Dan 2 reflects factual or folk material concerning Nabonidus, not Nebuchadnezzar.</w:t>
      </w:r>
      <w:r w:rsidR="00835025" w:rsidRPr="00B740B4">
        <w:rPr>
          <w:rStyle w:val="FootnoteReference"/>
        </w:rPr>
        <w:footnoteReference w:id="411"/>
      </w:r>
      <w:r w:rsidR="00C35D91" w:rsidRPr="00B740B4">
        <w:t xml:space="preserve"> Herodotus tells of dreams attributed to a series of Median and Persian rulers relating to their political or military future, some </w:t>
      </w:r>
      <w:r w:rsidR="00774948">
        <w:t>being interpreted by the dream interpreters</w:t>
      </w:r>
      <w:r w:rsidR="00C35D91" w:rsidRPr="00B740B4">
        <w:t xml:space="preserve"> (</w:t>
      </w:r>
      <w:r w:rsidR="00835025" w:rsidRPr="00B740B4">
        <w:rPr>
          <w:i/>
        </w:rPr>
        <w:t xml:space="preserve">Histories </w:t>
      </w:r>
      <w:r w:rsidR="00C35D91" w:rsidRPr="00B740B4">
        <w:t>1.107–8, 209–10; 3.30; 7.12–19).</w:t>
      </w:r>
    </w:p>
    <w:p w:rsidR="00C35D91" w:rsidRPr="00B740B4" w:rsidRDefault="00C35D91" w:rsidP="00C35D91">
      <w:r w:rsidRPr="00B740B4">
        <w:t>(c) T</w:t>
      </w:r>
      <w:r w:rsidR="000D31EA" w:rsidRPr="00B740B4">
        <w:t>he statue motif recalls</w:t>
      </w:r>
      <w:r w:rsidRPr="00B740B4">
        <w:t xml:space="preserve"> colossi at Rhodes</w:t>
      </w:r>
      <w:r w:rsidR="000D31EA" w:rsidRPr="00B740B4">
        <w:t xml:space="preserve">, Memphis, and elsewhere, </w:t>
      </w:r>
      <w:r w:rsidRPr="00B740B4">
        <w:t xml:space="preserve">not least in </w:t>
      </w:r>
      <w:r w:rsidR="00774948">
        <w:t xml:space="preserve">the </w:t>
      </w:r>
      <w:r w:rsidRPr="00B740B4">
        <w:t xml:space="preserve">palace and </w:t>
      </w:r>
      <w:r w:rsidR="00774948">
        <w:t xml:space="preserve">the </w:t>
      </w:r>
      <w:r w:rsidRPr="00B740B4">
        <w:t>tem</w:t>
      </w:r>
      <w:r w:rsidR="000D31EA" w:rsidRPr="00B740B4">
        <w:t>ple at Babylon itself; it also</w:t>
      </w:r>
      <w:r w:rsidRPr="00B740B4">
        <w:t xml:space="preserve"> appears in other stories (see Herodotus</w:t>
      </w:r>
      <w:r w:rsidR="00B24F98">
        <w:t xml:space="preserve">, </w:t>
      </w:r>
      <w:r w:rsidR="00B24F98">
        <w:rPr>
          <w:i/>
        </w:rPr>
        <w:t>Histories</w:t>
      </w:r>
      <w:r w:rsidRPr="00B740B4">
        <w:t xml:space="preserve"> </w:t>
      </w:r>
      <w:r w:rsidR="0076626B" w:rsidRPr="00B740B4">
        <w:t>1.183; Dan 3; Bel</w:t>
      </w:r>
      <w:r w:rsidRPr="00B740B4">
        <w:t>).</w:t>
      </w:r>
      <w:r w:rsidR="0076626B" w:rsidRPr="00B740B4">
        <w:rPr>
          <w:rStyle w:val="FootnoteReference"/>
        </w:rPr>
        <w:footnoteReference w:id="412"/>
      </w:r>
      <w:r w:rsidRPr="00B740B4">
        <w:t xml:space="preserve"> Statues made of a combination of materials are instanced: e.g., statues of </w:t>
      </w:r>
      <w:r w:rsidR="007D4C0D">
        <w:t>Ba’al</w:t>
      </w:r>
      <w:r w:rsidRPr="00B740B4">
        <w:t xml:space="preserve"> at Ugarit</w:t>
      </w:r>
      <w:r w:rsidR="00AE637A" w:rsidRPr="00B740B4">
        <w:t>.</w:t>
      </w:r>
      <w:r w:rsidR="00AE637A" w:rsidRPr="00B740B4">
        <w:rPr>
          <w:rStyle w:val="FootnoteReference"/>
        </w:rPr>
        <w:footnoteReference w:id="413"/>
      </w:r>
      <w:r w:rsidRPr="00B740B4">
        <w:t xml:space="preserve"> Greek philosophy pictured the body-politic, headed by the king, corporately,</w:t>
      </w:r>
      <w:r w:rsidR="00AE637A" w:rsidRPr="00B740B4">
        <w:rPr>
          <w:rStyle w:val="FootnoteReference"/>
        </w:rPr>
        <w:footnoteReference w:id="414"/>
      </w:r>
      <w:r w:rsidRPr="00B740B4">
        <w:t xml:space="preserve"> and Iranian sources picture the world as a huge man.</w:t>
      </w:r>
      <w:r w:rsidR="00AE637A" w:rsidRPr="00B740B4">
        <w:rPr>
          <w:rStyle w:val="FootnoteReference"/>
        </w:rPr>
        <w:footnoteReference w:id="415"/>
      </w:r>
    </w:p>
    <w:p w:rsidR="00C35D91" w:rsidRPr="00B740B4" w:rsidRDefault="000D31EA" w:rsidP="00C35D91">
      <w:r w:rsidRPr="00B740B4">
        <w:t>(d) Metals symbolizing eras appear</w:t>
      </w:r>
      <w:r w:rsidR="00C35D91" w:rsidRPr="00B740B4">
        <w:t xml:space="preserve"> first in the eighth(?)</w:t>
      </w:r>
      <w:r w:rsidR="00E64249" w:rsidRPr="00B740B4">
        <w:t xml:space="preserve"> </w:t>
      </w:r>
      <w:r w:rsidR="00C35D91" w:rsidRPr="00B740B4">
        <w:t>century Greek poet Hesiod (</w:t>
      </w:r>
      <w:r w:rsidR="00C35D91" w:rsidRPr="00B740B4">
        <w:rPr>
          <w:i/>
        </w:rPr>
        <w:t>Works and Days</w:t>
      </w:r>
      <w:r w:rsidR="00C35D91" w:rsidRPr="00B740B4">
        <w:t xml:space="preserve"> 106–201). He divides humanity into five ages, the first three and the fifth being golden, silver, bronze, and iron.</w:t>
      </w:r>
      <w:r w:rsidR="00F00D59">
        <w:rPr>
          <w:rStyle w:val="FootnoteReference"/>
        </w:rPr>
        <w:footnoteReference w:id="416"/>
      </w:r>
      <w:r w:rsidR="00774948">
        <w:t xml:space="preserve"> This theme</w:t>
      </w:r>
      <w:r w:rsidR="00C35D91" w:rsidRPr="00B740B4">
        <w:t xml:space="preserve"> also features in Zoroastrian texts, medieval in the form known to us but containing material that may well derive from the Hellenistic period or even that </w:t>
      </w:r>
      <w:r w:rsidR="00E64249" w:rsidRPr="00B740B4">
        <w:t>of Zarathustra himself</w:t>
      </w:r>
      <w:r w:rsidR="00C35D91" w:rsidRPr="00B740B4">
        <w:t>.</w:t>
      </w:r>
      <w:r w:rsidR="00E64249" w:rsidRPr="00B740B4">
        <w:rPr>
          <w:rStyle w:val="FootnoteReference"/>
        </w:rPr>
        <w:footnoteReference w:id="417"/>
      </w:r>
      <w:r w:rsidR="00C35D91" w:rsidRPr="00B740B4">
        <w:t xml:space="preserve"> In Denkard ix 8, the world’s spiritual history is divided into gold, silver, steel, and </w:t>
      </w:r>
      <w:r w:rsidR="00934A11" w:rsidRPr="00B740B4">
        <w:t>“</w:t>
      </w:r>
      <w:r w:rsidR="00C35D91" w:rsidRPr="00B740B4">
        <w:t>mixed iron</w:t>
      </w:r>
      <w:r w:rsidR="00934A11" w:rsidRPr="00B740B4">
        <w:t>”</w:t>
      </w:r>
      <w:r w:rsidRPr="00B740B4">
        <w:t xml:space="preserve"> ages, which take the world</w:t>
      </w:r>
      <w:r w:rsidR="00C35D91" w:rsidRPr="00B740B4">
        <w:t xml:space="preserve"> from the age of revelation to the age of apostasy and wickedness. In Bahman Yasht i, Zarathustra dreams of a tree with branches made of these four metals, which Ahuramazda interprets to denote the reigns of a sequence of kings, and later of a tree with branches made of six or </w:t>
      </w:r>
      <w:r w:rsidR="00C35D91" w:rsidRPr="00B740B4">
        <w:lastRenderedPageBreak/>
        <w:t>seven metals, denoting a longer sequence of rulers. None of these versions of the motif speaks of a final, ultimate age to succeed the iron/mixed iron age.</w:t>
      </w:r>
    </w:p>
    <w:p w:rsidR="00C35D91" w:rsidRPr="00B740B4" w:rsidRDefault="00C35D91" w:rsidP="00C35D91">
      <w:r w:rsidRPr="00B740B4">
        <w:t xml:space="preserve">(e) The periodization of history into a sequence of empires reflects the </w:t>
      </w:r>
      <w:r w:rsidR="00E64249" w:rsidRPr="00B740B4">
        <w:t xml:space="preserve">actual </w:t>
      </w:r>
      <w:r w:rsidRPr="00B740B4">
        <w:t xml:space="preserve">shaping of the political </w:t>
      </w:r>
      <w:r w:rsidR="00E64249" w:rsidRPr="00B740B4">
        <w:t>history of the region</w:t>
      </w:r>
      <w:r w:rsidRPr="00B740B4">
        <w:t xml:space="preserve"> by a succession of empires, Assyria, Media/Babylon (respectively to the north/east and to the south/west of the old Assyrian empire), Persia, Greece, and Rome. Ancient writers were quite aware of the outline of this history. It appears in Chronicles in the OT as Assyria, Babylon, Persia; in Herodotus</w:t>
      </w:r>
      <w:r w:rsidR="00B24F98">
        <w:t xml:space="preserve">, </w:t>
      </w:r>
      <w:r w:rsidR="00B24F98">
        <w:rPr>
          <w:i/>
        </w:rPr>
        <w:t>Histories</w:t>
      </w:r>
      <w:r w:rsidRPr="00B740B4">
        <w:t xml:space="preserve"> 1.95, 130 as Assyria, Media, Persia;</w:t>
      </w:r>
      <w:r w:rsidR="00417A36">
        <w:rPr>
          <w:rStyle w:val="FootnoteReference"/>
        </w:rPr>
        <w:footnoteReference w:id="418"/>
      </w:r>
      <w:r w:rsidRPr="00B740B4">
        <w:t xml:space="preserve"> and in the Akkadian </w:t>
      </w:r>
      <w:r w:rsidR="00934A11" w:rsidRPr="00B740B4">
        <w:t>“</w:t>
      </w:r>
      <w:r w:rsidRPr="00B740B4">
        <w:t>Dynastic Prophecy</w:t>
      </w:r>
      <w:r w:rsidR="00934A11" w:rsidRPr="00B740B4">
        <w:t>”</w:t>
      </w:r>
      <w:r w:rsidRPr="00B740B4">
        <w:t xml:space="preserve"> as Assyria, Babylon, Persia, Greece, which may also picture good and bad reigns alternating.</w:t>
      </w:r>
      <w:r w:rsidR="00E64249" w:rsidRPr="00B740B4">
        <w:rPr>
          <w:rStyle w:val="FootnoteReference"/>
        </w:rPr>
        <w:footnoteReference w:id="419"/>
      </w:r>
      <w:r w:rsidR="00E64249" w:rsidRPr="00B740B4">
        <w:t xml:space="preserve"> By about</w:t>
      </w:r>
      <w:r w:rsidRPr="00B740B4">
        <w:t xml:space="preserve"> 300, </w:t>
      </w:r>
      <w:r w:rsidR="00CF1D56" w:rsidRPr="00B740B4">
        <w:t xml:space="preserve">in Sibylline Oracles Book 4 </w:t>
      </w:r>
      <w:r w:rsidRPr="00B740B4">
        <w:t>this historical outline has become a formal scheme of four empires, Assyria, Media or Babylon, Persia, and Greece, to which Rome</w:t>
      </w:r>
      <w:r w:rsidR="00CF1D56" w:rsidRPr="00B740B4">
        <w:t xml:space="preserve"> is later added.</w:t>
      </w:r>
      <w:r w:rsidR="00CF1D56" w:rsidRPr="00B740B4">
        <w:rPr>
          <w:rStyle w:val="FootnoteReference"/>
        </w:rPr>
        <w:footnoteReference w:id="420"/>
      </w:r>
      <w:r w:rsidRPr="00B740B4">
        <w:t xml:space="preserve"> Each scheme can work either to a climax that takes a positi</w:t>
      </w:r>
      <w:r w:rsidR="00CF1D56" w:rsidRPr="00B740B4">
        <w:t>ve view of the last empire</w:t>
      </w:r>
      <w:r w:rsidRPr="00B740B4">
        <w:t xml:space="preserve"> or to a negative climax and the hope of a new empire—though not nec</w:t>
      </w:r>
      <w:r w:rsidR="00CF1D56" w:rsidRPr="00B740B4">
        <w:t>essarily a final, ultimate one</w:t>
      </w:r>
      <w:r w:rsidRPr="00B740B4">
        <w:t>.</w:t>
      </w:r>
      <w:r w:rsidR="00CF1D56" w:rsidRPr="00B740B4">
        <w:rPr>
          <w:rStyle w:val="FootnoteReference"/>
        </w:rPr>
        <w:footnoteReference w:id="421"/>
      </w:r>
    </w:p>
    <w:p w:rsidR="00BC2E7C" w:rsidRPr="00B740B4" w:rsidRDefault="00C35D91" w:rsidP="00BC2E7C">
      <w:r w:rsidRPr="00B740B4">
        <w:t>Parallels between such sources and D</w:t>
      </w:r>
      <w:r w:rsidR="00CF1D56" w:rsidRPr="00B740B4">
        <w:t xml:space="preserve">aniel 2 </w:t>
      </w:r>
      <w:r w:rsidR="00BC0C6D">
        <w:t>indicate</w:t>
      </w:r>
      <w:r w:rsidRPr="00B740B4">
        <w:t xml:space="preserve"> that they provide some of the background to the dream, and to chaps. 7–12, but Daniel’s distinctiveness is sufficiently clear to locate it one step </w:t>
      </w:r>
      <w:r w:rsidR="00BC2E7C" w:rsidRPr="00B740B4">
        <w:t xml:space="preserve">away </w:t>
      </w:r>
      <w:r w:rsidRPr="00B740B4">
        <w:t>from them, through the mediation of other cultures</w:t>
      </w:r>
      <w:r w:rsidR="00CF1D56" w:rsidRPr="00B740B4">
        <w:rPr>
          <w:rStyle w:val="FootnoteReference"/>
        </w:rPr>
        <w:footnoteReference w:id="422"/>
      </w:r>
      <w:r w:rsidRPr="00B740B4">
        <w:t xml:space="preserve"> and/or through the author’s creativity</w:t>
      </w:r>
      <w:r w:rsidR="00CF1D56" w:rsidRPr="00B740B4">
        <w:rPr>
          <w:rStyle w:val="FootnoteReference"/>
        </w:rPr>
        <w:footnoteReference w:id="423"/>
      </w:r>
      <w:r w:rsidRPr="00B740B4">
        <w:t xml:space="preserve"> and/or </w:t>
      </w:r>
      <w:r w:rsidR="00BC2E7C" w:rsidRPr="00B740B4">
        <w:t xml:space="preserve">through </w:t>
      </w:r>
      <w:r w:rsidRPr="00B740B4">
        <w:t>his theologi</w:t>
      </w:r>
      <w:r w:rsidR="00CF1D56" w:rsidRPr="00B740B4">
        <w:t>cal and ethical distinctiveness.</w:t>
      </w:r>
      <w:r w:rsidR="00CF1D56" w:rsidRPr="00B740B4">
        <w:rPr>
          <w:rStyle w:val="FootnoteReference"/>
        </w:rPr>
        <w:footnoteReference w:id="424"/>
      </w:r>
      <w:r w:rsidR="00BC2E7C" w:rsidRPr="00B740B4">
        <w:t xml:space="preserve"> </w:t>
      </w:r>
    </w:p>
    <w:p w:rsidR="00DB144B" w:rsidRDefault="000C6120" w:rsidP="00C35D91">
      <w:r>
        <w:t xml:space="preserve">Is Dan 2 iessentially </w:t>
      </w:r>
      <w:r w:rsidR="00C35D91" w:rsidRPr="00B740B4">
        <w:t xml:space="preserve">a </w:t>
      </w:r>
      <w:r w:rsidR="00594626" w:rsidRPr="00B740B4">
        <w:t xml:space="preserve">court </w:t>
      </w:r>
      <w:r>
        <w:t xml:space="preserve">tale which also </w:t>
      </w:r>
      <w:r w:rsidR="00C35D91" w:rsidRPr="00B740B4">
        <w:t>contain</w:t>
      </w:r>
      <w:r>
        <w:t xml:space="preserve">s a dream report or a dream report for which </w:t>
      </w:r>
      <w:r w:rsidR="00C35D91" w:rsidRPr="00B740B4">
        <w:t xml:space="preserve">the </w:t>
      </w:r>
      <w:r w:rsidR="00594626" w:rsidRPr="00B740B4">
        <w:t xml:space="preserve">court </w:t>
      </w:r>
      <w:r>
        <w:t xml:space="preserve">tale </w:t>
      </w:r>
      <w:r w:rsidR="00DB144B">
        <w:t>i</w:t>
      </w:r>
      <w:r>
        <w:t>s</w:t>
      </w:r>
      <w:r w:rsidR="00DB144B">
        <w:t xml:space="preserve"> simply </w:t>
      </w:r>
      <w:r>
        <w:t>a framework?</w:t>
      </w:r>
      <w:r w:rsidR="00C35D91" w:rsidRPr="00B740B4">
        <w:t xml:space="preserve"> The two featu</w:t>
      </w:r>
      <w:r>
        <w:t>res are both prominent, as they are in Gen 41. There, however, they</w:t>
      </w:r>
      <w:r w:rsidR="00C35D91" w:rsidRPr="00B740B4">
        <w:t xml:space="preserve"> are more integrally related: the insight which is proved by the court contest qualifies Joseph to deal with the crisis reve</w:t>
      </w:r>
      <w:r>
        <w:t>aled by the dream. Dan 2 corresponds to</w:t>
      </w:r>
      <w:r w:rsidR="00C35D91" w:rsidRPr="00B740B4">
        <w:t xml:space="preserve"> Gen 41 in including both features</w:t>
      </w:r>
      <w:r w:rsidR="008673DA" w:rsidRPr="00B740B4">
        <w:t>, but they do not interconnect. T</w:t>
      </w:r>
      <w:r w:rsidR="00C35D91" w:rsidRPr="00B740B4">
        <w:t>he contest and Nebuchadnezzar’s rec</w:t>
      </w:r>
      <w:r w:rsidR="008673DA" w:rsidRPr="00B740B4">
        <w:t>ognition of Daniel are unrelated</w:t>
      </w:r>
      <w:r w:rsidR="00C35D91" w:rsidRPr="00B740B4">
        <w:t xml:space="preserve"> to the content of the dream; the latter’s importance is independent of its con</w:t>
      </w:r>
      <w:r>
        <w:t>text. T</w:t>
      </w:r>
      <w:r w:rsidR="00C35D91" w:rsidRPr="00B740B4">
        <w:t xml:space="preserve">he chapter simply has two facets, not wholly integrated, but both original. It is not to be assimilated to narratives in which the content of the dream/vision is less significant, or to dream/visions where the narrative element is merely framework. It has a theme within a theme. It thus parallels other ancient works that combine story and didactic material (especially Ahiqar). </w:t>
      </w:r>
    </w:p>
    <w:p w:rsidR="00BA578A" w:rsidRPr="00B740B4" w:rsidRDefault="000C6120" w:rsidP="00C35D91">
      <w:r w:rsidRPr="000C6120">
        <w:t xml:space="preserve">The chapter is almost entirely dialogue, </w:t>
      </w:r>
      <w:r w:rsidR="00DB144B">
        <w:t xml:space="preserve">so that it is </w:t>
      </w:r>
      <w:r w:rsidRPr="000C6120">
        <w:t>“a drama,…  a story whose plot proceeds mainly through the dialogues between the characters” and which comprises a series of acts and scenes “arranged in such a way as to show the rise of a conflict and how this conflict becomes more articulate until it reaches its highest point, the climax, only to resolve itself,” with the climax coming in v 24 and the resolution following.</w:t>
      </w:r>
      <w:r w:rsidRPr="000C6120">
        <w:rPr>
          <w:vertAlign w:val="superscript"/>
        </w:rPr>
        <w:footnoteReference w:id="425"/>
      </w:r>
      <w:r w:rsidRPr="000C6120">
        <w:t xml:space="preserve"> While the description of the chapter as a drama is illuminating, </w:t>
      </w:r>
      <w:r w:rsidR="00DB144B">
        <w:t xml:space="preserve">however, </w:t>
      </w:r>
      <w:r w:rsidRPr="000C6120">
        <w:t xml:space="preserve">the location of the “climax” only half way through the chapter shows how that description is also incomplete. The “resolution” which occupies the whole of the second half of the chapter is more than the resolution to the drama. </w:t>
      </w:r>
      <w:r w:rsidR="00DB144B">
        <w:t>A</w:t>
      </w:r>
      <w:r w:rsidR="00DB144B" w:rsidRPr="000C6120">
        <w:t>s much prominence and significance attaches to the content of the revelation that Daniel is given for the Babylonian king</w:t>
      </w:r>
      <w:r w:rsidR="00DB144B">
        <w:t xml:space="preserve"> as ataches to the story</w:t>
      </w:r>
      <w:r w:rsidR="00DB144B" w:rsidRPr="000C6120">
        <w:t xml:space="preserve">. </w:t>
      </w:r>
      <w:r w:rsidRPr="000C6120">
        <w:t xml:space="preserve">Chap. 2 thus encapsulates </w:t>
      </w:r>
      <w:r w:rsidRPr="000C6120">
        <w:lastRenderedPageBreak/>
        <w:t>the nature of the book of Daniel as a whole in which the stories are more than a mere preliminary to the visions and the visions are more than a mere postscript to the stories</w:t>
      </w:r>
    </w:p>
    <w:p w:rsidR="008E1B12" w:rsidRPr="00B740B4" w:rsidRDefault="008E1B12" w:rsidP="008E1B12">
      <w:pPr>
        <w:pStyle w:val="Heading3"/>
      </w:pPr>
      <w:r w:rsidRPr="00B740B4">
        <w:t>Structure</w:t>
      </w:r>
    </w:p>
    <w:p w:rsidR="00C35D91" w:rsidRPr="00B740B4" w:rsidRDefault="00C35D91" w:rsidP="00C35D91"/>
    <w:p w:rsidR="008F69C4" w:rsidRPr="00B740B4" w:rsidRDefault="00C35D91" w:rsidP="00C35D91">
      <w:r w:rsidRPr="00B740B4">
        <w:t xml:space="preserve">The opening verse unveils the issue </w:t>
      </w:r>
      <w:r w:rsidR="008673DA" w:rsidRPr="00B740B4">
        <w:t xml:space="preserve">that concerns </w:t>
      </w:r>
      <w:r w:rsidRPr="00B740B4">
        <w:t>the chap</w:t>
      </w:r>
      <w:r w:rsidR="008673DA" w:rsidRPr="00B740B4">
        <w:t>ter as a whole</w:t>
      </w:r>
      <w:r w:rsidRPr="00B740B4">
        <w:t xml:space="preserve">, the significance of a dream of Nebuchadnezzar’s. The first major scene (vv 2–12) </w:t>
      </w:r>
      <w:r w:rsidR="00AF7508" w:rsidRPr="00B740B4">
        <w:t xml:space="preserve">then </w:t>
      </w:r>
      <w:r w:rsidRPr="00B740B4">
        <w:t>describes an abortive attempt to deal with the matter. A brief narrative opening in</w:t>
      </w:r>
      <w:r w:rsidR="00DB144B">
        <w:t>troduces the Babylonian e</w:t>
      </w:r>
      <w:r w:rsidR="008673DA" w:rsidRPr="00B740B4">
        <w:t>xpert</w:t>
      </w:r>
      <w:r w:rsidRPr="00B740B4">
        <w:t>s, at the king’s command (v 2). The body of the scene comprises a conversation between the two parties, each speaking three times and becoming more anxious and hysterical (vv 3–11).</w:t>
      </w:r>
      <w:r w:rsidR="00AF7508" w:rsidRPr="00B740B4">
        <w:t xml:space="preserve"> A brief narrative closure </w:t>
      </w:r>
      <w:r w:rsidRPr="00B740B4">
        <w:t xml:space="preserve">reports a second royal command, which provides the </w:t>
      </w:r>
      <w:r w:rsidR="008673DA" w:rsidRPr="00B740B4">
        <w:t>expert</w:t>
      </w:r>
      <w:r w:rsidRPr="00B740B4">
        <w:t xml:space="preserve">s with a </w:t>
      </w:r>
      <w:r w:rsidR="00AF7508" w:rsidRPr="00B740B4">
        <w:t xml:space="preserve">potentially </w:t>
      </w:r>
      <w:r w:rsidRPr="00B740B4">
        <w:t>fatal exit (v 12). Ironic references to the times changing (v 9) and to the impos</w:t>
      </w:r>
      <w:r w:rsidR="00B3201A" w:rsidRPr="00B740B4">
        <w:t xml:space="preserve">sibility of divining the </w:t>
      </w:r>
      <w:r w:rsidRPr="00B740B4">
        <w:t xml:space="preserve">contents of a dream without divine help (v 11) point to later features of the story (vv 21, 37–45; vv 18–23, 26–30). </w:t>
      </w:r>
    </w:p>
    <w:p w:rsidR="00C35D91" w:rsidRPr="00B740B4" w:rsidRDefault="00C35D91" w:rsidP="00C35D91">
      <w:r w:rsidRPr="00B740B4">
        <w:t xml:space="preserve">The second scene (vv 13–23) promises to deal with the issue that has been left unresolved, </w:t>
      </w:r>
      <w:r w:rsidR="00B3201A" w:rsidRPr="00B740B4">
        <w:t xml:space="preserve">though it does not yet </w:t>
      </w:r>
      <w:r w:rsidRPr="00B740B4">
        <w:t>do so</w:t>
      </w:r>
      <w:r w:rsidR="00DB144B">
        <w:t>;</w:t>
      </w:r>
      <w:r w:rsidR="00AF7508" w:rsidRPr="00B740B4">
        <w:t xml:space="preserve"> it thus raises suspense</w:t>
      </w:r>
      <w:r w:rsidRPr="00B740B4">
        <w:t xml:space="preserve">. Conversation between Daniel and </w:t>
      </w:r>
      <w:r w:rsidR="001F6F3D" w:rsidRPr="00B740B4">
        <w:t>Aryo</w:t>
      </w:r>
      <w:r w:rsidR="00B3201A" w:rsidRPr="00B740B4">
        <w:t>k</w:t>
      </w:r>
      <w:r w:rsidRPr="00B740B4">
        <w:t>/the king (vv 14–16) leads to a report of Daniel’s words with his friends and God (vv 17–18) and of God’s response and Daniel’s song of praise (vv 19–23). The length and exalted tone of this last make it the high point of the scene. It prepares the reader for vv 37–45</w:t>
      </w:r>
      <w:r w:rsidR="00B3201A" w:rsidRPr="00B740B4">
        <w:t>,</w:t>
      </w:r>
      <w:r w:rsidR="00B3201A" w:rsidRPr="00B740B4">
        <w:rPr>
          <w:rStyle w:val="FootnoteReference"/>
        </w:rPr>
        <w:footnoteReference w:id="426"/>
      </w:r>
      <w:r w:rsidRPr="00B740B4">
        <w:t xml:space="preserve"> anticipating the outcome and the dream’</w:t>
      </w:r>
      <w:r w:rsidR="00B3201A" w:rsidRPr="00B740B4">
        <w:t xml:space="preserve">s contents, without revealing the nature of the dream at this point. </w:t>
      </w:r>
      <w:r w:rsidR="00A90EA1">
        <w:t>O</w:t>
      </w:r>
      <w:r w:rsidR="00A90EA1" w:rsidRPr="00A90EA1">
        <w:t>ne could remove the the poetic section without disturbing the story’s plot</w:t>
      </w:r>
      <w:r w:rsidR="00A90EA1">
        <w:t xml:space="preserve">, but </w:t>
      </w:r>
      <w:r w:rsidR="00A90EA1" w:rsidRPr="00A90EA1">
        <w:t>not without distrurbing its rhetoric</w:t>
      </w:r>
      <w:r w:rsidR="00A90EA1">
        <w:t>. T</w:t>
      </w:r>
      <w:r w:rsidR="00B3201A" w:rsidRPr="00B740B4">
        <w:t xml:space="preserve">he scene </w:t>
      </w:r>
      <w:r w:rsidR="00A90EA1">
        <w:t xml:space="preserve">as a whole </w:t>
      </w:r>
      <w:r w:rsidRPr="00B740B4">
        <w:t xml:space="preserve">takes matters round in a circle (from </w:t>
      </w:r>
      <w:r w:rsidR="001F6F3D" w:rsidRPr="00B740B4">
        <w:t>Ary</w:t>
      </w:r>
      <w:r w:rsidR="00B3201A" w:rsidRPr="00B740B4">
        <w:t>ok</w:t>
      </w:r>
      <w:r w:rsidRPr="00B740B4">
        <w:t xml:space="preserve"> to prayer and back), like the opening scene, and further builds the </w:t>
      </w:r>
      <w:r w:rsidR="00DB144B">
        <w:t>story’s suspense</w:t>
      </w:r>
      <w:r w:rsidRPr="00B740B4">
        <w:t>.</w:t>
      </w:r>
      <w:r w:rsidR="00A90EA1">
        <w:t xml:space="preserve"> </w:t>
      </w:r>
    </w:p>
    <w:p w:rsidR="00AF7508" w:rsidRPr="00B740B4" w:rsidRDefault="00C35D91" w:rsidP="00C35D91">
      <w:r w:rsidRPr="00B740B4">
        <w:t>Verse</w:t>
      </w:r>
      <w:r w:rsidR="00B3201A" w:rsidRPr="00B740B4">
        <w:t xml:space="preserve"> 24 thus picks up from vv </w:t>
      </w:r>
      <w:r w:rsidR="00DB144B">
        <w:t>13–16; verbal parallels mark</w:t>
      </w:r>
      <w:r w:rsidR="00B3201A" w:rsidRPr="00B740B4">
        <w:t xml:space="preserve"> the links. Ye</w:t>
      </w:r>
      <w:r w:rsidRPr="00B740B4">
        <w:t>t</w:t>
      </w:r>
      <w:r w:rsidR="00B3201A" w:rsidRPr="00B740B4">
        <w:t xml:space="preserve"> the third scene (vv 24–30) further delays the</w:t>
      </w:r>
      <w:r w:rsidRPr="00B740B4">
        <w:t xml:space="preserve"> resolution o</w:t>
      </w:r>
      <w:r w:rsidR="00B3201A" w:rsidRPr="00B740B4">
        <w:t>f the opening problem, by requir</w:t>
      </w:r>
      <w:r w:rsidRPr="00B740B4">
        <w:t xml:space="preserve">ing </w:t>
      </w:r>
      <w:r w:rsidR="001F6F3D" w:rsidRPr="00B740B4">
        <w:t>Ary</w:t>
      </w:r>
      <w:r w:rsidR="00B3201A" w:rsidRPr="00B740B4">
        <w:t>ok</w:t>
      </w:r>
      <w:r w:rsidRPr="00B740B4">
        <w:t xml:space="preserve"> to introduce Daniel to Nebuchadnezzar (which for opposite dramatic reasons was not required in v 16), </w:t>
      </w:r>
      <w:r w:rsidR="00B3201A" w:rsidRPr="00B740B4">
        <w:t xml:space="preserve">having Nebuchadnezzar </w:t>
      </w:r>
      <w:r w:rsidRPr="00B740B4">
        <w:t xml:space="preserve">quiz Daniel about his ability, and </w:t>
      </w:r>
      <w:r w:rsidR="00B3201A" w:rsidRPr="00B740B4">
        <w:t xml:space="preserve">allowing </w:t>
      </w:r>
      <w:r w:rsidRPr="00B740B4">
        <w:t>Daniel to draw attention to the theological background to and implications of t</w:t>
      </w:r>
      <w:r w:rsidR="00391014" w:rsidRPr="00B740B4">
        <w:t>he situation (taking up the expert</w:t>
      </w:r>
      <w:r w:rsidRPr="00B740B4">
        <w:t>s’ words from vv 10, 11). Daniel thus further teases the reader with the dream’s genera</w:t>
      </w:r>
      <w:r w:rsidR="00AF7508" w:rsidRPr="00B740B4">
        <w:t xml:space="preserve">l significance without </w:t>
      </w:r>
      <w:r w:rsidRPr="00B740B4">
        <w:t>relating it</w:t>
      </w:r>
      <w:r w:rsidR="00AF7508" w:rsidRPr="00B740B4">
        <w:t>s contents</w:t>
      </w:r>
      <w:r w:rsidRPr="00B740B4">
        <w:t xml:space="preserve">. The slowing down of the story reaches virtual standstill in the chiastic repetitiveness of vv 28–29. </w:t>
      </w:r>
    </w:p>
    <w:p w:rsidR="00AF7508" w:rsidRPr="00B740B4" w:rsidRDefault="00C35D91" w:rsidP="00C35D91">
      <w:r w:rsidRPr="00B740B4">
        <w:t xml:space="preserve">The fourth scene (vv 31–45) consists solely in a speech of Daniel recounting the dream and its prophetic meaning, and asserting the certainty of its fulfillment. In the dream, the focus is on the fearfulness of its subject, </w:t>
      </w:r>
      <w:r w:rsidR="00AF7508" w:rsidRPr="00B740B4">
        <w:t xml:space="preserve">a statue, </w:t>
      </w:r>
      <w:r w:rsidRPr="00B740B4">
        <w:t xml:space="preserve">and on its destruction. In the interpretation, which receives twice as much space, the focus is on two specific parts of the statue, one of which relates directly to Nebuchadnezzar, and on what displaces it. </w:t>
      </w:r>
    </w:p>
    <w:p w:rsidR="00C35D91" w:rsidRPr="00B740B4" w:rsidRDefault="00C35D91" w:rsidP="00C35D91">
      <w:r w:rsidRPr="00B740B4">
        <w:t>The closing scene (vv 46–49) largely ignores the content of the dream. Nebuchadnezzar reveres Daniel and his God for the resolution of the original issue and puts Daniel in a position of power over the imperil</w:t>
      </w:r>
      <w:r w:rsidR="00B3201A" w:rsidRPr="00B740B4">
        <w:t>l</w:t>
      </w:r>
      <w:r w:rsidRPr="00B740B4">
        <w:t xml:space="preserve">ed empire and the discredited </w:t>
      </w:r>
      <w:r w:rsidR="008673DA" w:rsidRPr="00B740B4">
        <w:t>expert</w:t>
      </w:r>
      <w:r w:rsidRPr="00B740B4">
        <w:t>s.</w:t>
      </w:r>
      <w:r w:rsidR="00EF42AC" w:rsidRPr="00B740B4">
        <w:t xml:space="preserve"> (MT offers another analysis of the structure with a chapter break after vv 13, 16, 28, and 45 and a section break after v 24.)</w:t>
      </w:r>
      <w:r w:rsidR="00EF42AC" w:rsidRPr="00B740B4">
        <w:rPr>
          <w:rStyle w:val="FootnoteReference"/>
        </w:rPr>
        <w:footnoteReference w:id="427"/>
      </w:r>
    </w:p>
    <w:p w:rsidR="003878D8" w:rsidRPr="003878D8" w:rsidRDefault="00C35D91" w:rsidP="003878D8">
      <w:r w:rsidRPr="00B740B4">
        <w:t xml:space="preserve">Comparing Dan 2 with Gen 41 brings out </w:t>
      </w:r>
      <w:r w:rsidR="00B3201A" w:rsidRPr="00B740B4">
        <w:t xml:space="preserve">some of its </w:t>
      </w:r>
      <w:r w:rsidRPr="00B740B4">
        <w:t>important</w:t>
      </w:r>
      <w:r w:rsidR="00B3201A" w:rsidRPr="00B740B4">
        <w:t xml:space="preserve"> distinctive marks</w:t>
      </w:r>
      <w:r w:rsidRPr="00B740B4">
        <w:t>, as well as important features it shares with Gen 41. (a) In Daniel the king</w:t>
      </w:r>
      <w:r w:rsidR="00B3201A" w:rsidRPr="00B740B4">
        <w:t xml:space="preserve"> requires to be told the </w:t>
      </w:r>
      <w:r w:rsidRPr="00B740B4">
        <w:t xml:space="preserve">contents of the dream as well as its significance. The terms of the contest between the </w:t>
      </w:r>
      <w:r w:rsidR="008673DA" w:rsidRPr="00B740B4">
        <w:t>expert</w:t>
      </w:r>
      <w:r w:rsidRPr="00B740B4">
        <w:t>s and the Israelite hero are thus</w:t>
      </w:r>
      <w:r w:rsidR="00B3201A" w:rsidRPr="00B740B4">
        <w:t xml:space="preserve"> higher, as are</w:t>
      </w:r>
      <w:r w:rsidRPr="00B740B4">
        <w:t xml:space="preserve"> Daniel’s challenge and his achievement greater than Joseph’s. (b) The varieties of </w:t>
      </w:r>
      <w:r w:rsidR="008673DA" w:rsidRPr="00B740B4">
        <w:t>expert</w:t>
      </w:r>
      <w:r w:rsidRPr="00B740B4">
        <w:t xml:space="preserve">s are listed at length (vv 2, 27) and their helplessness before their challenge is dwelt on at length. (c) Nebuchadnezzar, the angry tyrant, also raises the stakes in the contest, threatening an unpleasant death if the </w:t>
      </w:r>
      <w:r w:rsidR="008673DA" w:rsidRPr="00B740B4">
        <w:t>expert</w:t>
      </w:r>
      <w:r w:rsidRPr="00B740B4">
        <w:t xml:space="preserve">s cannot fulfill their task, but offering rich rewards if they can. Daniel thus saves their </w:t>
      </w:r>
      <w:r w:rsidRPr="00B740B4">
        <w:lastRenderedPageBreak/>
        <w:t xml:space="preserve">lives and receives rich rewards. (d) Daniel is not a humiliated prisoner, like Joseph, who needed to wash and change before entering the king’s presence, but a man of initiative and shrewd judgment. He marches in to request what the </w:t>
      </w:r>
      <w:r w:rsidR="008673DA" w:rsidRPr="00B740B4">
        <w:t>expert</w:t>
      </w:r>
      <w:r w:rsidRPr="00B740B4">
        <w:t xml:space="preserve">s were denied, and gets it; he marches back with the solution for the king, and the king’s Lord High Executioner jumps to attention and scurries to lead him in to the king. (e) Daniel is portrayed as a model for spirituality in his attitude of trust, expectancy, and gratitude, expressed in his practice of prayer and praise in the fellowship </w:t>
      </w:r>
      <w:r w:rsidR="003878D8">
        <w:t>of his friends. (f) H</w:t>
      </w:r>
      <w:r w:rsidRPr="00B740B4">
        <w:t xml:space="preserve">is praise expresses key affirmations about God’s sovereignty over human affairs and his revelation of the secrets of history which </w:t>
      </w:r>
      <w:r w:rsidR="00A81563" w:rsidRPr="00B740B4">
        <w:t>God</w:t>
      </w:r>
      <w:r w:rsidRPr="00B740B4">
        <w:t xml:space="preserve"> alone knows; these affi</w:t>
      </w:r>
      <w:r w:rsidR="00884A2D" w:rsidRPr="00B740B4">
        <w:t>rmations reappear in Daniel’</w:t>
      </w:r>
      <w:r w:rsidRPr="00B740B4">
        <w:t>s introductory words to Nebuchadnezzar.</w:t>
      </w:r>
      <w:r w:rsidR="00862D1E" w:rsidRPr="00862D1E">
        <w:t xml:space="preserve"> </w:t>
      </w:r>
      <w:r w:rsidR="00862D1E">
        <w:t xml:space="preserve">(g) </w:t>
      </w:r>
      <w:r w:rsidR="00862D1E" w:rsidRPr="00862D1E">
        <w:t>Daniel resists the claims of empir</w:t>
      </w:r>
      <w:r w:rsidR="00862D1E">
        <w:t>e in a way that Joseph does not</w:t>
      </w:r>
      <w:r w:rsidR="003878D8">
        <w:t>,</w:t>
      </w:r>
      <w:r w:rsidR="00862D1E" w:rsidRPr="00862D1E">
        <w:rPr>
          <w:vertAlign w:val="superscript"/>
        </w:rPr>
        <w:footnoteReference w:id="428"/>
      </w:r>
      <w:r w:rsidR="00862D1E">
        <w:t xml:space="preserve"> </w:t>
      </w:r>
      <w:r w:rsidR="003878D8">
        <w:t>and</w:t>
      </w:r>
      <w:r w:rsidR="00862D1E">
        <w:t xml:space="preserve"> the</w:t>
      </w:r>
      <w:r w:rsidR="00862D1E" w:rsidRPr="00862D1E">
        <w:t xml:space="preserve"> dream</w:t>
      </w:r>
      <w:r w:rsidR="003878D8">
        <w:t>’s revelation about the king and the future are</w:t>
      </w:r>
      <w:r w:rsidR="00862D1E" w:rsidRPr="00862D1E">
        <w:t xml:space="preserve"> more far-reaching than is the case in the Joseph story with its focus on a pragmatic problem that will need to be addressed in the immediate future. </w:t>
      </w:r>
      <w:r w:rsidR="00862D1E" w:rsidRPr="00862D1E">
        <w:rPr>
          <w:vertAlign w:val="superscript"/>
        </w:rPr>
        <w:footnoteReference w:id="429"/>
      </w:r>
      <w:r w:rsidR="00862D1E" w:rsidRPr="00862D1E">
        <w:t xml:space="preserve"> </w:t>
      </w:r>
      <w:r w:rsidR="00862D1E">
        <w:t>(h) Given that t</w:t>
      </w:r>
      <w:r w:rsidRPr="00B740B4">
        <w:t xml:space="preserve">he dream refers not merely to the immediate future within the king’s reign but to the end of </w:t>
      </w:r>
      <w:r w:rsidR="00862D1E">
        <w:t xml:space="preserve">the era, the story </w:t>
      </w:r>
      <w:r w:rsidRPr="00B740B4">
        <w:t>shifts the locu</w:t>
      </w:r>
      <w:r w:rsidR="00884A2D" w:rsidRPr="00B740B4">
        <w:t xml:space="preserve">s of God’s saving acts from </w:t>
      </w:r>
      <w:r w:rsidRPr="00B740B4">
        <w:t>past to future (even the hearers’ future), more radically than the prophets do; its readers can look to a new act</w:t>
      </w:r>
      <w:r w:rsidR="00884A2D" w:rsidRPr="00B740B4">
        <w:t xml:space="preserve"> of deliverance for themselves</w:t>
      </w:r>
      <w:r w:rsidRPr="00B740B4">
        <w:t>.</w:t>
      </w:r>
      <w:r w:rsidR="00884A2D" w:rsidRPr="00B740B4">
        <w:rPr>
          <w:rStyle w:val="FootnoteReference"/>
        </w:rPr>
        <w:footnoteReference w:id="430"/>
      </w:r>
      <w:r w:rsidRPr="00B740B4">
        <w:t xml:space="preserve"> The dream’s content and message are distinctive. Unlike Joseph, Daniel offers no practical sugges</w:t>
      </w:r>
      <w:r w:rsidR="00862D1E">
        <w:t>tions arising from the dream. (i</w:t>
      </w:r>
      <w:r w:rsidRPr="00B740B4">
        <w:t>) As a result of Daniel’s request regarding h</w:t>
      </w:r>
      <w:r w:rsidR="00884A2D" w:rsidRPr="00B740B4">
        <w:t xml:space="preserve">is friends, Nebuchadnezzar </w:t>
      </w:r>
      <w:r w:rsidRPr="00B740B4">
        <w:t>not merely give</w:t>
      </w:r>
      <w:r w:rsidR="00884A2D" w:rsidRPr="00B740B4">
        <w:t>s</w:t>
      </w:r>
      <w:r w:rsidRPr="00B740B4">
        <w:t xml:space="preserve"> Daniel administrative responsibi</w:t>
      </w:r>
      <w:r w:rsidR="00884A2D" w:rsidRPr="00B740B4">
        <w:t xml:space="preserve">lity, like Pharaoh, but </w:t>
      </w:r>
      <w:r w:rsidRPr="00B740B4">
        <w:t xml:space="preserve">makes him head over the </w:t>
      </w:r>
      <w:r w:rsidR="008673DA" w:rsidRPr="00B740B4">
        <w:t>expert</w:t>
      </w:r>
      <w:r w:rsidRPr="00B740B4">
        <w:t>s, allowing him to remain at the court. Instead of giving him state honor, he offers sacrifice to him. Instead of giving him a pagan priest’s daughter in marriage, he acknowledges his God as sovereign and revealer.</w:t>
      </w:r>
      <w:r w:rsidR="003878D8">
        <w:t xml:space="preserve"> (j) </w:t>
      </w:r>
      <w:r w:rsidR="003878D8" w:rsidRPr="003878D8">
        <w:t xml:space="preserve">The characterization of the main figures in the story is effected by means of cartooning so as to polarize them: Nebuchadnezzar in the extremes of his original violence and anxiety and of his later reverence and gratitude, the experts exposed in their pretension and incompetence, Daniel as the model of wisdom and piety. </w:t>
      </w:r>
    </w:p>
    <w:p w:rsidR="00C35D91" w:rsidRPr="00B740B4" w:rsidRDefault="00862D1E" w:rsidP="00C35D91">
      <w:r>
        <w:t xml:space="preserve">So </w:t>
      </w:r>
      <w:r w:rsidRPr="00B740B4">
        <w:t>Dan 2 does no</w:t>
      </w:r>
      <w:r w:rsidR="003878D8">
        <w:t>t simply follow the pattern of</w:t>
      </w:r>
      <w:r w:rsidRPr="00B740B4">
        <w:t xml:space="preserve"> the Joseph story.</w:t>
      </w:r>
      <w:r w:rsidRPr="00B740B4">
        <w:rPr>
          <w:vertAlign w:val="superscript"/>
        </w:rPr>
        <w:footnoteReference w:id="431"/>
      </w:r>
      <w:r w:rsidRPr="00B740B4">
        <w:t xml:space="preserve"> </w:t>
      </w:r>
      <w:r>
        <w:t>It</w:t>
      </w:r>
      <w:r w:rsidRPr="00862D1E">
        <w:t xml:space="preserve"> has a more rhetorical and literary, less traditional character</w:t>
      </w:r>
      <w:r>
        <w:t>.</w:t>
      </w:r>
      <w:r w:rsidRPr="00862D1E">
        <w:t xml:space="preserve"> </w:t>
      </w:r>
      <w:r>
        <w:t>Its distinctive features</w:t>
      </w:r>
      <w:r w:rsidR="00C35D91" w:rsidRPr="00B740B4">
        <w:t xml:space="preserve"> give Dan 2 a more heightened tone. It is like Gen 41, only more so.</w:t>
      </w:r>
      <w:r w:rsidR="00082E43">
        <w:rPr>
          <w:rStyle w:val="FootnoteReference"/>
        </w:rPr>
        <w:footnoteReference w:id="432"/>
      </w:r>
      <w:r w:rsidR="00C35D91" w:rsidRPr="00B740B4">
        <w:t xml:space="preserve"> This feature, combined with Gen 41’s context on the eve of the exodus and Dan 2’s in the exile when Israel stands in need of a new exodus, means that Joseph could be seen as a type of Daniel. </w:t>
      </w:r>
      <w:r w:rsidR="003878D8" w:rsidRPr="00862D1E">
        <w:t xml:space="preserve">One might </w:t>
      </w:r>
      <w:r w:rsidR="003878D8">
        <w:t xml:space="preserve">even </w:t>
      </w:r>
      <w:r w:rsidR="003878D8" w:rsidRPr="00862D1E">
        <w:t>contrast “the Egyptianization of Joseph” and the “hebraicization of Daniel” and ask whether the Daniel story is “a satire on Joseph:” Daniel does everything that Joseph does, but does it more impressively.</w:t>
      </w:r>
      <w:r w:rsidR="003878D8" w:rsidRPr="00862D1E">
        <w:rPr>
          <w:vertAlign w:val="superscript"/>
        </w:rPr>
        <w:footnoteReference w:id="433"/>
      </w:r>
      <w:r w:rsidR="003878D8">
        <w:t xml:space="preserve"> </w:t>
      </w:r>
      <w:r w:rsidR="00C35D91" w:rsidRPr="00B740B4">
        <w:t xml:space="preserve">Some otherwise puzzling features of Dan 2 (e.g., </w:t>
      </w:r>
      <w:r w:rsidR="00A81563" w:rsidRPr="00B740B4">
        <w:t>vv 1, 46, 48b) find an</w:t>
      </w:r>
      <w:r w:rsidR="00C35D91" w:rsidRPr="00B740B4">
        <w:t xml:space="preserve"> explanation in this re</w:t>
      </w:r>
      <w:r w:rsidR="00A81563" w:rsidRPr="00B740B4">
        <w:t>lationship of correspondence/</w:t>
      </w:r>
      <w:r w:rsidR="00C35D91" w:rsidRPr="00B740B4">
        <w:t>contrast with Gen 41, rather than in their relationship with the concrete hi</w:t>
      </w:r>
      <w:r w:rsidR="00884A2D" w:rsidRPr="00B740B4">
        <w:t>storical actuality of the exile.</w:t>
      </w:r>
      <w:r w:rsidR="00884A2D" w:rsidRPr="00B740B4">
        <w:rPr>
          <w:rStyle w:val="FootnoteReference"/>
        </w:rPr>
        <w:footnoteReference w:id="434"/>
      </w:r>
    </w:p>
    <w:p w:rsidR="00884A2D" w:rsidRPr="00B740B4" w:rsidRDefault="00C35D91" w:rsidP="00C35D91">
      <w:r w:rsidRPr="00B740B4">
        <w:t>Among the chapter’s stylistic features are</w:t>
      </w:r>
      <w:r w:rsidR="00884A2D" w:rsidRPr="00B740B4">
        <w:t>:</w:t>
      </w:r>
      <w:r w:rsidRPr="00B740B4">
        <w:t xml:space="preserve"> </w:t>
      </w:r>
    </w:p>
    <w:p w:rsidR="00884A2D" w:rsidRPr="00B740B4" w:rsidRDefault="00884A2D" w:rsidP="00C35D91">
      <w:r w:rsidRPr="00B740B4">
        <w:t>(a) The a</w:t>
      </w:r>
      <w:r w:rsidR="00C35D91" w:rsidRPr="00B740B4">
        <w:t xml:space="preserve">ccumulating </w:t>
      </w:r>
      <w:r w:rsidRPr="00B740B4">
        <w:t xml:space="preserve">of </w:t>
      </w:r>
      <w:r w:rsidR="00C35D91" w:rsidRPr="00B740B4">
        <w:t xml:space="preserve">expressions of related meaning: many terms for </w:t>
      </w:r>
      <w:r w:rsidR="008673DA" w:rsidRPr="00B740B4">
        <w:t>expert</w:t>
      </w:r>
      <w:r w:rsidR="00C35D91" w:rsidRPr="00B740B4">
        <w:t xml:space="preserve">s (vv 2, 10, 27), rewards (v 6), rulers (v 10), power (v 37), shattering (v 40), </w:t>
      </w:r>
      <w:r w:rsidR="00A81563" w:rsidRPr="00B740B4">
        <w:t xml:space="preserve">and </w:t>
      </w:r>
      <w:r w:rsidR="00C35D91" w:rsidRPr="00B740B4">
        <w:t xml:space="preserve">homage (v </w:t>
      </w:r>
      <w:r w:rsidRPr="00B740B4">
        <w:t xml:space="preserve">46). The effect </w:t>
      </w:r>
      <w:r w:rsidR="00C35D91" w:rsidRPr="00B740B4">
        <w:t>is to increase the force of a phrase, emphasizing what manifold opportunit</w:t>
      </w:r>
      <w:r w:rsidRPr="00B740B4">
        <w:t>y was given to Babylonian insight</w:t>
      </w:r>
      <w:r w:rsidR="00C35D91" w:rsidRPr="00B740B4">
        <w:t xml:space="preserve"> to prove itself (v 2), how great its opportunity for self-advancement (v 6), how unprecedented Nebuchadnezzar’s </w:t>
      </w:r>
      <w:r w:rsidR="00C35D91" w:rsidRPr="00B740B4">
        <w:lastRenderedPageBreak/>
        <w:t>challenge to it (v 10), how total its defeat (v 27), how vast Nebuchadnezzar’s power (v 37), how devastating the destr</w:t>
      </w:r>
      <w:r w:rsidR="00F832D2" w:rsidRPr="00B740B4">
        <w:t>uctiveness of the fourth regime</w:t>
      </w:r>
      <w:r w:rsidR="00C35D91" w:rsidRPr="00B740B4">
        <w:t xml:space="preserve"> (v 40), </w:t>
      </w:r>
      <w:r w:rsidR="00A81563" w:rsidRPr="00B740B4">
        <w:t xml:space="preserve">and </w:t>
      </w:r>
      <w:r w:rsidR="00C35D91" w:rsidRPr="00B740B4">
        <w:t xml:space="preserve">how complete Nebuchadnezzar’s obeisance (v 46). Further combinations of terms feature in the hymnic parallelism of vv 20–23. </w:t>
      </w:r>
    </w:p>
    <w:p w:rsidR="00CB7E5A" w:rsidRPr="00B740B4" w:rsidRDefault="00C35D91" w:rsidP="00C35D91">
      <w:r w:rsidRPr="00B740B4">
        <w:t xml:space="preserve">(b) Hendiadys, often with assonance: perverse lies (v 9), furious rage (v 12), shrewd judgment (v 12), deeply hidden (v 22), acknowledge and praise (v 23), visionary dream (v 29), finally shatter (v 44). Such usage stems from BH/BA’s relative preference for nouns and verbs over adjectives and adverbs; it adds emphasis by lengthening phrases. </w:t>
      </w:r>
    </w:p>
    <w:p w:rsidR="00CB7E5A" w:rsidRPr="00B740B4" w:rsidRDefault="00CB7E5A" w:rsidP="00C35D91">
      <w:r w:rsidRPr="00B740B4">
        <w:t>(c) The a</w:t>
      </w:r>
      <w:r w:rsidR="00C35D91" w:rsidRPr="00B740B4">
        <w:t xml:space="preserve">lternating </w:t>
      </w:r>
      <w:r w:rsidRPr="00B740B4">
        <w:t xml:space="preserve">of </w:t>
      </w:r>
      <w:r w:rsidR="00C35D91" w:rsidRPr="00B740B4">
        <w:t xml:space="preserve">words or forms of similar meaning: four words for </w:t>
      </w:r>
      <w:r w:rsidR="00934A11" w:rsidRPr="00B740B4">
        <w:t>“</w:t>
      </w:r>
      <w:r w:rsidR="00C35D91" w:rsidRPr="00B740B4">
        <w:t>tell</w:t>
      </w:r>
      <w:r w:rsidR="00934A11" w:rsidRPr="00B740B4">
        <w:t>”</w:t>
      </w:r>
      <w:r w:rsidR="00C35D91" w:rsidRPr="00B740B4">
        <w:t xml:space="preserve"> (e.g., vv 2, 4, 5), two for </w:t>
      </w:r>
      <w:r w:rsidR="00934A11" w:rsidRPr="00B740B4">
        <w:t>“</w:t>
      </w:r>
      <w:r w:rsidR="00C35D91" w:rsidRPr="00B740B4">
        <w:t>kill</w:t>
      </w:r>
      <w:r w:rsidR="00934A11" w:rsidRPr="00B740B4">
        <w:t>”</w:t>
      </w:r>
      <w:r w:rsidR="00C35D91" w:rsidRPr="00B740B4">
        <w:t xml:space="preserve"> (e.g., vv 12, 13), three expressions for </w:t>
      </w:r>
      <w:r w:rsidR="00934A11" w:rsidRPr="00B740B4">
        <w:t>“</w:t>
      </w:r>
      <w:r w:rsidR="00C35D91" w:rsidRPr="00B740B4">
        <w:t>pottery</w:t>
      </w:r>
      <w:r w:rsidR="00934A11" w:rsidRPr="00B740B4">
        <w:t>”</w:t>
      </w:r>
      <w:r w:rsidR="00C35D91" w:rsidRPr="00B740B4">
        <w:t xml:space="preserve"> (vv 33, 41), three for </w:t>
      </w:r>
      <w:r w:rsidR="00934A11" w:rsidRPr="00B740B4">
        <w:t>“</w:t>
      </w:r>
      <w:r w:rsidR="00C35D91" w:rsidRPr="00B740B4">
        <w:t>partly</w:t>
      </w:r>
      <w:r w:rsidR="00934A11" w:rsidRPr="00B740B4">
        <w:t>”</w:t>
      </w:r>
      <w:r w:rsidR="00C35D91" w:rsidRPr="00B740B4">
        <w:t xml:space="preserve"> (v 41); two forms of פעם (vv 1, 3), of רעע (v 40), and of ערב (vv 41, 43); also the change in the order of the compone</w:t>
      </w:r>
      <w:r w:rsidRPr="00B740B4">
        <w:t>nts in</w:t>
      </w:r>
      <w:r w:rsidR="00A81563" w:rsidRPr="00B740B4">
        <w:t xml:space="preserve"> the statue (vv 34, 45). Whereas</w:t>
      </w:r>
      <w:r w:rsidRPr="00B740B4">
        <w:t xml:space="preserve"> t</w:t>
      </w:r>
      <w:r w:rsidR="00C35D91" w:rsidRPr="00B740B4">
        <w:t>hese alternation</w:t>
      </w:r>
      <w:r w:rsidR="003878D8">
        <w:t xml:space="preserve">s seem to be </w:t>
      </w:r>
      <w:r w:rsidRPr="00B740B4">
        <w:t>stylistic</w:t>
      </w:r>
      <w:r w:rsidR="00A81563" w:rsidRPr="00B740B4">
        <w:t>,</w:t>
      </w:r>
      <w:r w:rsidRPr="00B740B4">
        <w:t xml:space="preserve"> f</w:t>
      </w:r>
      <w:r w:rsidR="00C35D91" w:rsidRPr="00B740B4">
        <w:t>or the chapter’s ma</w:t>
      </w:r>
      <w:r w:rsidRPr="00B740B4">
        <w:t>jor themes</w:t>
      </w:r>
      <w:r w:rsidR="00C35D91" w:rsidRPr="00B740B4">
        <w:t xml:space="preserve"> more significant is the recurrence of expressions related to time, especially עלם </w:t>
      </w:r>
      <w:r w:rsidR="00934A11" w:rsidRPr="00B740B4">
        <w:t>“</w:t>
      </w:r>
      <w:r w:rsidR="00C35D91" w:rsidRPr="00B740B4">
        <w:t>age</w:t>
      </w:r>
      <w:r w:rsidR="0050122B" w:rsidRPr="00B740B4">
        <w:t>,</w:t>
      </w:r>
      <w:r w:rsidR="00934A11" w:rsidRPr="00B740B4">
        <w:t>”</w:t>
      </w:r>
      <w:r w:rsidR="00C35D91" w:rsidRPr="00B740B4">
        <w:t xml:space="preserve"> זמן </w:t>
      </w:r>
      <w:r w:rsidR="00934A11" w:rsidRPr="00B740B4">
        <w:t>“</w:t>
      </w:r>
      <w:r w:rsidR="00C35D91" w:rsidRPr="00B740B4">
        <w:t>time,</w:t>
      </w:r>
      <w:r w:rsidR="00934A11" w:rsidRPr="00B740B4">
        <w:t>”</w:t>
      </w:r>
      <w:r w:rsidR="00C35D91" w:rsidRPr="00B740B4">
        <w:t xml:space="preserve"> עדן </w:t>
      </w:r>
      <w:r w:rsidR="00934A11" w:rsidRPr="00B740B4">
        <w:t>“</w:t>
      </w:r>
      <w:r w:rsidR="00C35D91" w:rsidRPr="00B740B4">
        <w:t>time</w:t>
      </w:r>
      <w:r w:rsidR="00934A11" w:rsidRPr="00B740B4">
        <w:t>”</w:t>
      </w:r>
      <w:r w:rsidR="00C35D91" w:rsidRPr="00B740B4">
        <w:t xml:space="preserve"> (vv 4, 8, 9, 16, 20, 21, 44); </w:t>
      </w:r>
      <w:r w:rsidR="00A81563" w:rsidRPr="00B740B4">
        <w:t xml:space="preserve">and </w:t>
      </w:r>
      <w:r w:rsidR="00C35D91" w:rsidRPr="00B740B4">
        <w:t xml:space="preserve">other expressions in vv 28, 29, 45. </w:t>
      </w:r>
    </w:p>
    <w:p w:rsidR="004B1B71" w:rsidRPr="00B740B4" w:rsidRDefault="00CB7E5A" w:rsidP="00C35D91">
      <w:r w:rsidRPr="00B740B4">
        <w:t xml:space="preserve">(d) The reuse of </w:t>
      </w:r>
      <w:r w:rsidR="00C35D91" w:rsidRPr="00B740B4">
        <w:t>words in fresh contexts or with different nuances. The root</w:t>
      </w:r>
      <w:r w:rsidR="0050122B" w:rsidRPr="00B740B4">
        <w:t xml:space="preserve"> </w:t>
      </w:r>
      <w:r w:rsidR="0050122B" w:rsidRPr="00B740B4">
        <w:rPr>
          <w:rFonts w:ascii="Arial" w:hAnsi="Arial" w:cs="Arial"/>
        </w:rPr>
        <w:t>ן</w:t>
      </w:r>
      <w:r w:rsidR="0050122B" w:rsidRPr="00B740B4">
        <w:t xml:space="preserve"> </w:t>
      </w:r>
      <w:r w:rsidR="00C35D91" w:rsidRPr="00B740B4">
        <w:t xml:space="preserve">מ </w:t>
      </w:r>
      <w:r w:rsidR="0050122B" w:rsidRPr="00B740B4">
        <w:rPr>
          <w:rFonts w:ascii="Arial" w:hAnsi="Arial" w:cs="Arial"/>
        </w:rPr>
        <w:t>ז</w:t>
      </w:r>
      <w:r w:rsidR="0050122B" w:rsidRPr="00B740B4">
        <w:t xml:space="preserve"> </w:t>
      </w:r>
      <w:r w:rsidR="00C35D91" w:rsidRPr="00B740B4">
        <w:t xml:space="preserve">itself is used both nominally for </w:t>
      </w:r>
      <w:r w:rsidR="00934A11" w:rsidRPr="00B740B4">
        <w:t>“</w:t>
      </w:r>
      <w:r w:rsidR="00C35D91" w:rsidRPr="00B740B4">
        <w:t>time</w:t>
      </w:r>
      <w:r w:rsidR="00934A11" w:rsidRPr="00B740B4">
        <w:t>”</w:t>
      </w:r>
      <w:r w:rsidR="00C35D91" w:rsidRPr="00B740B4">
        <w:t xml:space="preserve"> and verbally for </w:t>
      </w:r>
      <w:r w:rsidR="00934A11" w:rsidRPr="00B740B4">
        <w:t>“</w:t>
      </w:r>
      <w:r w:rsidR="00C35D91" w:rsidRPr="00B740B4">
        <w:t>arrange</w:t>
      </w:r>
      <w:r w:rsidR="00934A11" w:rsidRPr="00B740B4">
        <w:t>”</w:t>
      </w:r>
      <w:r w:rsidR="00C35D91" w:rsidRPr="00B740B4">
        <w:t xml:space="preserve"> (vv 9, 16). על and אזל recur in connection with Daniel’s going to see the king and going home, then returning with his revelation (vv 16–17, 24–25). נפק records first the ordinance</w:t>
      </w:r>
      <w:r w:rsidRPr="00B740B4">
        <w:t>’s</w:t>
      </w:r>
      <w:r w:rsidR="00C35D91" w:rsidRPr="00B740B4">
        <w:t xml:space="preserve"> going out, then the executioner</w:t>
      </w:r>
      <w:r w:rsidRPr="00B740B4">
        <w:t>’s</w:t>
      </w:r>
      <w:r w:rsidR="00C35D91" w:rsidRPr="00B740B4">
        <w:t xml:space="preserve"> going out (vv 13, 14). בעא r</w:t>
      </w:r>
      <w:r w:rsidRPr="00B740B4">
        <w:t>elates the executioners’ inquir</w:t>
      </w:r>
      <w:r w:rsidR="00C35D91" w:rsidRPr="00B740B4">
        <w:t>y after Daniel, Daniel’s inquiry of the king, then Daniel and the friends’ inquiry of God (vv 13, 16, 18, 23, also 49)</w:t>
      </w:r>
      <w:r w:rsidR="00BE3FC3">
        <w:t xml:space="preserve">. A noticeable </w:t>
      </w:r>
      <w:r w:rsidRPr="00B740B4">
        <w:t>feature in</w:t>
      </w:r>
      <w:r w:rsidR="00C35D91" w:rsidRPr="00B740B4">
        <w:t xml:space="preserve"> vv 1–23 is the nine occurrences of מלה (</w:t>
      </w:r>
      <w:r w:rsidR="00934A11" w:rsidRPr="00B740B4">
        <w:t>“</w:t>
      </w:r>
      <w:r w:rsidR="00C35D91" w:rsidRPr="00B740B4">
        <w:t>word, thing</w:t>
      </w:r>
      <w:r w:rsidR="00934A11" w:rsidRPr="00B740B4">
        <w:t>”</w:t>
      </w:r>
      <w:r w:rsidR="00C35D91" w:rsidRPr="00B740B4">
        <w:t xml:space="preserve">; cf. BH דבר). The story trades on its range of nuances, by means of which it can make and at the same time deny links through the story, and </w:t>
      </w:r>
      <w:r w:rsidRPr="00B740B4">
        <w:t xml:space="preserve">can </w:t>
      </w:r>
      <w:r w:rsidR="00C35D91" w:rsidRPr="00B740B4">
        <w:t xml:space="preserve">keep jolting and slowing up the reader. </w:t>
      </w:r>
    </w:p>
    <w:p w:rsidR="00E44298" w:rsidRPr="00B740B4" w:rsidRDefault="00BE3FC3" w:rsidP="00775D13">
      <w:r>
        <w:t xml:space="preserve">A further </w:t>
      </w:r>
      <w:r w:rsidR="00CB7E5A" w:rsidRPr="00B740B4">
        <w:t xml:space="preserve">rhetorical feature </w:t>
      </w:r>
      <w:r w:rsidR="00207A9F" w:rsidRPr="00B740B4">
        <w:t>is the</w:t>
      </w:r>
      <w:r w:rsidR="00CB7E5A" w:rsidRPr="00B740B4">
        <w:t xml:space="preserve"> change </w:t>
      </w:r>
      <w:r w:rsidR="006D26D7" w:rsidRPr="00B740B4">
        <w:t xml:space="preserve">within v 4 </w:t>
      </w:r>
      <w:r w:rsidR="00CB7E5A" w:rsidRPr="00B740B4">
        <w:t xml:space="preserve">from Hebrew to </w:t>
      </w:r>
      <w:r w:rsidR="005E776F" w:rsidRPr="00B740B4">
        <w:t>Aramaic, a foreign but related tongue</w:t>
      </w:r>
      <w:r w:rsidR="006D26D7" w:rsidRPr="00B740B4">
        <w:t xml:space="preserve"> </w:t>
      </w:r>
      <w:r w:rsidR="0028028A" w:rsidRPr="00B740B4">
        <w:t xml:space="preserve">which was </w:t>
      </w:r>
      <w:r w:rsidR="006D26D7" w:rsidRPr="00B740B4">
        <w:t xml:space="preserve">the international language of the Middle East. </w:t>
      </w:r>
      <w:r w:rsidR="004D778A" w:rsidRPr="00B740B4">
        <w:t xml:space="preserve">For many modern readers, the </w:t>
      </w:r>
      <w:r w:rsidR="00B3544D" w:rsidRPr="00B740B4">
        <w:t xml:space="preserve">combination of different languages in </w:t>
      </w:r>
      <w:r>
        <w:t xml:space="preserve">one book may seem to require an </w:t>
      </w:r>
      <w:r w:rsidR="00B3544D" w:rsidRPr="00B740B4">
        <w:t>explanation</w:t>
      </w:r>
      <w:r w:rsidR="005E776F" w:rsidRPr="00B740B4">
        <w:t xml:space="preserve">, such as that the </w:t>
      </w:r>
      <w:r w:rsidR="00B3544D" w:rsidRPr="00B740B4">
        <w:t xml:space="preserve">book was written in Aramaic but the opening and closing chapters </w:t>
      </w:r>
      <w:r w:rsidR="005E776F" w:rsidRPr="00B740B4">
        <w:t xml:space="preserve">were </w:t>
      </w:r>
      <w:r w:rsidR="00B3544D" w:rsidRPr="00B740B4">
        <w:t>translated into Heb</w:t>
      </w:r>
      <w:r w:rsidR="00E44298" w:rsidRPr="00B740B4">
        <w:t>rew, or vice versa.</w:t>
      </w:r>
      <w:r w:rsidR="00C2316D">
        <w:rPr>
          <w:rStyle w:val="FootnoteReference"/>
        </w:rPr>
        <w:footnoteReference w:id="435"/>
      </w:r>
      <w:r w:rsidR="00E44298" w:rsidRPr="00B740B4">
        <w:t xml:space="preserve"> If the stories are basically older than the visions</w:t>
      </w:r>
      <w:r w:rsidR="0028028A" w:rsidRPr="00B740B4">
        <w:t>, one could imagine a collection of stories in Aramaic being</w:t>
      </w:r>
      <w:r w:rsidR="00E44298" w:rsidRPr="00B740B4">
        <w:t xml:space="preserve"> given a frame </w:t>
      </w:r>
      <w:r w:rsidR="0028028A" w:rsidRPr="00B740B4">
        <w:t xml:space="preserve">consisting </w:t>
      </w:r>
      <w:r w:rsidR="00E44298" w:rsidRPr="00B740B4">
        <w:t xml:space="preserve">of visions </w:t>
      </w:r>
      <w:r w:rsidR="0028028A" w:rsidRPr="00B740B4">
        <w:t xml:space="preserve">and an introduction </w:t>
      </w:r>
      <w:r w:rsidR="00E44298" w:rsidRPr="00B740B4">
        <w:t>in Hebrew. But the language difference overlaps with rather than being identical with the difference of form, which necessitates a more complicated theory of development.</w:t>
      </w:r>
    </w:p>
    <w:p w:rsidR="006D26D7" w:rsidRPr="00B740B4" w:rsidRDefault="00B3544D" w:rsidP="00775D13">
      <w:r w:rsidRPr="00B740B4">
        <w:t xml:space="preserve">The </w:t>
      </w:r>
      <w:r w:rsidR="006D26D7" w:rsidRPr="00B740B4">
        <w:t>combining</w:t>
      </w:r>
      <w:r w:rsidRPr="00B740B4">
        <w:t xml:space="preserve"> of languages may not seem</w:t>
      </w:r>
      <w:r w:rsidR="005E776F" w:rsidRPr="00B740B4">
        <w:t xml:space="preserve"> a</w:t>
      </w:r>
      <w:r w:rsidR="0028028A" w:rsidRPr="00B740B4">
        <w:t xml:space="preserve"> puzzle</w:t>
      </w:r>
      <w:r w:rsidRPr="00B740B4">
        <w:t xml:space="preserve"> to other modern readers in a location such as Souther</w:t>
      </w:r>
      <w:r w:rsidR="005E776F" w:rsidRPr="00B740B4">
        <w:t>n California who are used to shift</w:t>
      </w:r>
      <w:r w:rsidRPr="00B740B4">
        <w:t>ing easily and flu</w:t>
      </w:r>
      <w:r w:rsidR="0028028A" w:rsidRPr="00B740B4">
        <w:t xml:space="preserve">ently between (say) </w:t>
      </w:r>
      <w:r w:rsidRPr="00B740B4">
        <w:t xml:space="preserve">Chinese or </w:t>
      </w:r>
      <w:r w:rsidR="0028028A" w:rsidRPr="00B740B4">
        <w:t>Spanish and English</w:t>
      </w:r>
      <w:r w:rsidRPr="00B740B4">
        <w:t xml:space="preserve">. </w:t>
      </w:r>
      <w:r w:rsidR="0028028A" w:rsidRPr="00B740B4">
        <w:t>Such readers</w:t>
      </w:r>
      <w:r w:rsidR="006D26D7" w:rsidRPr="00B740B4">
        <w:t xml:space="preserve"> wou</w:t>
      </w:r>
      <w:r w:rsidR="005E776F" w:rsidRPr="00B740B4">
        <w:t xml:space="preserve">ld be quite able </w:t>
      </w:r>
      <w:r w:rsidR="006D26D7" w:rsidRPr="00B740B4">
        <w:t>to imagine an author movi</w:t>
      </w:r>
      <w:r w:rsidR="005E776F" w:rsidRPr="00B740B4">
        <w:t xml:space="preserve">ng from one language to another—for instance, </w:t>
      </w:r>
      <w:r w:rsidR="006D26D7" w:rsidRPr="00B740B4">
        <w:t>to mark the point when the foreign exper</w:t>
      </w:r>
      <w:r w:rsidR="0028028A" w:rsidRPr="00B740B4">
        <w:t>ts start speaking in their own</w:t>
      </w:r>
      <w:r w:rsidR="006D26D7" w:rsidRPr="00B740B4">
        <w:t xml:space="preserve"> language</w:t>
      </w:r>
      <w:r w:rsidR="00D55D82" w:rsidRPr="00B740B4">
        <w:t xml:space="preserve"> (</w:t>
      </w:r>
      <w:r w:rsidR="0028028A" w:rsidRPr="00B740B4">
        <w:t xml:space="preserve">they might </w:t>
      </w:r>
      <w:r w:rsidR="00D55D82" w:rsidRPr="00B740B4">
        <w:t xml:space="preserve">actually speak </w:t>
      </w:r>
      <w:r w:rsidR="0028028A" w:rsidRPr="00B740B4">
        <w:t>either Aramaic or Akkadian</w:t>
      </w:r>
      <w:r w:rsidR="00D55D82" w:rsidRPr="00B740B4">
        <w:t>)</w:t>
      </w:r>
      <w:r w:rsidR="005E776F" w:rsidRPr="00B740B4">
        <w:t>, perhaps in a way that</w:t>
      </w:r>
      <w:r w:rsidR="006339DB" w:rsidRPr="00B740B4">
        <w:t xml:space="preserve"> add</w:t>
      </w:r>
      <w:r w:rsidR="005E776F" w:rsidRPr="00B740B4">
        <w:t>s</w:t>
      </w:r>
      <w:r w:rsidR="006339DB" w:rsidRPr="00B740B4">
        <w:t xml:space="preserve"> authenticity to the material.</w:t>
      </w:r>
      <w:r w:rsidR="006339DB" w:rsidRPr="00B740B4">
        <w:rPr>
          <w:rStyle w:val="FootnoteReference"/>
        </w:rPr>
        <w:footnoteReference w:id="436"/>
      </w:r>
      <w:r w:rsidR="006339DB" w:rsidRPr="00B740B4">
        <w:t xml:space="preserve"> </w:t>
      </w:r>
      <w:r w:rsidR="0028028A" w:rsidRPr="00B740B4">
        <w:t xml:space="preserve">In a sense the transition thus </w:t>
      </w:r>
      <w:r w:rsidR="006D26D7" w:rsidRPr="00B740B4">
        <w:t>comes at a natural point, like that in Ezra 4:8</w:t>
      </w:r>
      <w:r w:rsidR="00BE3FC3">
        <w:t>. Actually t</w:t>
      </w:r>
      <w:r w:rsidR="0093491E" w:rsidRPr="00B740B4">
        <w:t>he king would presumably have spoken in the same language</w:t>
      </w:r>
      <w:r w:rsidR="005E776F" w:rsidRPr="00B740B4">
        <w:t xml:space="preserve"> as his staff</w:t>
      </w:r>
      <w:r w:rsidR="00697C7F" w:rsidRPr="00B740B4">
        <w:t>, and i</w:t>
      </w:r>
      <w:r w:rsidR="0093491E" w:rsidRPr="00B740B4">
        <w:t>n this sense</w:t>
      </w:r>
      <w:r w:rsidR="00697C7F" w:rsidRPr="00B740B4">
        <w:t xml:space="preserve"> the change does not come at a</w:t>
      </w:r>
      <w:r w:rsidR="00BE3FC3">
        <w:t xml:space="preserve"> logical point. It</w:t>
      </w:r>
      <w:r w:rsidR="00697C7F" w:rsidRPr="00B740B4">
        <w:t xml:space="preserve"> rather</w:t>
      </w:r>
      <w:r w:rsidR="009959BF" w:rsidRPr="00B740B4">
        <w:t xml:space="preserve"> </w:t>
      </w:r>
      <w:r w:rsidR="0093491E" w:rsidRPr="00B740B4">
        <w:t>marks a change in</w:t>
      </w:r>
      <w:r w:rsidR="009959BF" w:rsidRPr="00B740B4">
        <w:t xml:space="preserve"> the implicit point of view with which people a</w:t>
      </w:r>
      <w:r w:rsidR="0093491E" w:rsidRPr="00B740B4">
        <w:t xml:space="preserve">re invited to read the chapter. The story now encourages us </w:t>
      </w:r>
      <w:r w:rsidR="009959BF" w:rsidRPr="00B740B4">
        <w:t xml:space="preserve">to be a little like Babylonians. Yet the transition then </w:t>
      </w:r>
      <w:r w:rsidR="0093491E" w:rsidRPr="00B740B4">
        <w:t xml:space="preserve">also </w:t>
      </w:r>
      <w:r w:rsidR="009959BF" w:rsidRPr="00B740B4">
        <w:t xml:space="preserve">implies some irony, not least in the fact that the first </w:t>
      </w:r>
      <w:r w:rsidR="00697C7F" w:rsidRPr="00B740B4">
        <w:t>A</w:t>
      </w:r>
      <w:r w:rsidR="009959BF" w:rsidRPr="00B740B4">
        <w:t xml:space="preserve">ramaic words are </w:t>
      </w:r>
      <w:r w:rsidR="00934A11" w:rsidRPr="00B740B4">
        <w:t>“</w:t>
      </w:r>
      <w:r w:rsidR="009959BF" w:rsidRPr="00B740B4">
        <w:t>Long live the king</w:t>
      </w:r>
      <w:r w:rsidR="009959BF" w:rsidRPr="00B740B4">
        <w:rPr>
          <w:i/>
        </w:rPr>
        <w:t>,</w:t>
      </w:r>
      <w:r w:rsidR="00934A11" w:rsidRPr="00B740B4">
        <w:rPr>
          <w:i/>
        </w:rPr>
        <w:t>”</w:t>
      </w:r>
      <w:r w:rsidR="009959BF" w:rsidRPr="00B740B4">
        <w:rPr>
          <w:i/>
        </w:rPr>
        <w:t xml:space="preserve"> </w:t>
      </w:r>
      <w:r w:rsidR="009959BF" w:rsidRPr="00B740B4">
        <w:t xml:space="preserve">more literally </w:t>
      </w:r>
      <w:r w:rsidR="00934A11" w:rsidRPr="00B740B4">
        <w:t>“</w:t>
      </w:r>
      <w:r w:rsidR="009959BF" w:rsidRPr="00B740B4">
        <w:t>May the king live forever</w:t>
      </w:r>
      <w:r w:rsidR="006F37B1" w:rsidRPr="00B740B4">
        <w:t>,</w:t>
      </w:r>
      <w:r w:rsidR="00934A11" w:rsidRPr="00B740B4">
        <w:t>”</w:t>
      </w:r>
      <w:r w:rsidR="006F37B1" w:rsidRPr="00B740B4">
        <w:t xml:space="preserve"> which is just what the r</w:t>
      </w:r>
      <w:r w:rsidR="00697C7F" w:rsidRPr="00B740B4">
        <w:t>evelation will say is</w:t>
      </w:r>
      <w:r w:rsidR="006F37B1" w:rsidRPr="00B740B4">
        <w:t xml:space="preserve"> not</w:t>
      </w:r>
      <w:r w:rsidR="00697C7F" w:rsidRPr="00B740B4">
        <w:t xml:space="preserve"> going to</w:t>
      </w:r>
      <w:r w:rsidR="006F37B1" w:rsidRPr="00B740B4">
        <w:t xml:space="preserve"> happen.</w:t>
      </w:r>
      <w:r w:rsidR="009959BF" w:rsidRPr="00B740B4">
        <w:rPr>
          <w:rStyle w:val="FootnoteReference"/>
        </w:rPr>
        <w:footnoteReference w:id="437"/>
      </w:r>
    </w:p>
    <w:p w:rsidR="00697C7F" w:rsidRPr="00B740B4" w:rsidRDefault="00BE3FC3" w:rsidP="00697C7F">
      <w:pPr>
        <w:rPr>
          <w:bCs/>
        </w:rPr>
      </w:pPr>
      <w:r w:rsidRPr="00B740B4">
        <w:rPr>
          <w:bCs/>
        </w:rPr>
        <w:lastRenderedPageBreak/>
        <w:t>In addition, Aramic is the vernacular, while Hebrew is the scholarly language. Readers need to be able to move between the two.</w:t>
      </w:r>
      <w:r w:rsidRPr="00B740B4">
        <w:rPr>
          <w:rStyle w:val="FootnoteReference"/>
          <w:bCs/>
        </w:rPr>
        <w:footnoteReference w:id="438"/>
      </w:r>
      <w:r>
        <w:rPr>
          <w:bCs/>
        </w:rPr>
        <w:t xml:space="preserve"> Further, </w:t>
      </w:r>
      <w:r>
        <w:t>m</w:t>
      </w:r>
      <w:r w:rsidR="00697C7F" w:rsidRPr="00B740B4">
        <w:t>odern bilingual readers</w:t>
      </w:r>
      <w:r w:rsidR="00B3544D" w:rsidRPr="00B740B4">
        <w:t xml:space="preserve"> </w:t>
      </w:r>
      <w:r w:rsidR="004A055C" w:rsidRPr="00B740B4">
        <w:t>will also</w:t>
      </w:r>
      <w:r w:rsidR="00B3544D" w:rsidRPr="00B740B4">
        <w:t xml:space="preserve"> be aware of the difference in status between their </w:t>
      </w:r>
      <w:r w:rsidR="00934A11" w:rsidRPr="00B740B4">
        <w:t>“</w:t>
      </w:r>
      <w:r w:rsidR="00B3544D" w:rsidRPr="00B740B4">
        <w:t>natural</w:t>
      </w:r>
      <w:r w:rsidR="00934A11" w:rsidRPr="00B740B4">
        <w:t>”</w:t>
      </w:r>
      <w:r w:rsidR="00B3544D" w:rsidRPr="00B740B4">
        <w:t xml:space="preserve"> </w:t>
      </w:r>
      <w:r w:rsidR="00697C7F" w:rsidRPr="00B740B4">
        <w:t xml:space="preserve">or home </w:t>
      </w:r>
      <w:r w:rsidR="00B3544D" w:rsidRPr="00B740B4">
        <w:t>language (</w:t>
      </w:r>
      <w:r w:rsidR="00697C7F" w:rsidRPr="00B740B4">
        <w:t xml:space="preserve">e.g., </w:t>
      </w:r>
      <w:r w:rsidR="00B3544D" w:rsidRPr="00B740B4">
        <w:t xml:space="preserve">Chinese or Spanish) and the </w:t>
      </w:r>
      <w:r w:rsidR="00697C7F" w:rsidRPr="00B740B4">
        <w:t xml:space="preserve">prevailing </w:t>
      </w:r>
      <w:r w:rsidR="00B3544D" w:rsidRPr="00B740B4">
        <w:t xml:space="preserve">language of the </w:t>
      </w:r>
      <w:r w:rsidR="00697C7F" w:rsidRPr="00B740B4">
        <w:t>broader,</w:t>
      </w:r>
      <w:r w:rsidR="008254B1" w:rsidRPr="00B740B4">
        <w:t xml:space="preserve"> dominant </w:t>
      </w:r>
      <w:r w:rsidR="00B3544D" w:rsidRPr="00B740B4">
        <w:t>culture</w:t>
      </w:r>
      <w:r>
        <w:t xml:space="preserve"> in the country where they live</w:t>
      </w:r>
      <w:r w:rsidR="00B3544D" w:rsidRPr="00B740B4">
        <w:t>. The rhetorical effect of using H</w:t>
      </w:r>
      <w:r w:rsidR="00697C7F" w:rsidRPr="00B740B4">
        <w:t xml:space="preserve">ebrew is to establish </w:t>
      </w:r>
      <w:r w:rsidR="00B3544D" w:rsidRPr="00B740B4">
        <w:t>that this book belongs to the Jewish people, tells their story, and relates the activity of their God.</w:t>
      </w:r>
      <w:r w:rsidR="00CC0CA1" w:rsidRPr="00B740B4">
        <w:rPr>
          <w:rStyle w:val="FootnoteReference"/>
        </w:rPr>
        <w:footnoteReference w:id="439"/>
      </w:r>
      <w:r w:rsidR="00B3544D" w:rsidRPr="00B740B4">
        <w:t xml:space="preserve"> </w:t>
      </w:r>
      <w:r w:rsidR="00DA36E3">
        <w:rPr>
          <w:bCs/>
        </w:rPr>
        <w:t>“According to Bakhtin, there are two extremely important factors in the prehistory of novelistic discourse, laughter and hetero- or polyglossia”; heteroglossia can suggest “the presence of different ideological voices.”</w:t>
      </w:r>
      <w:r w:rsidR="00DA36E3" w:rsidRPr="00E438D2">
        <w:rPr>
          <w:bCs/>
          <w:vertAlign w:val="superscript"/>
        </w:rPr>
        <w:t xml:space="preserve"> </w:t>
      </w:r>
      <w:r w:rsidR="00DA36E3" w:rsidRPr="00E438D2">
        <w:rPr>
          <w:bCs/>
          <w:vertAlign w:val="superscript"/>
        </w:rPr>
        <w:footnoteReference w:id="440"/>
      </w:r>
      <w:r w:rsidR="00DA36E3">
        <w:rPr>
          <w:bCs/>
          <w:vertAlign w:val="superscript"/>
        </w:rPr>
        <w:t xml:space="preserve"> </w:t>
      </w:r>
      <w:r w:rsidR="00DA36E3">
        <w:rPr>
          <w:bCs/>
        </w:rPr>
        <w:t>Aramaic is the language of empire. Hebrew is the language of the people of God.</w:t>
      </w:r>
      <w:r w:rsidR="00B3544D" w:rsidRPr="00B740B4">
        <w:t xml:space="preserve">The rhetorical effect of seguing into Aramaic is to </w:t>
      </w:r>
      <w:r w:rsidR="00CC0CA1" w:rsidRPr="00B740B4">
        <w:t xml:space="preserve">affirm </w:t>
      </w:r>
      <w:r w:rsidR="00DA36E3">
        <w:t>that the readers</w:t>
      </w:r>
      <w:r w:rsidR="00B3544D" w:rsidRPr="00B740B4">
        <w:t xml:space="preserve"> live their lives in the world</w:t>
      </w:r>
      <w:r w:rsidR="00CC0CA1" w:rsidRPr="00B740B4">
        <w:t>, that their God is</w:t>
      </w:r>
      <w:r w:rsidR="00B3544D" w:rsidRPr="00B740B4">
        <w:t xml:space="preserve"> the God of the heavens</w:t>
      </w:r>
      <w:r w:rsidR="00CC0CA1" w:rsidRPr="00B740B4">
        <w:t>, and that he sees to the working out of their story on the world stage.</w:t>
      </w:r>
      <w:r w:rsidR="00697C7F" w:rsidRPr="00B740B4">
        <w:t xml:space="preserve"> Whereas using</w:t>
      </w:r>
      <w:r w:rsidR="008254B1" w:rsidRPr="00B740B4">
        <w:t xml:space="preserve"> Hebrew reasserts the importance of Yahweh’s distinctive involvement with Israe</w:t>
      </w:r>
      <w:r w:rsidR="00697C7F" w:rsidRPr="00B740B4">
        <w:t xml:space="preserve">l and </w:t>
      </w:r>
      <w:r>
        <w:t xml:space="preserve">his </w:t>
      </w:r>
      <w:r w:rsidR="00697C7F" w:rsidRPr="00B740B4">
        <w:t>commitment to Israel, using</w:t>
      </w:r>
      <w:r w:rsidR="008254B1" w:rsidRPr="00B740B4">
        <w:t xml:space="preserve"> Aramaic symbolizes the Jewish people’s place </w:t>
      </w:r>
      <w:r w:rsidR="00697C7F" w:rsidRPr="00B740B4">
        <w:t xml:space="preserve">in the world of the nations. </w:t>
      </w:r>
      <w:r w:rsidR="008A3269" w:rsidRPr="00B740B4">
        <w:rPr>
          <w:bCs/>
        </w:rPr>
        <w:t>“Language enacts identity” and in Daniel “the language of empire will be used to expose its lies and refute its claims.”</w:t>
      </w:r>
      <w:r w:rsidR="008A3269" w:rsidRPr="00B740B4">
        <w:rPr>
          <w:bCs/>
          <w:vertAlign w:val="superscript"/>
        </w:rPr>
        <w:footnoteReference w:id="441"/>
      </w:r>
      <w:r w:rsidR="008A3269" w:rsidRPr="00B740B4">
        <w:rPr>
          <w:bCs/>
        </w:rPr>
        <w:t xml:space="preserve"> </w:t>
      </w:r>
      <w:r w:rsidR="008A3269" w:rsidRPr="00B740B4">
        <w:t>So</w:t>
      </w:r>
      <w:r w:rsidR="00697C7F" w:rsidRPr="00B740B4">
        <w:t xml:space="preserve"> the arrangement whereby </w:t>
      </w:r>
      <w:r w:rsidR="008254B1" w:rsidRPr="00B740B4">
        <w:t xml:space="preserve">Hebrew material provides the framework for the whole points to the subordination of the empire’s speech and power to that of the God of the heavens who is the God of Israel. </w:t>
      </w:r>
      <w:r w:rsidR="00D521FC" w:rsidRPr="00B740B4">
        <w:rPr>
          <w:bCs/>
        </w:rPr>
        <w:t>Bilingualism mixes the “local and sacred idiom” and the “official, intern</w:t>
      </w:r>
      <w:r w:rsidR="008A3269" w:rsidRPr="00B740B4">
        <w:rPr>
          <w:bCs/>
        </w:rPr>
        <w:t>a</w:t>
      </w:r>
      <w:r w:rsidR="00D521FC" w:rsidRPr="00B740B4">
        <w:rPr>
          <w:bCs/>
        </w:rPr>
        <w:t>tional and pol</w:t>
      </w:r>
      <w:r w:rsidR="008A3269" w:rsidRPr="00B740B4">
        <w:rPr>
          <w:bCs/>
        </w:rPr>
        <w:t>itic</w:t>
      </w:r>
      <w:r>
        <w:rPr>
          <w:bCs/>
        </w:rPr>
        <w:t>al language, of profane use,” t</w:t>
      </w:r>
      <w:r w:rsidR="00D521FC" w:rsidRPr="00B740B4">
        <w:rPr>
          <w:bCs/>
        </w:rPr>
        <w:t>he “sovere</w:t>
      </w:r>
      <w:r w:rsidR="001438BE" w:rsidRPr="00B740B4">
        <w:rPr>
          <w:bCs/>
        </w:rPr>
        <w:t xml:space="preserve">ign, sacred, secret laws” </w:t>
      </w:r>
      <w:r w:rsidR="00D521FC" w:rsidRPr="00B740B4">
        <w:rPr>
          <w:bCs/>
        </w:rPr>
        <w:t>which express God’s power and the communication in Aramaic to the “peoples, nations, and languages” to the farthest reaches of the world.</w:t>
      </w:r>
      <w:r w:rsidR="00D521FC" w:rsidRPr="00B740B4">
        <w:rPr>
          <w:rStyle w:val="FootnoteReference"/>
          <w:bCs/>
        </w:rPr>
        <w:footnoteReference w:id="442"/>
      </w:r>
      <w:r w:rsidR="00697C7F" w:rsidRPr="00B740B4">
        <w:rPr>
          <w:bCs/>
        </w:rPr>
        <w:t xml:space="preserve"> </w:t>
      </w:r>
      <w:r w:rsidR="001438BE" w:rsidRPr="00B740B4">
        <w:rPr>
          <w:bCs/>
        </w:rPr>
        <w:t>Daniel 2—7 becomes, if not “a tract to the nations,”</w:t>
      </w:r>
      <w:r w:rsidR="001438BE" w:rsidRPr="00B740B4">
        <w:rPr>
          <w:rStyle w:val="FootnoteReference"/>
          <w:bCs/>
        </w:rPr>
        <w:footnoteReference w:id="443"/>
      </w:r>
      <w:r w:rsidR="001438BE" w:rsidRPr="00B740B4">
        <w:rPr>
          <w:bCs/>
        </w:rPr>
        <w:t xml:space="preserve"> a tract about the nations.</w:t>
      </w:r>
      <w:r w:rsidR="00697C7F" w:rsidRPr="00B740B4">
        <w:rPr>
          <w:bCs/>
        </w:rPr>
        <w:t xml:space="preserve"> </w:t>
      </w:r>
    </w:p>
    <w:p w:rsidR="008E1B12" w:rsidRPr="00B740B4" w:rsidRDefault="008E1B12" w:rsidP="008E1B12">
      <w:pPr>
        <w:pStyle w:val="Heading3"/>
      </w:pPr>
      <w:r w:rsidRPr="00B740B4">
        <w:t>Setting</w:t>
      </w:r>
    </w:p>
    <w:p w:rsidR="008E1B12" w:rsidRPr="00B740B4" w:rsidRDefault="008E1B12" w:rsidP="008E1B12"/>
    <w:p w:rsidR="004D602F" w:rsidRDefault="008818B6" w:rsidP="00C35D91">
      <w:r w:rsidRPr="00B740B4">
        <w:t>Like chap.</w:t>
      </w:r>
      <w:r w:rsidR="00B35D69" w:rsidRPr="00B740B4">
        <w:t xml:space="preserve"> 1, Dan 2 impli</w:t>
      </w:r>
      <w:r w:rsidR="00C35D91" w:rsidRPr="00B740B4">
        <w:t xml:space="preserve">es a setting in </w:t>
      </w:r>
      <w:r w:rsidR="001F5F04" w:rsidRPr="00B740B4">
        <w:t>a dispersion community where Judahite</w:t>
      </w:r>
      <w:r w:rsidR="00C35D91" w:rsidRPr="00B740B4">
        <w:t>s are</w:t>
      </w:r>
      <w:r w:rsidR="00B35D69" w:rsidRPr="00B740B4">
        <w:t xml:space="preserve"> </w:t>
      </w:r>
      <w:r w:rsidR="00C35D91" w:rsidRPr="00B740B4">
        <w:t xml:space="preserve">a religious and ethnic minority. </w:t>
      </w:r>
      <w:r w:rsidR="004D602F">
        <w:t>Even if</w:t>
      </w:r>
      <w:r w:rsidR="000840C6" w:rsidRPr="00B740B4">
        <w:t xml:space="preserve"> the message speaks to people li</w:t>
      </w:r>
      <w:r w:rsidR="004D602F">
        <w:t>ving in relatively stable times,</w:t>
      </w:r>
      <w:r w:rsidR="000840C6" w:rsidRPr="00B740B4">
        <w:rPr>
          <w:vertAlign w:val="superscript"/>
        </w:rPr>
        <w:footnoteReference w:id="444"/>
      </w:r>
      <w:r w:rsidR="004D602F">
        <w:t xml:space="preserve"> it sets before them a “dream” of God putting their overlords down. </w:t>
      </w:r>
      <w:r w:rsidR="000840C6" w:rsidRPr="00B740B4">
        <w:t xml:space="preserve"> </w:t>
      </w:r>
      <w:r w:rsidR="004D602F">
        <w:t>It is oppositional literature.</w:t>
      </w:r>
      <w:r w:rsidR="004D602F">
        <w:rPr>
          <w:rStyle w:val="FootnoteReference"/>
        </w:rPr>
        <w:footnoteReference w:id="445"/>
      </w:r>
    </w:p>
    <w:p w:rsidR="00627461" w:rsidRPr="00627461" w:rsidRDefault="00627461" w:rsidP="00627461">
      <w:r>
        <w:t>While t</w:t>
      </w:r>
      <w:r w:rsidRPr="00B740B4">
        <w:t>he chapter makes little use of the kind of repetition that characterizes more traditional narratives,</w:t>
      </w:r>
      <w:r w:rsidRPr="00B740B4">
        <w:rPr>
          <w:rStyle w:val="FootnoteReference"/>
        </w:rPr>
        <w:footnoteReference w:id="446"/>
      </w:r>
      <w:r w:rsidRPr="00B740B4">
        <w:t xml:space="preserve"> it does contain some repetitiveness (e.g., vv 28–30) and discontinuity (e.g., over whether Daniel is one of the experts and is well known to the king). These features have encouraged the formulation of a number of theories regarding its redaction, conflation, or expansion (e.g, in vv 13–23, 28–30, 36–45, 48–49), possibly in connection with conforming chap. 2 to the eschatological perspective of the later visions.</w:t>
      </w:r>
      <w:r w:rsidRPr="00B740B4">
        <w:rPr>
          <w:rStyle w:val="FootnoteReference"/>
        </w:rPr>
        <w:footnoteReference w:id="447"/>
      </w:r>
      <w:r w:rsidRPr="00B740B4">
        <w:t xml:space="preserve"> </w:t>
      </w:r>
      <w:r w:rsidRPr="00627461">
        <w:t xml:space="preserve">The common scholarly view is that the four regimes to which the chapter refers </w:t>
      </w:r>
      <w:r w:rsidRPr="00627461">
        <w:lastRenderedPageBreak/>
        <w:t xml:space="preserve">are the Babylonian, Median, Persian, and Greek empires, </w:t>
      </w:r>
      <w:r>
        <w:t xml:space="preserve">so that the chapter belongs to the Greek period, </w:t>
      </w:r>
      <w:r w:rsidRPr="00627461">
        <w:t>with vv 41–43 reflecting its</w:t>
      </w:r>
      <w:r>
        <w:t xml:space="preserve"> expansion in the third century.</w:t>
      </w:r>
      <w:r w:rsidRPr="00627461">
        <w:rPr>
          <w:vertAlign w:val="superscript"/>
        </w:rPr>
        <w:footnoteReference w:id="448"/>
      </w:r>
      <w:r>
        <w:t xml:space="preserve"> B</w:t>
      </w:r>
      <w:r w:rsidRPr="00627461">
        <w:t xml:space="preserve">ut repetitiveness or discontinuity may as likely be the responsibility of an author as a redactor, the </w:t>
      </w:r>
      <w:r w:rsidRPr="00627461">
        <w:rPr>
          <w:i/>
        </w:rPr>
        <w:t>Comment</w:t>
      </w:r>
      <w:r w:rsidRPr="00627461">
        <w:t xml:space="preserve"> </w:t>
      </w:r>
      <w:r>
        <w:t xml:space="preserve">and </w:t>
      </w:r>
      <w:r w:rsidRPr="00627461">
        <w:rPr>
          <w:i/>
        </w:rPr>
        <w:t>Explanation</w:t>
      </w:r>
      <w:r>
        <w:t xml:space="preserve"> below </w:t>
      </w:r>
      <w:r w:rsidRPr="00627461">
        <w:t xml:space="preserve">will argue that </w:t>
      </w:r>
      <w:r>
        <w:t>the vision</w:t>
      </w:r>
      <w:r w:rsidRPr="00627461">
        <w:t xml:space="preserve"> </w:t>
      </w:r>
      <w:r w:rsidRPr="00627461">
        <w:rPr>
          <w:iCs/>
        </w:rPr>
        <w:t>refers to the destiny of the Babylonian kings</w:t>
      </w:r>
      <w:r w:rsidRPr="00627461">
        <w:t xml:space="preserve"> </w:t>
      </w:r>
      <w:r>
        <w:t xml:space="preserve">not to the sequence of empires. </w:t>
      </w:r>
      <w:r w:rsidRPr="00627461">
        <w:rPr>
          <w:iCs/>
        </w:rPr>
        <w:t xml:space="preserve">The chapter as we have it it is </w:t>
      </w:r>
      <w:r w:rsidR="0033753F">
        <w:rPr>
          <w:iCs/>
        </w:rPr>
        <w:t xml:space="preserve">thus </w:t>
      </w:r>
      <w:r w:rsidRPr="00627461">
        <w:rPr>
          <w:iCs/>
        </w:rPr>
        <w:t>not “eschatological” in the sense that chapter 7</w:t>
      </w:r>
      <w:r w:rsidR="0033753F">
        <w:rPr>
          <w:iCs/>
        </w:rPr>
        <w:t>—12 are and it contains no</w:t>
      </w:r>
      <w:r>
        <w:t xml:space="preserve"> specific pointers </w:t>
      </w:r>
      <w:r w:rsidR="0033753F">
        <w:t>to a date in the Greek period</w:t>
      </w:r>
      <w:r w:rsidRPr="00627461">
        <w:t xml:space="preserve">. The title “Lord of the heavens” would perhaps have been avoided in a story developed in the second century (see </w:t>
      </w:r>
      <w:r w:rsidRPr="00627461">
        <w:rPr>
          <w:i/>
        </w:rPr>
        <w:t>Comment</w:t>
      </w:r>
      <w:r w:rsidRPr="00627461">
        <w:t>).</w:t>
      </w:r>
    </w:p>
    <w:p w:rsidR="00C35D91" w:rsidRPr="00B740B4" w:rsidRDefault="00C35D91" w:rsidP="00C35D91">
      <w:r w:rsidRPr="00B740B4">
        <w:t xml:space="preserve">In </w:t>
      </w:r>
      <w:r w:rsidR="00111FE0" w:rsidRPr="00B740B4">
        <w:t>its place in the book</w:t>
      </w:r>
      <w:r w:rsidRPr="00B740B4">
        <w:t>, the chapter introduces the four stories tha</w:t>
      </w:r>
      <w:r w:rsidR="00111FE0" w:rsidRPr="00B740B4">
        <w:t>t follow, in that</w:t>
      </w:r>
      <w:r w:rsidRPr="00B740B4">
        <w:t xml:space="preserve"> v 49 locates </w:t>
      </w:r>
      <w:r w:rsidR="0050122B" w:rsidRPr="00B740B4">
        <w:t xml:space="preserve">the </w:t>
      </w:r>
      <w:r w:rsidRPr="00B740B4">
        <w:t xml:space="preserve">three friends in the provincial administration for </w:t>
      </w:r>
      <w:r w:rsidR="008818B6" w:rsidRPr="00B740B4">
        <w:t>chap.</w:t>
      </w:r>
      <w:r w:rsidRPr="00B740B4">
        <w:t xml:space="preserve"> 3, and </w:t>
      </w:r>
      <w:r w:rsidR="00B35D69" w:rsidRPr="00B740B4">
        <w:t xml:space="preserve">locates </w:t>
      </w:r>
      <w:r w:rsidRPr="00B740B4">
        <w:t>Daniel at court for chaps. 4–5.</w:t>
      </w:r>
      <w:r w:rsidR="00B35D69" w:rsidRPr="00B740B4">
        <w:rPr>
          <w:rStyle w:val="FootnoteReference"/>
        </w:rPr>
        <w:footnoteReference w:id="449"/>
      </w:r>
      <w:r w:rsidRPr="00B740B4">
        <w:t xml:space="preserve"> </w:t>
      </w:r>
      <w:r w:rsidR="008818B6" w:rsidRPr="00B740B4">
        <w:t>Chap.</w:t>
      </w:r>
      <w:r w:rsidRPr="00B740B4">
        <w:t xml:space="preserve"> 2 holds the fr</w:t>
      </w:r>
      <w:r w:rsidR="00111FE0" w:rsidRPr="00B740B4">
        <w:t xml:space="preserve">iends and Daniel together, </w:t>
      </w:r>
      <w:r w:rsidRPr="00B740B4">
        <w:t>though the former pl</w:t>
      </w:r>
      <w:r w:rsidR="00B35D69" w:rsidRPr="00B740B4">
        <w:t>ay a rather nominal role, where</w:t>
      </w:r>
      <w:r w:rsidR="0033753F">
        <w:t>as subsequently the friends and Daniel</w:t>
      </w:r>
      <w:r w:rsidRPr="00B740B4">
        <w:t xml:space="preserve"> </w:t>
      </w:r>
      <w:r w:rsidR="00B35D69" w:rsidRPr="00B740B4">
        <w:t xml:space="preserve">will </w:t>
      </w:r>
      <w:r w:rsidRPr="00B740B4">
        <w:t xml:space="preserve">appear </w:t>
      </w:r>
      <w:r w:rsidR="00B35D69" w:rsidRPr="00B740B4">
        <w:t xml:space="preserve">only </w:t>
      </w:r>
      <w:r w:rsidRPr="00B740B4">
        <w:t xml:space="preserve">separately. While </w:t>
      </w:r>
      <w:r w:rsidR="00594626" w:rsidRPr="00B740B4">
        <w:t xml:space="preserve">court </w:t>
      </w:r>
      <w:r w:rsidRPr="00B740B4">
        <w:t>tale and vision both lead in to chaps. 3–6, the vision of God’s final reign which re</w:t>
      </w:r>
      <w:r w:rsidR="00F832D2" w:rsidRPr="00B740B4">
        <w:t>places human regime</w:t>
      </w:r>
      <w:r w:rsidR="00B35D69" w:rsidRPr="00B740B4">
        <w:t>s sets those chapters’</w:t>
      </w:r>
      <w:r w:rsidRPr="00B740B4">
        <w:t xml:space="preserve"> con</w:t>
      </w:r>
      <w:r w:rsidR="00B35D69" w:rsidRPr="00B740B4">
        <w:t>cerns in a broader and more far-</w:t>
      </w:r>
      <w:r w:rsidRPr="00B740B4">
        <w:t>reaching context from the beginning</w:t>
      </w:r>
      <w:r w:rsidR="00B35D69" w:rsidRPr="00B740B4">
        <w:t>.</w:t>
      </w:r>
      <w:r w:rsidR="00B35D69" w:rsidRPr="00B740B4">
        <w:rPr>
          <w:rStyle w:val="FootnoteReference"/>
        </w:rPr>
        <w:footnoteReference w:id="450"/>
      </w:r>
      <w:r w:rsidRPr="00B740B4">
        <w:t xml:space="preserve"> </w:t>
      </w:r>
      <w:r w:rsidR="00B35D69" w:rsidRPr="00B740B4">
        <w:t>It</w:t>
      </w:r>
      <w:r w:rsidRPr="00B740B4">
        <w:t xml:space="preserve"> also introduces chaps. 7–12, where Danie</w:t>
      </w:r>
      <w:r w:rsidR="00F832D2" w:rsidRPr="00B740B4">
        <w:t>l himself dreams of such regime</w:t>
      </w:r>
      <w:r w:rsidRPr="00B740B4">
        <w:t>s and subsequently perceives further aspects of history to come.</w:t>
      </w:r>
    </w:p>
    <w:p w:rsidR="00C35D91" w:rsidRPr="00B740B4" w:rsidRDefault="00C35D91" w:rsidP="00C35D91">
      <w:r w:rsidRPr="00B740B4">
        <w:t>The chapter’s relationship with Dan 1 is ambiguous. The story gives substance to 1:20, though the king’s failure to consult Daniel and his needing to have him introduced is o</w:t>
      </w:r>
      <w:r w:rsidR="00111FE0" w:rsidRPr="00B740B4">
        <w:t xml:space="preserve">dd after 1:17–19. The </w:t>
      </w:r>
      <w:r w:rsidRPr="00B740B4">
        <w:t xml:space="preserve">motifs of the successful </w:t>
      </w:r>
      <w:r w:rsidR="008673DA" w:rsidRPr="00B740B4">
        <w:t>expert</w:t>
      </w:r>
      <w:r w:rsidRPr="00B740B4">
        <w:t xml:space="preserve"> </w:t>
      </w:r>
      <w:r w:rsidR="00F832D2" w:rsidRPr="00B740B4">
        <w:t>who appears</w:t>
      </w:r>
      <w:r w:rsidRPr="00B740B4">
        <w:t xml:space="preserve"> last, and his being spectacularly rewarded at the end, are perhaps allowed to recur notwithstanding the formal tensions between </w:t>
      </w:r>
      <w:r w:rsidR="00111FE0" w:rsidRPr="00B740B4">
        <w:t xml:space="preserve">the </w:t>
      </w:r>
      <w:r w:rsidRPr="00B740B4">
        <w:t>stories that this produces (</w:t>
      </w:r>
      <w:r w:rsidR="00111FE0" w:rsidRPr="00B740B4">
        <w:t xml:space="preserve">but </w:t>
      </w:r>
      <w:r w:rsidRPr="00B740B4">
        <w:t xml:space="preserve">see also </w:t>
      </w:r>
      <w:r w:rsidRPr="00B740B4">
        <w:rPr>
          <w:i/>
        </w:rPr>
        <w:t>Comment</w:t>
      </w:r>
      <w:r w:rsidRPr="00B740B4">
        <w:t xml:space="preserve"> on v 1).</w:t>
      </w:r>
    </w:p>
    <w:p w:rsidR="00DF573F" w:rsidRPr="00B740B4" w:rsidRDefault="00DF573F" w:rsidP="00DF573F">
      <w:r w:rsidRPr="00B740B4">
        <w:t>Ma</w:t>
      </w:r>
      <w:r w:rsidR="00111FE0" w:rsidRPr="00B740B4">
        <w:t>ny motifs and expressions in chap.</w:t>
      </w:r>
      <w:r w:rsidRPr="00B740B4">
        <w:t xml:space="preserve"> 2 parallel subsequent stories: the explaining of a royal dream about the fut</w:t>
      </w:r>
      <w:r w:rsidR="00391014" w:rsidRPr="00B740B4">
        <w:t>ure (chap. 4), the lists of expert</w:t>
      </w:r>
      <w:r w:rsidR="002B6994" w:rsidRPr="00B740B4">
        <w:t>s (4:7</w:t>
      </w:r>
      <w:r w:rsidR="00111FE0" w:rsidRPr="00B740B4">
        <w:t xml:space="preserve"> [</w:t>
      </w:r>
      <w:r w:rsidR="002B6994" w:rsidRPr="00B740B4">
        <w:t>4</w:t>
      </w:r>
      <w:r w:rsidR="00111FE0" w:rsidRPr="00B740B4">
        <w:t xml:space="preserve">]), their greeting of </w:t>
      </w:r>
      <w:r w:rsidRPr="00B740B4">
        <w:t>the king (e.g., 3:9), the requirement to be told both dream and interpretat</w:t>
      </w:r>
      <w:r w:rsidR="002B6994" w:rsidRPr="00B740B4">
        <w:t>ion (5:7, cf. the wording of 4:9 [6</w:t>
      </w:r>
      <w:r w:rsidRPr="00B740B4">
        <w:t xml:space="preserve">]), the issuing of solemn and </w:t>
      </w:r>
      <w:r w:rsidR="003F14FD" w:rsidRPr="00B740B4">
        <w:t>unalterable royal decisions (6:8 [9</w:t>
      </w:r>
      <w:r w:rsidRPr="00B740B4">
        <w:t>]), the threat of dismemberment and destruction of property (3:29), the king’s fury (3:19), the severity of his edict (3:22), Daniel’s coming befo</w:t>
      </w:r>
      <w:r w:rsidR="00391014" w:rsidRPr="00B740B4">
        <w:t>re the king after the expert</w:t>
      </w:r>
      <w:r w:rsidR="002B6994" w:rsidRPr="00B740B4">
        <w:t>s have failed (4:8 [5</w:t>
      </w:r>
      <w:r w:rsidRPr="00B740B4">
        <w:t>]), Daniel’s going ho</w:t>
      </w:r>
      <w:r w:rsidR="003F14FD" w:rsidRPr="00B740B4">
        <w:t>me to pray and give thanks (6:10 [11</w:t>
      </w:r>
      <w:r w:rsidRPr="00B740B4">
        <w:t xml:space="preserve">]), the term </w:t>
      </w:r>
      <w:r w:rsidRPr="00B740B4">
        <w:rPr>
          <w:i/>
        </w:rPr>
        <w:t>mystery</w:t>
      </w:r>
      <w:r w:rsidR="002B6994" w:rsidRPr="00B740B4">
        <w:t xml:space="preserve"> (4:9 [6</w:t>
      </w:r>
      <w:r w:rsidRPr="00B740B4">
        <w:t xml:space="preserve">]), the identity of </w:t>
      </w:r>
      <w:r w:rsidR="00111FE0" w:rsidRPr="00B740B4">
        <w:t xml:space="preserve">the </w:t>
      </w:r>
      <w:r w:rsidR="001F5F04" w:rsidRPr="00B740B4">
        <w:t>three other faithful Judahite</w:t>
      </w:r>
      <w:r w:rsidRPr="00B740B4">
        <w:t>s (3:12), God as the one who deposes and sets up</w:t>
      </w:r>
      <w:r w:rsidR="002B6994" w:rsidRPr="00B740B4">
        <w:t xml:space="preserve"> kings (4:17 [14</w:t>
      </w:r>
      <w:r w:rsidRPr="00B740B4">
        <w:t>]; 5:2</w:t>
      </w:r>
      <w:r w:rsidR="001F6F3D" w:rsidRPr="00B740B4">
        <w:t>0], Ary</w:t>
      </w:r>
      <w:r w:rsidRPr="00B740B4">
        <w:t xml:space="preserve">ok’s urgency (3:24; 6:19 [20]), Daniel’s description as one of the Judahite exiles when he is introduced to the king </w:t>
      </w:r>
      <w:r w:rsidR="002B6994" w:rsidRPr="00B740B4">
        <w:t>(5:13), his Babylonian name (4:8 [5</w:t>
      </w:r>
      <w:r w:rsidRPr="00B740B4">
        <w:t xml:space="preserve">]), the king’s question regarding Daniel’s ability to fulfill both parts of the interpretive task (5:16), the expression </w:t>
      </w:r>
      <w:r w:rsidR="00934A11" w:rsidRPr="00B740B4">
        <w:t>“</w:t>
      </w:r>
      <w:r w:rsidRPr="00B740B4">
        <w:t>the vision that came into your head as you lay in bed</w:t>
      </w:r>
      <w:r w:rsidR="00934A11" w:rsidRPr="00B740B4">
        <w:t>”</w:t>
      </w:r>
      <w:r w:rsidR="002B6994" w:rsidRPr="00B740B4">
        <w:t xml:space="preserve"> (4:10 [7</w:t>
      </w:r>
      <w:r w:rsidRPr="00B740B4">
        <w:t>]), the statue and its gold (3:1), Nebuchadnezzar’s being given royal authority, sov</w:t>
      </w:r>
      <w:r w:rsidR="002B6994" w:rsidRPr="00B740B4">
        <w:t>ereignty, power, and honor (4:30 [27</w:t>
      </w:r>
      <w:r w:rsidRPr="00B740B4">
        <w:t>]; 5:18), his ruling over the animals of the wild and the birds of the air (4:</w:t>
      </w:r>
      <w:r w:rsidR="002B6994" w:rsidRPr="00B740B4">
        <w:t>21-22 [18–19</w:t>
      </w:r>
      <w:r w:rsidRPr="00B740B4">
        <w:t>]), the eventual inheriting of sovereignty by a joint empire (5:28), the regime established by God which lasts for ever (</w:t>
      </w:r>
      <w:r w:rsidR="002B6994" w:rsidRPr="00B740B4">
        <w:t>4:3 [3:33</w:t>
      </w:r>
      <w:r w:rsidRPr="00B740B4">
        <w:t>]), Nebuchadnezzar’s falling prostrate before Daniel (the phrase comes six times in chap. 3), Daniel</w:t>
      </w:r>
      <w:r w:rsidR="00391014" w:rsidRPr="00B740B4">
        <w:t>’s position as head of the experts</w:t>
      </w:r>
      <w:r w:rsidR="002B6994" w:rsidRPr="00B740B4">
        <w:t xml:space="preserve"> (4:9 [6</w:t>
      </w:r>
      <w:r w:rsidRPr="00B740B4">
        <w:t xml:space="preserve">]) but having no role in the administration of the affairs of the province of Babylon, for which his friends were responsible (3:12). It might be that these later chapters depend on chap. 2, but it is simpler to assume that chap. 2 was written </w:t>
      </w:r>
      <w:r w:rsidR="00330C0F">
        <w:t>in light</w:t>
      </w:r>
      <w:r w:rsidR="00111FE0" w:rsidRPr="00B740B4">
        <w:t xml:space="preserve"> of them</w:t>
      </w:r>
      <w:r w:rsidRPr="00B740B4">
        <w:t>, as it reflects other parts of the OT</w:t>
      </w:r>
      <w:r w:rsidR="00111FE0" w:rsidRPr="00B740B4">
        <w:t>.</w:t>
      </w:r>
      <w:r w:rsidRPr="00B740B4">
        <w:t xml:space="preserve"> A fuller way of describing its midrashic aspect, then, is to see it as a rereading of </w:t>
      </w:r>
      <w:r w:rsidRPr="00B740B4">
        <w:lastRenderedPageBreak/>
        <w:t xml:space="preserve">Dan 3–6 </w:t>
      </w:r>
      <w:r w:rsidR="00330C0F">
        <w:t>in light</w:t>
      </w:r>
      <w:r w:rsidRPr="00B740B4">
        <w:t xml:space="preserve"> of Gen 41, Isa 40–66, and other passages; or as a reaffirmation of fundamental themes of Isa 40–66 on the basis of the stories told in chaps. 3–6.</w:t>
      </w:r>
      <w:r w:rsidRPr="00B740B4">
        <w:rPr>
          <w:rStyle w:val="FootnoteReference"/>
        </w:rPr>
        <w:footnoteReference w:id="451"/>
      </w:r>
    </w:p>
    <w:p w:rsidR="00C35D91" w:rsidRPr="00B740B4" w:rsidRDefault="00C35D91" w:rsidP="009479B1">
      <w:pPr>
        <w:pStyle w:val="Heading2"/>
      </w:pPr>
      <w:r w:rsidRPr="00B740B4">
        <w:t>Comment</w:t>
      </w:r>
    </w:p>
    <w:p w:rsidR="006E3C15" w:rsidRPr="00B740B4" w:rsidRDefault="00C35D91" w:rsidP="00C35D91">
      <w:r w:rsidRPr="00B740B4">
        <w:rPr>
          <w:b/>
        </w:rPr>
        <w:t xml:space="preserve">1 </w:t>
      </w:r>
      <w:r w:rsidRPr="00B740B4">
        <w:t xml:space="preserve">On such dates, see on </w:t>
      </w:r>
      <w:r w:rsidR="00427DDE" w:rsidRPr="00B740B4">
        <w:t>1:1. This dat</w:t>
      </w:r>
      <w:r w:rsidR="00041922" w:rsidRPr="00B740B4">
        <w:t>e</w:t>
      </w:r>
      <w:r w:rsidR="00F832D2" w:rsidRPr="00B740B4">
        <w:t xml:space="preserve"> may </w:t>
      </w:r>
      <w:r w:rsidRPr="00B740B4">
        <w:t>suggest the period just after Neb</w:t>
      </w:r>
      <w:r w:rsidR="00041922" w:rsidRPr="00B740B4">
        <w:t>uchadnezzar’s great triumph at Kark</w:t>
      </w:r>
      <w:r w:rsidRPr="00B740B4">
        <w:t>emish: the story then cuts the victor down to size.</w:t>
      </w:r>
      <w:r w:rsidR="00041922" w:rsidRPr="00B740B4">
        <w:rPr>
          <w:rStyle w:val="FootnoteReference"/>
        </w:rPr>
        <w:footnoteReference w:id="452"/>
      </w:r>
      <w:r w:rsidR="007975A0">
        <w:t xml:space="preserve"> But t</w:t>
      </w:r>
      <w:r w:rsidRPr="00B740B4">
        <w:t>he date</w:t>
      </w:r>
      <w:r w:rsidR="00041922" w:rsidRPr="00B740B4">
        <w:t xml:space="preserve"> </w:t>
      </w:r>
      <w:r w:rsidR="00427DDE" w:rsidRPr="00B740B4">
        <w:t xml:space="preserve">is a surprise after </w:t>
      </w:r>
      <w:r w:rsidR="00041922" w:rsidRPr="00B740B4">
        <w:t>1:5, 18</w:t>
      </w:r>
      <w:r w:rsidR="00427DDE" w:rsidRPr="00B740B4">
        <w:t>-20</w:t>
      </w:r>
      <w:r w:rsidR="00041922" w:rsidRPr="00B740B4">
        <w:t xml:space="preserve">. </w:t>
      </w:r>
      <w:r w:rsidR="00427DDE" w:rsidRPr="00B740B4">
        <w:t>It “both orientates and disorientates the reader.”</w:t>
      </w:r>
      <w:r w:rsidR="00427DDE" w:rsidRPr="00B740B4">
        <w:rPr>
          <w:vertAlign w:val="superscript"/>
        </w:rPr>
        <w:footnoteReference w:id="453"/>
      </w:r>
      <w:r w:rsidR="00427DDE" w:rsidRPr="00B740B4">
        <w:t xml:space="preserve"> </w:t>
      </w:r>
      <w:r w:rsidR="007975A0">
        <w:t>While i</w:t>
      </w:r>
      <w:r w:rsidRPr="00B740B4">
        <w:t xml:space="preserve">t can be harmonized with </w:t>
      </w:r>
      <w:r w:rsidR="008818B6" w:rsidRPr="00B740B4">
        <w:t>chap.</w:t>
      </w:r>
      <w:r w:rsidRPr="00B740B4">
        <w:t xml:space="preserve"> 1 by assuming i</w:t>
      </w:r>
      <w:r w:rsidR="007975A0">
        <w:t>t uses the Babylonian reckoning,</w:t>
      </w:r>
      <w:r w:rsidR="00041922" w:rsidRPr="00B740B4">
        <w:rPr>
          <w:rStyle w:val="FootnoteReference"/>
        </w:rPr>
        <w:footnoteReference w:id="454"/>
      </w:r>
      <w:r w:rsidR="007975A0">
        <w:t xml:space="preserve"> </w:t>
      </w:r>
      <w:r w:rsidR="00427DDE" w:rsidRPr="00B740B4">
        <w:t>i</w:t>
      </w:r>
      <w:r w:rsidR="006E3C15" w:rsidRPr="00B740B4">
        <w:t>t’</w:t>
      </w:r>
      <w:r w:rsidR="004E3F49" w:rsidRPr="00B740B4">
        <w:t>s not so odd that an episode in a story</w:t>
      </w:r>
      <w:r w:rsidR="006E3C15" w:rsidRPr="00B740B4">
        <w:t xml:space="preserve"> go</w:t>
      </w:r>
      <w:r w:rsidR="004E3F49" w:rsidRPr="00B740B4">
        <w:t>es</w:t>
      </w:r>
      <w:r w:rsidR="006E3C15" w:rsidRPr="00B740B4">
        <w:t xml:space="preserve"> back on the conclusion of the previous episode, and </w:t>
      </w:r>
      <w:r w:rsidR="00427DDE" w:rsidRPr="00B740B4">
        <w:t>if Dan</w:t>
      </w:r>
      <w:r w:rsidR="006E3C15" w:rsidRPr="00B740B4">
        <w:t xml:space="preserve"> 2 is doing so, it would cohere with the way Daniel and his friends are not among the experts summoned in </w:t>
      </w:r>
      <w:r w:rsidR="00AF422C">
        <w:t>v</w:t>
      </w:r>
      <w:r w:rsidR="006E3C15" w:rsidRPr="00B740B4">
        <w:t xml:space="preserve"> 2.</w:t>
      </w:r>
      <w:r w:rsidR="00B33D1F" w:rsidRPr="00B740B4">
        <w:t xml:space="preserve"> </w:t>
      </w:r>
      <w:r w:rsidR="00427DDE" w:rsidRPr="00B740B4">
        <w:t xml:space="preserve">The denouements in 1:18–20 and 2:45–49 might then refer to the same events. </w:t>
      </w:r>
      <w:r w:rsidR="00B33D1F" w:rsidRPr="00B740B4">
        <w:t xml:space="preserve">On the other hand, our knowing </w:t>
      </w:r>
      <w:r w:rsidR="00427DDE" w:rsidRPr="00B740B4">
        <w:t xml:space="preserve">from chap. 1 </w:t>
      </w:r>
      <w:r w:rsidR="00B33D1F" w:rsidRPr="00B740B4">
        <w:t xml:space="preserve">that the four Judahites are way better interpreters makes us not so surprised when </w:t>
      </w:r>
      <w:r w:rsidR="0026216E" w:rsidRPr="00B740B4">
        <w:t xml:space="preserve">in chap. 2 </w:t>
      </w:r>
      <w:r w:rsidR="00B33D1F" w:rsidRPr="00B740B4">
        <w:t>the best interpreters in Babylon f</w:t>
      </w:r>
      <w:r w:rsidR="0026216E" w:rsidRPr="00B740B4">
        <w:t xml:space="preserve">ail, </w:t>
      </w:r>
      <w:r w:rsidR="00B33D1F" w:rsidRPr="00B740B4">
        <w:t>open</w:t>
      </w:r>
      <w:r w:rsidR="0026216E" w:rsidRPr="00B740B4">
        <w:t>ing</w:t>
      </w:r>
      <w:r w:rsidR="00B33D1F" w:rsidRPr="00B740B4">
        <w:t xml:space="preserve"> up the way for them to succeed. “While Nebuchadnezzar rightfully expects results, the reader intrinsically expects failure from the wise men.”</w:t>
      </w:r>
      <w:r w:rsidR="00B33D1F" w:rsidRPr="00B740B4">
        <w:rPr>
          <w:rStyle w:val="FootnoteReference"/>
        </w:rPr>
        <w:footnoteReference w:id="455"/>
      </w:r>
      <w:r w:rsidR="0026216E" w:rsidRPr="00B740B4">
        <w:t xml:space="preserve"> </w:t>
      </w:r>
      <w:r w:rsidR="007975A0">
        <w:t>Perhaps anyway the date is</w:t>
      </w:r>
      <w:r w:rsidR="007975A0" w:rsidRPr="007975A0">
        <w:t xml:space="preserve"> a fictional note designed to add to the impression of actuality rather than to convey historical information, so that the question of its relationship to chap. 1 need not be raised</w:t>
      </w:r>
      <w:r w:rsidR="007975A0">
        <w:t>.</w:t>
      </w:r>
      <w:r w:rsidR="007975A0" w:rsidRPr="007975A0">
        <w:rPr>
          <w:vertAlign w:val="superscript"/>
        </w:rPr>
        <w:footnoteReference w:id="456"/>
      </w:r>
    </w:p>
    <w:p w:rsidR="00C35D91" w:rsidRPr="00B740B4" w:rsidRDefault="00C35D91" w:rsidP="00C35D91">
      <w:r w:rsidRPr="00B740B4">
        <w:rPr>
          <w:b/>
        </w:rPr>
        <w:t xml:space="preserve">2 </w:t>
      </w:r>
      <w:r w:rsidRPr="00B740B4">
        <w:t>In OT, NT, and elsewhere in the ancient world, dreams feature both as ordinary human experiences and as means of divine communication. Of the latter</w:t>
      </w:r>
      <w:r w:rsidR="0026216E" w:rsidRPr="00B740B4">
        <w:t xml:space="preserve"> kind</w:t>
      </w:r>
      <w:r w:rsidRPr="00B740B4">
        <w:t>, some bring a straightfo</w:t>
      </w:r>
      <w:r w:rsidR="009C749D" w:rsidRPr="00B740B4">
        <w:t xml:space="preserve">rward, verbal message, while </w:t>
      </w:r>
      <w:r w:rsidRPr="00B740B4">
        <w:t xml:space="preserve">others </w:t>
      </w:r>
      <w:r w:rsidR="009C749D" w:rsidRPr="00B740B4">
        <w:t xml:space="preserve">convey the message </w:t>
      </w:r>
      <w:r w:rsidRPr="00B740B4">
        <w:t>in symbols that require interpretation. For their interpretation, one could look to further divine revelation, to a diviner’s intuition, or to the collections of oneirological o</w:t>
      </w:r>
      <w:r w:rsidR="007975A0">
        <w:t>mens that might provide a releva</w:t>
      </w:r>
      <w:r w:rsidRPr="00B740B4">
        <w:t xml:space="preserve">nt precedent. Neither Israel nor other cultures give dreams a central place as means of divine communication, but neither do they take a negative attitude to the phenomenon as such (though see Jer 23:9–40; </w:t>
      </w:r>
      <w:r w:rsidRPr="007975A0">
        <w:rPr>
          <w:i/>
        </w:rPr>
        <w:t>b. Berakot</w:t>
      </w:r>
      <w:r w:rsidRPr="00B740B4">
        <w:t xml:space="preserve"> 55–57 offers an interesting discussion)</w:t>
      </w:r>
      <w:r w:rsidR="009C749D" w:rsidRPr="00B740B4">
        <w:t>.</w:t>
      </w:r>
      <w:r w:rsidR="009C749D" w:rsidRPr="00B740B4">
        <w:rPr>
          <w:rStyle w:val="FootnoteReference"/>
        </w:rPr>
        <w:footnoteReference w:id="457"/>
      </w:r>
      <w:r w:rsidRPr="00B740B4">
        <w:t xml:space="preserve"> Nebuchadnezzar’s summoning of the diviners implies that the royal dream is assumed to be of state significance, not that he is troubled by an ordinary private dream. </w:t>
      </w:r>
      <w:r w:rsidR="0028028A" w:rsidRPr="00B740B4">
        <w:t>His assumption parallels the implications of reports of other royal dreams in the Middle East, includi</w:t>
      </w:r>
      <w:r w:rsidR="007975A0">
        <w:t>ng Pharaoh’s within the OT (Gen</w:t>
      </w:r>
      <w:r w:rsidR="0028028A" w:rsidRPr="00B740B4">
        <w:t xml:space="preserve"> 41). </w:t>
      </w:r>
      <w:r w:rsidRPr="00B740B4">
        <w:t>It is the diviners’ responsibility to interpre</w:t>
      </w:r>
      <w:r w:rsidR="0026216E" w:rsidRPr="00B740B4">
        <w:t>t omens of various kinds for the king</w:t>
      </w:r>
      <w:r w:rsidRPr="00B740B4">
        <w:t xml:space="preserve"> and to advise him on how to avert </w:t>
      </w:r>
      <w:r w:rsidR="0026216E" w:rsidRPr="00B740B4">
        <w:t xml:space="preserve">any </w:t>
      </w:r>
      <w:r w:rsidRPr="00B740B4">
        <w:t>misfortune threatened by them.</w:t>
      </w:r>
      <w:r w:rsidR="00543561" w:rsidRPr="00B740B4">
        <w:rPr>
          <w:rStyle w:val="FootnoteReference"/>
        </w:rPr>
        <w:footnoteReference w:id="458"/>
      </w:r>
      <w:r w:rsidRPr="00B740B4">
        <w:t xml:space="preserve"> </w:t>
      </w:r>
      <w:r w:rsidR="0026216E" w:rsidRPr="00B740B4">
        <w:t>Their role in Babylon parallels</w:t>
      </w:r>
      <w:r w:rsidRPr="00B740B4">
        <w:t xml:space="preserve"> that of prophets in Israel (e.g., 2 Kgs 23).</w:t>
      </w:r>
      <w:r w:rsidR="007D3B98" w:rsidRPr="00B740B4">
        <w:rPr>
          <w:rStyle w:val="FootnoteReference"/>
        </w:rPr>
        <w:footnoteReference w:id="459"/>
      </w:r>
    </w:p>
    <w:p w:rsidR="00C35D91" w:rsidRPr="00B740B4" w:rsidRDefault="009C749D" w:rsidP="00C35D91">
      <w:r w:rsidRPr="00B740B4">
        <w:rPr>
          <w:i/>
        </w:rPr>
        <w:t>Diviner</w:t>
      </w:r>
      <w:r w:rsidR="00C35D91" w:rsidRPr="00B740B4">
        <w:t xml:space="preserve"> is by origin an Egyptian</w:t>
      </w:r>
      <w:r w:rsidR="00C8020F" w:rsidRPr="00B740B4">
        <w:t xml:space="preserve"> word denoting priests/interpreters</w:t>
      </w:r>
      <w:r w:rsidR="00C35D91" w:rsidRPr="00B740B4">
        <w:t xml:space="preserve"> skilled in cuneiform. It is used for dream interpreters at the Assyrian court</w:t>
      </w:r>
      <w:r w:rsidRPr="00B740B4">
        <w:t xml:space="preserve"> and in the OT for the </w:t>
      </w:r>
      <w:r w:rsidR="00C35D91" w:rsidRPr="00B740B4">
        <w:t>Egypt</w:t>
      </w:r>
      <w:r w:rsidRPr="00B740B4">
        <w:t>ian advisers</w:t>
      </w:r>
      <w:r w:rsidR="00C35D91" w:rsidRPr="00B740B4">
        <w:t xml:space="preserve"> to whom Joseph </w:t>
      </w:r>
      <w:r w:rsidR="00C35D91" w:rsidRPr="00B740B4">
        <w:lastRenderedPageBreak/>
        <w:t>proved superior; both usages make it appropriate here.</w:t>
      </w:r>
      <w:r w:rsidRPr="00B740B4">
        <w:rPr>
          <w:rStyle w:val="FootnoteReference"/>
        </w:rPr>
        <w:footnoteReference w:id="460"/>
      </w:r>
      <w:r w:rsidR="00C35D91" w:rsidRPr="00B740B4">
        <w:t xml:space="preserve"> </w:t>
      </w:r>
      <w:r w:rsidR="00044859" w:rsidRPr="00B740B4">
        <w:rPr>
          <w:i/>
        </w:rPr>
        <w:t>Chanter</w:t>
      </w:r>
      <w:r w:rsidR="00C35D91" w:rsidRPr="00B740B4">
        <w:t xml:space="preserve"> (Akk. </w:t>
      </w:r>
      <w:r w:rsidR="00C35D91" w:rsidRPr="00B740B4">
        <w:rPr>
          <w:i/>
        </w:rPr>
        <w:t>âšipu</w:t>
      </w:r>
      <w:r w:rsidR="00C35D91" w:rsidRPr="00B740B4">
        <w:t>) is a more com</w:t>
      </w:r>
      <w:r w:rsidR="00044859" w:rsidRPr="00B740B4">
        <w:t xml:space="preserve">mon Babylonian term for </w:t>
      </w:r>
      <w:r w:rsidR="00C35D91" w:rsidRPr="00B740B4">
        <w:t xml:space="preserve">practitioners </w:t>
      </w:r>
      <w:r w:rsidR="00044859" w:rsidRPr="00B740B4">
        <w:t xml:space="preserve">who are </w:t>
      </w:r>
      <w:r w:rsidR="00C35D91" w:rsidRPr="00B740B4">
        <w:t xml:space="preserve">skilled at </w:t>
      </w:r>
      <w:r w:rsidR="00044859" w:rsidRPr="00B740B4">
        <w:t>interpreting signs in people when they</w:t>
      </w:r>
      <w:r w:rsidR="00C35D91" w:rsidRPr="00B740B4">
        <w:t xml:space="preserve"> are ill</w:t>
      </w:r>
      <w:r w:rsidR="00044859" w:rsidRPr="00B740B4">
        <w:t>,</w:t>
      </w:r>
      <w:r w:rsidR="00C35D91" w:rsidRPr="00B740B4">
        <w:t xml:space="preserve"> and (presumably) at conjurations and rituals designed to influence how matters turn out for them.</w:t>
      </w:r>
      <w:r w:rsidR="00044859" w:rsidRPr="00B740B4">
        <w:rPr>
          <w:rStyle w:val="FootnoteReference"/>
        </w:rPr>
        <w:footnoteReference w:id="461"/>
      </w:r>
      <w:r w:rsidR="00044859" w:rsidRPr="00B740B4">
        <w:t xml:space="preserve"> The word </w:t>
      </w:r>
      <w:r w:rsidR="00C35D91" w:rsidRPr="00B740B4">
        <w:t>may be cognate with BH</w:t>
      </w:r>
      <w:r w:rsidR="000F5F17" w:rsidRPr="00B740B4">
        <w:t xml:space="preserve"> </w:t>
      </w:r>
      <w:r w:rsidR="000F5F17" w:rsidRPr="00B740B4">
        <w:rPr>
          <w:rFonts w:ascii="Arial" w:hAnsi="Arial" w:cs="Arial"/>
        </w:rPr>
        <w:t>אסף</w:t>
      </w:r>
      <w:r w:rsidR="00C35D91" w:rsidRPr="00B740B4">
        <w:t xml:space="preserve">, </w:t>
      </w:r>
      <w:r w:rsidR="00934A11" w:rsidRPr="00B740B4">
        <w:t>“</w:t>
      </w:r>
      <w:r w:rsidR="00C35D91" w:rsidRPr="00B740B4">
        <w:t>cure</w:t>
      </w:r>
      <w:r w:rsidR="00934A11" w:rsidRPr="00B740B4">
        <w:t>”</w:t>
      </w:r>
      <w:r w:rsidR="00C35D91" w:rsidRPr="00B740B4">
        <w:t xml:space="preserve"> (2 Kgs 5): cf. the names of Asaph, the head of a guild of musicians and prophets, and of the diviner Joseph.</w:t>
      </w:r>
      <w:r w:rsidR="00044859" w:rsidRPr="00B740B4">
        <w:rPr>
          <w:rStyle w:val="FootnoteReference"/>
        </w:rPr>
        <w:footnoteReference w:id="462"/>
      </w:r>
      <w:r w:rsidR="00C35D91" w:rsidRPr="00B740B4">
        <w:t xml:space="preserve"> </w:t>
      </w:r>
      <w:r w:rsidR="00931D41" w:rsidRPr="00B740B4">
        <w:t xml:space="preserve">The Akkadian word is commonly rendered </w:t>
      </w:r>
      <w:r w:rsidR="00934A11" w:rsidRPr="00B740B4">
        <w:t>“</w:t>
      </w:r>
      <w:r w:rsidR="00931D41" w:rsidRPr="00B740B4">
        <w:t>exorcist,</w:t>
      </w:r>
      <w:r w:rsidR="00934A11" w:rsidRPr="00B740B4">
        <w:t>”</w:t>
      </w:r>
      <w:r w:rsidR="00931D41" w:rsidRPr="00B740B4">
        <w:t xml:space="preserve"> in the sense that they know how to deal with demonic activity.</w:t>
      </w:r>
      <w:r w:rsidR="00931D41" w:rsidRPr="00B740B4">
        <w:rPr>
          <w:rStyle w:val="FootnoteReference"/>
        </w:rPr>
        <w:footnoteReference w:id="463"/>
      </w:r>
      <w:r w:rsidR="00931D41" w:rsidRPr="00B740B4">
        <w:t xml:space="preserve"> </w:t>
      </w:r>
      <w:r w:rsidR="00C8020F" w:rsidRPr="00B740B4">
        <w:rPr>
          <w:i/>
        </w:rPr>
        <w:t>Charmer</w:t>
      </w:r>
      <w:r w:rsidR="00C35D91" w:rsidRPr="00B740B4">
        <w:t xml:space="preserve"> (Akk. </w:t>
      </w:r>
      <w:r w:rsidR="00C35D91" w:rsidRPr="00B740B4">
        <w:rPr>
          <w:i/>
        </w:rPr>
        <w:t>kašapu</w:t>
      </w:r>
      <w:r w:rsidR="00C35D91" w:rsidRPr="00B740B4">
        <w:t>) is another word for people ski</w:t>
      </w:r>
      <w:r w:rsidR="00C8020F" w:rsidRPr="00B740B4">
        <w:t>lled in charms and incantations; it is</w:t>
      </w:r>
      <w:r w:rsidR="00C35D91" w:rsidRPr="00B740B4">
        <w:t xml:space="preserve"> a more common OT term</w:t>
      </w:r>
      <w:r w:rsidR="00C8020F" w:rsidRPr="00B740B4">
        <w:t>,</w:t>
      </w:r>
      <w:r w:rsidR="00C35D91" w:rsidRPr="00B740B4">
        <w:t xml:space="preserve"> used to denote the not merely pathetic but sin</w:t>
      </w:r>
      <w:r w:rsidR="00C8020F" w:rsidRPr="00B740B4">
        <w:t>ful practitioners of alien conjuration</w:t>
      </w:r>
      <w:r w:rsidR="00C35D91" w:rsidRPr="00B740B4">
        <w:t xml:space="preserve"> and divina</w:t>
      </w:r>
      <w:r w:rsidR="00C8020F" w:rsidRPr="00B740B4">
        <w:t xml:space="preserve">tion (e.g., Isa 47:9, 12). On </w:t>
      </w:r>
      <w:r w:rsidR="00C8020F" w:rsidRPr="00B740B4">
        <w:rPr>
          <w:i/>
        </w:rPr>
        <w:t>Kasdite</w:t>
      </w:r>
      <w:r w:rsidR="00C8020F" w:rsidRPr="00B740B4">
        <w:t>,</w:t>
      </w:r>
      <w:r w:rsidR="00C35D91" w:rsidRPr="00B740B4">
        <w:t xml:space="preserve"> see </w:t>
      </w:r>
      <w:r w:rsidR="00C8020F" w:rsidRPr="00B740B4">
        <w:t xml:space="preserve">the </w:t>
      </w:r>
      <w:r w:rsidR="00C8020F" w:rsidRPr="00B740B4">
        <w:rPr>
          <w:i/>
        </w:rPr>
        <w:t xml:space="preserve">Comment </w:t>
      </w:r>
      <w:r w:rsidR="007975A0">
        <w:t>on 1:3–5; the term</w:t>
      </w:r>
      <w:r w:rsidR="00C35D91" w:rsidRPr="00B740B4">
        <w:t xml:space="preserve"> is al</w:t>
      </w:r>
      <w:r w:rsidR="00C8020F" w:rsidRPr="00B740B4">
        <w:t>so used (e.g., v 4) to denote the group of practitioner</w:t>
      </w:r>
      <w:r w:rsidR="0026216E" w:rsidRPr="00B740B4">
        <w:t>s</w:t>
      </w:r>
      <w:r w:rsidR="008673DA" w:rsidRPr="00B740B4">
        <w:t xml:space="preserve"> as a whole, as are </w:t>
      </w:r>
      <w:r w:rsidR="0026216E" w:rsidRPr="00B740B4">
        <w:t xml:space="preserve">the words </w:t>
      </w:r>
      <w:r w:rsidR="008673DA" w:rsidRPr="00B740B4">
        <w:rPr>
          <w:i/>
        </w:rPr>
        <w:t>expert</w:t>
      </w:r>
      <w:r w:rsidR="00C35D91" w:rsidRPr="00B740B4">
        <w:rPr>
          <w:i/>
        </w:rPr>
        <w:t>s</w:t>
      </w:r>
      <w:r w:rsidR="0026216E" w:rsidRPr="00B740B4">
        <w:t>, conventionally “wise men”</w:t>
      </w:r>
      <w:r w:rsidR="00C35D91" w:rsidRPr="00B740B4">
        <w:t xml:space="preserve"> (e.g., v 12) and </w:t>
      </w:r>
      <w:r w:rsidR="00C35D91" w:rsidRPr="00B740B4">
        <w:rPr>
          <w:i/>
        </w:rPr>
        <w:t>diviners</w:t>
      </w:r>
      <w:r w:rsidR="002B6994" w:rsidRPr="00B740B4">
        <w:t xml:space="preserve"> (4:9 [6</w:t>
      </w:r>
      <w:r w:rsidR="008673DA" w:rsidRPr="00B740B4">
        <w:t xml:space="preserve">]). The </w:t>
      </w:r>
      <w:r w:rsidR="00934A11" w:rsidRPr="00B740B4">
        <w:t>“</w:t>
      </w:r>
      <w:r w:rsidR="008673DA" w:rsidRPr="00B740B4">
        <w:t>experts,</w:t>
      </w:r>
      <w:r w:rsidR="00934A11" w:rsidRPr="00B740B4">
        <w:t>”</w:t>
      </w:r>
      <w:r w:rsidR="008673DA" w:rsidRPr="00B740B4">
        <w:t xml:space="preserve"> then, are not smart people</w:t>
      </w:r>
      <w:r w:rsidR="00C35D91" w:rsidRPr="00B740B4">
        <w:t xml:space="preserve"> such as Proverbs speaks of but </w:t>
      </w:r>
      <w:r w:rsidR="008673DA" w:rsidRPr="00B740B4">
        <w:t xml:space="preserve">authorities </w:t>
      </w:r>
      <w:r w:rsidR="00884A2D" w:rsidRPr="00B740B4">
        <w:t>in esoteric knowledge</w:t>
      </w:r>
      <w:r w:rsidR="00C35D91" w:rsidRPr="00B740B4">
        <w:t xml:space="preserve"> and mantic arts</w:t>
      </w:r>
      <w:r w:rsidR="0026216E" w:rsidRPr="00B740B4">
        <w:t>, people who can resolve enigmas</w:t>
      </w:r>
      <w:r w:rsidR="00C35D91" w:rsidRPr="00B740B4">
        <w:t xml:space="preserve"> (as sometimes in BH).</w:t>
      </w:r>
      <w:r w:rsidR="00C8020F" w:rsidRPr="00B740B4">
        <w:rPr>
          <w:rStyle w:val="FootnoteReference"/>
        </w:rPr>
        <w:footnoteReference w:id="464"/>
      </w:r>
      <w:r w:rsidR="00C35D91" w:rsidRPr="00B740B4">
        <w:t xml:space="preserve"> A further term, גזרין</w:t>
      </w:r>
      <w:r w:rsidR="007975A0">
        <w:t>, appears first in 2:27, for which</w:t>
      </w:r>
      <w:r w:rsidR="00C8020F" w:rsidRPr="00B740B4">
        <w:t xml:space="preserve">he meaning </w:t>
      </w:r>
      <w:r w:rsidR="00C8020F" w:rsidRPr="00B740B4">
        <w:rPr>
          <w:i/>
        </w:rPr>
        <w:t>exorcist</w:t>
      </w:r>
      <w:r w:rsidR="00C35D91" w:rsidRPr="00B740B4">
        <w:t xml:space="preserve"> is suggested by its use in 4QPrNab 1.4.</w:t>
      </w:r>
      <w:r w:rsidR="00C8020F" w:rsidRPr="00B740B4">
        <w:t xml:space="preserve"> But</w:t>
      </w:r>
      <w:r w:rsidR="00C35D91" w:rsidRPr="00B740B4">
        <w:t xml:space="preserve"> גזר means </w:t>
      </w:r>
      <w:r w:rsidR="00934A11" w:rsidRPr="00B740B4">
        <w:t>“</w:t>
      </w:r>
      <w:r w:rsidR="00C35D91" w:rsidRPr="00B740B4">
        <w:t>cut</w:t>
      </w:r>
      <w:r w:rsidR="00934A11" w:rsidRPr="00B740B4">
        <w:t>”</w:t>
      </w:r>
      <w:r w:rsidR="00C35D91" w:rsidRPr="00B740B4">
        <w:t xml:space="preserve"> and thus </w:t>
      </w:r>
      <w:r w:rsidR="00934A11" w:rsidRPr="00B740B4">
        <w:t>“</w:t>
      </w:r>
      <w:r w:rsidR="00C35D91" w:rsidRPr="00B740B4">
        <w:t>determine</w:t>
      </w:r>
      <w:r w:rsidR="00934A11" w:rsidRPr="00B740B4">
        <w:t>”</w:t>
      </w:r>
      <w:r w:rsidR="00C35D91" w:rsidRPr="00B740B4">
        <w:t xml:space="preserve">: cf. Symmachus θύτοι, Vg </w:t>
      </w:r>
      <w:r w:rsidR="00C35D91" w:rsidRPr="00B740B4">
        <w:rPr>
          <w:i/>
        </w:rPr>
        <w:t>aruspix</w:t>
      </w:r>
      <w:r w:rsidR="00C35D91" w:rsidRPr="00B740B4">
        <w:t>, perh</w:t>
      </w:r>
      <w:r w:rsidR="0026216E" w:rsidRPr="00B740B4">
        <w:t xml:space="preserve">aps implying hepatoscopers. They may be people who can </w:t>
      </w:r>
      <w:r w:rsidR="007975A0">
        <w:t>“</w:t>
      </w:r>
      <w:r w:rsidR="0026216E" w:rsidRPr="00B740B4">
        <w:t>determine</w:t>
      </w:r>
      <w:r w:rsidR="007975A0">
        <w:t>”</w:t>
      </w:r>
      <w:r w:rsidR="00BA585D" w:rsidRPr="00B740B4">
        <w:t xml:space="preserve"> the future</w:t>
      </w:r>
      <w:r w:rsidR="00B80F93" w:rsidRPr="00B740B4">
        <w:t>,</w:t>
      </w:r>
      <w:r w:rsidR="00B80F93" w:rsidRPr="00B740B4">
        <w:rPr>
          <w:rStyle w:val="FootnoteReference"/>
        </w:rPr>
        <w:footnoteReference w:id="465"/>
      </w:r>
      <w:r w:rsidR="00BA585D" w:rsidRPr="00B740B4">
        <w:t xml:space="preserve"> </w:t>
      </w:r>
      <w:r w:rsidR="007975A0">
        <w:t>make “determination</w:t>
      </w:r>
      <w:r w:rsidR="0026216E" w:rsidRPr="00B740B4">
        <w:t>s</w:t>
      </w:r>
      <w:r w:rsidR="007975A0">
        <w:t>”</w:t>
      </w:r>
      <w:r w:rsidR="0026216E" w:rsidRPr="00B740B4">
        <w:t xml:space="preserve"> regarding spirits,</w:t>
      </w:r>
      <w:r w:rsidR="00BA585D" w:rsidRPr="00B740B4">
        <w:rPr>
          <w:rStyle w:val="FootnoteReference"/>
        </w:rPr>
        <w:footnoteReference w:id="466"/>
      </w:r>
      <w:r w:rsidR="007975A0">
        <w:t xml:space="preserve"> or</w:t>
      </w:r>
      <w:r w:rsidR="00C35D91" w:rsidRPr="00B740B4">
        <w:t xml:space="preserve"> </w:t>
      </w:r>
      <w:r w:rsidR="00934A11" w:rsidRPr="00B740B4">
        <w:t>“</w:t>
      </w:r>
      <w:r w:rsidR="0026216E" w:rsidRPr="00B740B4">
        <w:t>cut</w:t>
      </w:r>
      <w:r w:rsidR="00934A11" w:rsidRPr="00B740B4">
        <w:t>”</w:t>
      </w:r>
      <w:r w:rsidR="0026216E" w:rsidRPr="00B740B4">
        <w:t xml:space="preserve"> the way off</w:t>
      </w:r>
      <w:r w:rsidR="00C35D91" w:rsidRPr="00B740B4">
        <w:t xml:space="preserve"> for evil spirits.</w:t>
      </w:r>
      <w:r w:rsidR="00B80F93" w:rsidRPr="00B740B4">
        <w:rPr>
          <w:rStyle w:val="FootnoteReference"/>
        </w:rPr>
        <w:footnoteReference w:id="467"/>
      </w:r>
    </w:p>
    <w:p w:rsidR="00C35D91" w:rsidRPr="00B740B4" w:rsidRDefault="007975A0" w:rsidP="00C35D91">
      <w:r>
        <w:t>T</w:t>
      </w:r>
      <w:r w:rsidR="00B80F93" w:rsidRPr="00B740B4">
        <w:t xml:space="preserve">he terms are </w:t>
      </w:r>
      <w:r w:rsidR="00C35D91" w:rsidRPr="00B740B4">
        <w:t>used</w:t>
      </w:r>
      <w:r w:rsidR="0026216E" w:rsidRPr="00B740B4">
        <w:t xml:space="preserve"> randomly and interchangeably. T</w:t>
      </w:r>
      <w:r w:rsidR="00C35D91" w:rsidRPr="00B740B4">
        <w:t>he author was not referring to specific groups and consciously excluding ones t</w:t>
      </w:r>
      <w:r w:rsidR="0026216E" w:rsidRPr="00B740B4">
        <w:t xml:space="preserve">hat happen not to be mentioned; </w:t>
      </w:r>
      <w:r w:rsidR="00C35D91" w:rsidRPr="00B740B4">
        <w:t>there was, indeed, no Babylonian group specifically con</w:t>
      </w:r>
      <w:r w:rsidR="00E23A0B" w:rsidRPr="00B740B4">
        <w:t>cerned with interpreting dreams</w:t>
      </w:r>
      <w:r>
        <w:t>. The words</w:t>
      </w:r>
      <w:r w:rsidR="00C35D91" w:rsidRPr="00B740B4">
        <w:t xml:space="preserve"> are </w:t>
      </w:r>
      <w:r w:rsidR="00B80F93" w:rsidRPr="00B740B4">
        <w:t>treated as</w:t>
      </w:r>
      <w:r w:rsidR="00C35D91" w:rsidRPr="00B740B4">
        <w:t xml:space="preserve"> variant synonyms for the Babylonian diviners whose role was central to Babyloni</w:t>
      </w:r>
      <w:r w:rsidR="00B80F93" w:rsidRPr="00B740B4">
        <w:t xml:space="preserve">an religious and political life; </w:t>
      </w:r>
      <w:r w:rsidR="00C35D91" w:rsidRPr="00B740B4">
        <w:t>the author uses a number of the terms in combination to convey the impression of the various guil</w:t>
      </w:r>
      <w:r w:rsidR="00E23A0B" w:rsidRPr="00B740B4">
        <w:t>ds,</w:t>
      </w:r>
      <w:r w:rsidR="00B80F93" w:rsidRPr="00B740B4">
        <w:rPr>
          <w:rStyle w:val="FootnoteReference"/>
        </w:rPr>
        <w:footnoteReference w:id="468"/>
      </w:r>
      <w:r w:rsidR="00E23A0B" w:rsidRPr="00B740B4">
        <w:t xml:space="preserve"> in a way that parallels</w:t>
      </w:r>
      <w:r w:rsidR="00C35D91" w:rsidRPr="00B740B4">
        <w:t xml:space="preserve"> the further collections of exotic foreign terms in </w:t>
      </w:r>
      <w:r w:rsidR="008818B6" w:rsidRPr="00B740B4">
        <w:t>chap.</w:t>
      </w:r>
      <w:r w:rsidR="00C35D91" w:rsidRPr="00B740B4">
        <w:t xml:space="preserve"> 3.</w:t>
      </w:r>
    </w:p>
    <w:p w:rsidR="00E23A0B" w:rsidRPr="00B740B4" w:rsidRDefault="003A5A36" w:rsidP="00C35D91">
      <w:r w:rsidRPr="00B740B4">
        <w:rPr>
          <w:b/>
        </w:rPr>
        <w:t>3–11</w:t>
      </w:r>
      <w:r w:rsidR="00775D13" w:rsidRPr="00B740B4">
        <w:t xml:space="preserve"> Has Nebuchadnezzar </w:t>
      </w:r>
      <w:r w:rsidR="00C35D91" w:rsidRPr="00B740B4">
        <w:t>forgotten his dream</w:t>
      </w:r>
      <w:r w:rsidR="00775D13" w:rsidRPr="00B740B4">
        <w:t xml:space="preserve">, or </w:t>
      </w:r>
      <w:r w:rsidR="00C35D91" w:rsidRPr="00B740B4">
        <w:t xml:space="preserve">has </w:t>
      </w:r>
      <w:r w:rsidR="00650B3E">
        <w:t xml:space="preserve">he </w:t>
      </w:r>
      <w:r w:rsidR="00C35D91" w:rsidRPr="00B740B4">
        <w:t>only a vague idea what it was about (cf. v 29a)</w:t>
      </w:r>
      <w:r w:rsidR="00775D13" w:rsidRPr="00B740B4">
        <w:t>?</w:t>
      </w:r>
      <w:r w:rsidR="00B80F93" w:rsidRPr="00B740B4">
        <w:rPr>
          <w:rStyle w:val="FootnoteReference"/>
        </w:rPr>
        <w:footnoteReference w:id="469"/>
      </w:r>
      <w:r w:rsidR="00C35D91" w:rsidRPr="00B740B4">
        <w:t xml:space="preserve"> </w:t>
      </w:r>
      <w:r w:rsidR="00E23A0B" w:rsidRPr="00B740B4">
        <w:t>“F</w:t>
      </w:r>
      <w:r w:rsidR="00EB0FB0" w:rsidRPr="00B740B4">
        <w:t>o</w:t>
      </w:r>
      <w:r w:rsidR="00324DC4" w:rsidRPr="00B740B4">
        <w:t>rgetting the details of a dream was a disaster, becas</w:t>
      </w:r>
      <w:r w:rsidR="00650B3E">
        <w:t>e one would be unable to perform</w:t>
      </w:r>
      <w:r w:rsidR="00324DC4" w:rsidRPr="00B740B4">
        <w:t xml:space="preserve"> a ritual to avert its possible evil consequences.”</w:t>
      </w:r>
      <w:r w:rsidR="00324DC4" w:rsidRPr="00B740B4">
        <w:rPr>
          <w:rStyle w:val="FootnoteReference"/>
        </w:rPr>
        <w:footnoteReference w:id="470"/>
      </w:r>
      <w:r w:rsidR="00324DC4" w:rsidRPr="00B740B4">
        <w:t xml:space="preserve"> </w:t>
      </w:r>
      <w:r w:rsidR="00E23A0B" w:rsidRPr="00B740B4">
        <w:t>But t</w:t>
      </w:r>
      <w:r w:rsidR="00775D13" w:rsidRPr="00B740B4">
        <w:t>he verses are ambiguous, which</w:t>
      </w:r>
      <w:r w:rsidR="00C35D91" w:rsidRPr="00B740B4">
        <w:t xml:space="preserve"> facilitates the motif of the </w:t>
      </w:r>
      <w:r w:rsidR="008673DA" w:rsidRPr="00B740B4">
        <w:t>expert</w:t>
      </w:r>
      <w:r w:rsidR="00C35D91" w:rsidRPr="00B740B4">
        <w:t xml:space="preserve">s’ </w:t>
      </w:r>
      <w:r w:rsidR="00496E7B" w:rsidRPr="00B740B4">
        <w:t xml:space="preserve">possible </w:t>
      </w:r>
      <w:r w:rsidR="00C35D91" w:rsidRPr="00B740B4">
        <w:t>misundersta</w:t>
      </w:r>
      <w:r w:rsidR="00775D13" w:rsidRPr="00B740B4">
        <w:t>nding of his expectation</w:t>
      </w:r>
      <w:r w:rsidR="00C35D91" w:rsidRPr="00B740B4">
        <w:t xml:space="preserve">. As the </w:t>
      </w:r>
      <w:r w:rsidR="00775D13" w:rsidRPr="00B740B4">
        <w:t>dialogue dev</w:t>
      </w:r>
      <w:r w:rsidR="00650B3E">
        <w:t>elops, they and the story’s hear</w:t>
      </w:r>
      <w:r w:rsidR="00E23A0B" w:rsidRPr="00B740B4">
        <w:t>ers con</w:t>
      </w:r>
      <w:r w:rsidR="00775D13" w:rsidRPr="00B740B4">
        <w:t>tinue</w:t>
      </w:r>
      <w:r w:rsidR="00C35D91" w:rsidRPr="00B740B4">
        <w:t xml:space="preserve"> in suspense over how much he remembers and how far he is thus capable of telling whether their account of the dream is correct, or how far v 9 is bluff. Parallels with Nabonidus’s conflict with the Babylonian priesthood</w:t>
      </w:r>
      <w:r w:rsidR="00775D13" w:rsidRPr="00B740B4">
        <w:rPr>
          <w:rStyle w:val="FootnoteReference"/>
        </w:rPr>
        <w:footnoteReference w:id="471"/>
      </w:r>
      <w:r w:rsidR="00C35D91" w:rsidRPr="00B740B4">
        <w:t xml:space="preserve"> and w</w:t>
      </w:r>
      <w:r w:rsidR="00650B3E">
        <w:t>ith Darius I’s slaughter of diviners</w:t>
      </w:r>
      <w:r w:rsidR="00C35D91" w:rsidRPr="00B740B4">
        <w:t xml:space="preserve"> (Herodotus</w:t>
      </w:r>
      <w:r w:rsidR="00B24F98">
        <w:t xml:space="preserve">, </w:t>
      </w:r>
      <w:r w:rsidR="00B24F98">
        <w:rPr>
          <w:i/>
        </w:rPr>
        <w:t>Histories</w:t>
      </w:r>
      <w:r w:rsidR="00C35D91" w:rsidRPr="00B740B4">
        <w:t xml:space="preserve"> 3.68–79) </w:t>
      </w:r>
      <w:r w:rsidR="00650B3E">
        <w:t>may underlie the story, but the parallels</w:t>
      </w:r>
      <w:r w:rsidR="00E23A0B" w:rsidRPr="00B740B4">
        <w:t xml:space="preserve"> </w:t>
      </w:r>
      <w:r w:rsidR="00650B3E">
        <w:t>are not</w:t>
      </w:r>
      <w:r w:rsidR="00C35D91" w:rsidRPr="00B740B4">
        <w:t xml:space="preserve"> clo</w:t>
      </w:r>
      <w:r w:rsidR="00E23A0B" w:rsidRPr="00B740B4">
        <w:t xml:space="preserve">se, and there are no </w:t>
      </w:r>
      <w:r w:rsidR="00E23A0B" w:rsidRPr="00B740B4">
        <w:lastRenderedPageBreak/>
        <w:t>Middle E</w:t>
      </w:r>
      <w:r w:rsidR="00855DDD" w:rsidRPr="00B740B4">
        <w:t>astern parallels for the threat of execution</w:t>
      </w:r>
      <w:r w:rsidR="008B4D1C" w:rsidRPr="00B740B4">
        <w:t xml:space="preserve"> in the case of failure to work out a dream’s meaning.</w:t>
      </w:r>
      <w:r w:rsidR="008B4D1C" w:rsidRPr="00B740B4">
        <w:rPr>
          <w:rStyle w:val="FootnoteReference"/>
        </w:rPr>
        <w:footnoteReference w:id="472"/>
      </w:r>
      <w:r w:rsidR="00E23A0B" w:rsidRPr="00B740B4">
        <w:t xml:space="preserve"> </w:t>
      </w:r>
    </w:p>
    <w:p w:rsidR="003A5A36" w:rsidRPr="00B740B4" w:rsidRDefault="00E23A0B" w:rsidP="00C35D91">
      <w:r w:rsidRPr="00B740B4">
        <w:t xml:space="preserve">In itself a </w:t>
      </w:r>
      <w:r w:rsidR="00496E7B" w:rsidRPr="00B740B4">
        <w:t xml:space="preserve">request for time </w:t>
      </w:r>
      <w:r w:rsidRPr="00B740B4">
        <w:t xml:space="preserve">(cf. v 8) </w:t>
      </w:r>
      <w:r w:rsidR="00496E7B" w:rsidRPr="00B740B4">
        <w:t xml:space="preserve">would not be unreasonable; consulting dream books and/or turning directly to a deity (as Daniel in </w:t>
      </w:r>
      <w:r w:rsidR="00650B3E">
        <w:t xml:space="preserve">due course does) would be </w:t>
      </w:r>
      <w:r w:rsidR="00496E7B" w:rsidRPr="00B740B4">
        <w:t>a regular recourse in the circumstances.</w:t>
      </w:r>
      <w:r w:rsidRPr="00B740B4">
        <w:t xml:space="preserve"> But what the king sees as t</w:t>
      </w:r>
      <w:r w:rsidR="00C35D91" w:rsidRPr="00B740B4">
        <w:t xml:space="preserve">he </w:t>
      </w:r>
      <w:r w:rsidR="008673DA" w:rsidRPr="00B740B4">
        <w:t>expert</w:t>
      </w:r>
      <w:r w:rsidR="00C35D91" w:rsidRPr="00B740B4">
        <w:t xml:space="preserve">s’ </w:t>
      </w:r>
      <w:r w:rsidR="00934A11" w:rsidRPr="00B740B4">
        <w:t>“</w:t>
      </w:r>
      <w:r w:rsidR="00C35D91" w:rsidRPr="00B740B4">
        <w:t>lying, base response</w:t>
      </w:r>
      <w:r w:rsidR="00934A11" w:rsidRPr="00B740B4">
        <w:t>”</w:t>
      </w:r>
      <w:r w:rsidR="00C35D91" w:rsidRPr="00B740B4">
        <w:t xml:space="preserve"> (v 9), uttered in the hope that the </w:t>
      </w:r>
      <w:r w:rsidR="00934A11" w:rsidRPr="00B740B4">
        <w:t>“</w:t>
      </w:r>
      <w:r w:rsidR="00C35D91" w:rsidRPr="00B740B4">
        <w:t>situation may change</w:t>
      </w:r>
      <w:r w:rsidR="00934A11" w:rsidRPr="00B740B4">
        <w:t>”</w:t>
      </w:r>
      <w:r w:rsidR="00C35D91" w:rsidRPr="00B740B4">
        <w:t xml:space="preserve"> (more literally that the time may change—i.e., </w:t>
      </w:r>
      <w:r w:rsidR="00775D13" w:rsidRPr="00B740B4">
        <w:t xml:space="preserve">that </w:t>
      </w:r>
      <w:r w:rsidR="00C35D91" w:rsidRPr="00B740B4">
        <w:t xml:space="preserve">a more propitious day </w:t>
      </w:r>
      <w:r w:rsidR="00775D13" w:rsidRPr="00B740B4">
        <w:t xml:space="preserve">may </w:t>
      </w:r>
      <w:r w:rsidR="003A5A36" w:rsidRPr="00B740B4">
        <w:t>arrive) refers to</w:t>
      </w:r>
      <w:r w:rsidR="00C35D91" w:rsidRPr="00B740B4">
        <w:t xml:space="preserve"> the </w:t>
      </w:r>
      <w:r w:rsidR="003A5A36" w:rsidRPr="00B740B4">
        <w:t>undertaking</w:t>
      </w:r>
      <w:r w:rsidR="00C35D91" w:rsidRPr="00B740B4">
        <w:t xml:space="preserve"> to provide the interpretation if t</w:t>
      </w:r>
      <w:r w:rsidR="003A5A36" w:rsidRPr="00B740B4">
        <w:t>he king</w:t>
      </w:r>
      <w:r w:rsidRPr="00B740B4">
        <w:t xml:space="preserve"> provides the dream. </w:t>
      </w:r>
      <w:r w:rsidR="00CB5131" w:rsidRPr="00B740B4">
        <w:t>The king sees the experts as</w:t>
      </w:r>
      <w:r w:rsidR="00C35D91" w:rsidRPr="00B740B4">
        <w:t xml:space="preserve"> seeking to evade</w:t>
      </w:r>
      <w:r w:rsidR="00450523" w:rsidRPr="00B740B4">
        <w:t xml:space="preserve"> </w:t>
      </w:r>
      <w:r w:rsidR="00C35D91" w:rsidRPr="00B740B4">
        <w:t xml:space="preserve">a challenge </w:t>
      </w:r>
      <w:r w:rsidR="00650B3E">
        <w:t>to show whether they have supra</w:t>
      </w:r>
      <w:r w:rsidR="00C35D91" w:rsidRPr="00B740B4">
        <w:t>normal knowledge</w:t>
      </w:r>
      <w:r w:rsidR="003A5A36" w:rsidRPr="00B740B4">
        <w:t xml:space="preserve"> by revealing what the dream was, </w:t>
      </w:r>
      <w:r w:rsidR="00C35D91" w:rsidRPr="00B740B4">
        <w:t xml:space="preserve">which the king may be able to check. For the king’s rage (v 12) cf. 3:13, 19; Esth 1:12; 7:7; Prov 16:14; 19:12; 20:2; 2 Macc 7:3. </w:t>
      </w:r>
      <w:r w:rsidR="003A5A36" w:rsidRPr="00B740B4">
        <w:t xml:space="preserve"> </w:t>
      </w:r>
    </w:p>
    <w:p w:rsidR="00C35D91" w:rsidRPr="00B740B4" w:rsidRDefault="003A5A36" w:rsidP="00C35D91">
      <w:r w:rsidRPr="00B740B4">
        <w:rPr>
          <w:b/>
        </w:rPr>
        <w:t xml:space="preserve">13-16 </w:t>
      </w:r>
      <w:r w:rsidR="00F14F59" w:rsidRPr="00B740B4">
        <w:t xml:space="preserve">Daniel and his friends had </w:t>
      </w:r>
      <w:r w:rsidR="00650B3E">
        <w:t xml:space="preserve">apparently </w:t>
      </w:r>
      <w:r w:rsidR="00F14F59" w:rsidRPr="00B740B4">
        <w:t xml:space="preserve">not yet attained the renown of which 1:19-20 speaks. </w:t>
      </w:r>
      <w:r w:rsidR="00C35D91" w:rsidRPr="00B740B4">
        <w:t>Historically, entering the king’s presence (v 16) demands protocol that is ignored here (contrast vv 24–25; Esth 4:11;</w:t>
      </w:r>
      <w:r w:rsidR="00E86B1D" w:rsidRPr="00B740B4">
        <w:t xml:space="preserve"> Herodotus</w:t>
      </w:r>
      <w:r w:rsidR="00B24F98">
        <w:t xml:space="preserve">, </w:t>
      </w:r>
      <w:r w:rsidR="00B24F98">
        <w:rPr>
          <w:i/>
        </w:rPr>
        <w:t>Histories</w:t>
      </w:r>
      <w:r w:rsidR="00E86B1D" w:rsidRPr="00B740B4">
        <w:t xml:space="preserve"> 3.140; Josephus </w:t>
      </w:r>
      <w:r w:rsidR="00E86B1D" w:rsidRPr="00B740B4">
        <w:rPr>
          <w:i/>
        </w:rPr>
        <w:t>Antiquities</w:t>
      </w:r>
      <w:r w:rsidR="00650B3E">
        <w:rPr>
          <w:i/>
        </w:rPr>
        <w:t xml:space="preserve"> </w:t>
      </w:r>
      <w:r w:rsidR="00C35D91" w:rsidRPr="00B740B4">
        <w:t xml:space="preserve">10.10.3 [10.198]), perhaps partly to underline the contrast between Daniel’s confidence and the </w:t>
      </w:r>
      <w:r w:rsidR="008673DA" w:rsidRPr="00B740B4">
        <w:t>expert</w:t>
      </w:r>
      <w:r w:rsidR="00C35D91" w:rsidRPr="00B740B4">
        <w:t>s’ confusion</w:t>
      </w:r>
      <w:r w:rsidRPr="00B740B4">
        <w:t>.</w:t>
      </w:r>
      <w:r w:rsidRPr="00B740B4">
        <w:rPr>
          <w:rStyle w:val="FootnoteReference"/>
        </w:rPr>
        <w:footnoteReference w:id="473"/>
      </w:r>
      <w:r w:rsidR="00C35D91" w:rsidRPr="00B740B4">
        <w:t xml:space="preserve"> The king’s response to Daniel’s request is also unmentioned, however, and v 16 seems to be deliberately brief, hastening o</w:t>
      </w:r>
      <w:r w:rsidR="00450523" w:rsidRPr="00B740B4">
        <w:t>n to vv 17–18 (s</w:t>
      </w:r>
      <w:r w:rsidR="009C749D" w:rsidRPr="00B740B4">
        <w:t>ee also n. 16.a</w:t>
      </w:r>
      <w:r w:rsidR="00450523" w:rsidRPr="00B740B4">
        <w:t>)</w:t>
      </w:r>
      <w:r w:rsidR="009C749D" w:rsidRPr="00B740B4">
        <w:t>.</w:t>
      </w:r>
      <w:r w:rsidR="00496E7B" w:rsidRPr="00B740B4">
        <w:t xml:space="preserve"> </w:t>
      </w:r>
    </w:p>
    <w:p w:rsidR="00C35D91" w:rsidRPr="00B740B4" w:rsidRDefault="00C35D91" w:rsidP="00C35D91">
      <w:r w:rsidRPr="00B740B4">
        <w:rPr>
          <w:b/>
        </w:rPr>
        <w:t>17–19</w:t>
      </w:r>
      <w:r w:rsidR="00041922" w:rsidRPr="00B740B4">
        <w:rPr>
          <w:b/>
        </w:rPr>
        <w:t>a</w:t>
      </w:r>
      <w:r w:rsidRPr="00B740B4">
        <w:t xml:space="preserve"> The title </w:t>
      </w:r>
      <w:r w:rsidR="00934A11" w:rsidRPr="00B740B4">
        <w:t>“</w:t>
      </w:r>
      <w:r w:rsidR="003A5A36" w:rsidRPr="00B740B4">
        <w:t xml:space="preserve">the </w:t>
      </w:r>
      <w:r w:rsidRPr="00B740B4">
        <w:t xml:space="preserve">God of </w:t>
      </w:r>
      <w:r w:rsidR="00E025B5" w:rsidRPr="00B740B4">
        <w:t xml:space="preserve">the </w:t>
      </w:r>
      <w:r w:rsidRPr="00B740B4">
        <w:t>heaven</w:t>
      </w:r>
      <w:r w:rsidR="00E025B5" w:rsidRPr="00B740B4">
        <w:t>s</w:t>
      </w:r>
      <w:r w:rsidR="00934A11" w:rsidRPr="00B740B4">
        <w:t>”</w:t>
      </w:r>
      <w:r w:rsidR="001576AA" w:rsidRPr="00B740B4">
        <w:t xml:space="preserve"> (</w:t>
      </w:r>
      <w:r w:rsidRPr="00B740B4">
        <w:t>v</w:t>
      </w:r>
      <w:r w:rsidR="001576AA" w:rsidRPr="00B740B4">
        <w:t>v</w:t>
      </w:r>
      <w:r w:rsidRPr="00B740B4">
        <w:t xml:space="preserve"> 18</w:t>
      </w:r>
      <w:r w:rsidR="001576AA" w:rsidRPr="00B740B4">
        <w:t>-19</w:t>
      </w:r>
      <w:r w:rsidRPr="00B740B4">
        <w:t xml:space="preserve">) appears </w:t>
      </w:r>
      <w:r w:rsidR="003A5A36" w:rsidRPr="00B740B4">
        <w:t xml:space="preserve">in Daniel </w:t>
      </w:r>
      <w:r w:rsidRPr="00B740B4">
        <w:t xml:space="preserve">only in </w:t>
      </w:r>
      <w:r w:rsidR="008818B6" w:rsidRPr="00B740B4">
        <w:t>chap.</w:t>
      </w:r>
      <w:r w:rsidRPr="00B740B4">
        <w:t xml:space="preserve"> 2 (also </w:t>
      </w:r>
      <w:r w:rsidR="003A5A36" w:rsidRPr="00B740B4">
        <w:t xml:space="preserve">in </w:t>
      </w:r>
      <w:r w:rsidRPr="00B740B4">
        <w:t xml:space="preserve">Ezra, Nehemiah). </w:t>
      </w:r>
      <w:r w:rsidR="00AD453F" w:rsidRPr="00B740B4">
        <w:t xml:space="preserve">It may be a reverential substitute for “Yahweh” (see </w:t>
      </w:r>
      <w:r w:rsidR="00AD453F" w:rsidRPr="00B740B4">
        <w:rPr>
          <w:i/>
        </w:rPr>
        <w:t>Comment</w:t>
      </w:r>
      <w:r w:rsidR="00AD453F" w:rsidRPr="00B740B4">
        <w:t xml:space="preserve"> on 1:2 and on vv 20, 23), as “the heavens”</w:t>
      </w:r>
      <w:r w:rsidR="00DF1EBE" w:rsidRPr="00B740B4">
        <w:t xml:space="preserve"> becomes</w:t>
      </w:r>
      <w:r w:rsidR="00AD453F" w:rsidRPr="00B740B4">
        <w:t xml:space="preserve"> a reverential substitute for “God” (cf. Ahiqar 94–95). </w:t>
      </w:r>
      <w:r w:rsidR="00DF1EBE" w:rsidRPr="00B740B4">
        <w:t xml:space="preserve">“The God of the heavens” </w:t>
      </w:r>
      <w:r w:rsidRPr="00B740B4">
        <w:t xml:space="preserve">parallels the expression </w:t>
      </w:r>
      <w:r w:rsidR="00934A11" w:rsidRPr="00B740B4">
        <w:t>“</w:t>
      </w:r>
      <w:r w:rsidR="003C73C9" w:rsidRPr="00B740B4">
        <w:t>God O</w:t>
      </w:r>
      <w:r w:rsidR="008D0DE9" w:rsidRPr="00B740B4">
        <w:t>n</w:t>
      </w:r>
      <w:r w:rsidRPr="00B740B4">
        <w:t xml:space="preserve"> High</w:t>
      </w:r>
      <w:r w:rsidR="00934A11" w:rsidRPr="00B740B4">
        <w:t>”</w:t>
      </w:r>
      <w:r w:rsidRPr="00B740B4">
        <w:t xml:space="preserve"> used in Dan 3–7 both in </w:t>
      </w:r>
      <w:r w:rsidR="008D0DE9" w:rsidRPr="00B740B4">
        <w:t xml:space="preserve">its </w:t>
      </w:r>
      <w:r w:rsidRPr="00B740B4">
        <w:t xml:space="preserve">general meaning and in </w:t>
      </w:r>
      <w:r w:rsidR="008D0DE9" w:rsidRPr="00B740B4">
        <w:t xml:space="preserve">its </w:t>
      </w:r>
      <w:r w:rsidRPr="00B740B4">
        <w:t>resembling gentile titles for God</w:t>
      </w:r>
      <w:r w:rsidR="00AD453F" w:rsidRPr="00B740B4">
        <w:t xml:space="preserve"> such that</w:t>
      </w:r>
      <w:r w:rsidR="001F5F04" w:rsidRPr="00B740B4">
        <w:t xml:space="preserve"> Judahite</w:t>
      </w:r>
      <w:r w:rsidR="00450523" w:rsidRPr="00B740B4">
        <w:t xml:space="preserve">s might feel quite </w:t>
      </w:r>
      <w:r w:rsidRPr="00B740B4">
        <w:t>appropriate for Yahweh</w:t>
      </w:r>
      <w:r w:rsidR="00AD453F" w:rsidRPr="00B740B4">
        <w:t>.</w:t>
      </w:r>
      <w:r w:rsidR="00450523" w:rsidRPr="00B740B4">
        <w:t xml:space="preserve"> </w:t>
      </w:r>
      <w:r w:rsidR="00DF1EBE" w:rsidRPr="00B740B4">
        <w:t>But avoiding the name Yahweh hardly means that no need was now felt to distinguish Israel’s God from the gods of the Gentiles; it is doubtful if any of the titles for God in Daniel implies a less particularist understanding of God than other parts of the OT.</w:t>
      </w:r>
      <w:r w:rsidR="00DF1EBE" w:rsidRPr="00B740B4">
        <w:rPr>
          <w:vertAlign w:val="superscript"/>
        </w:rPr>
        <w:footnoteReference w:id="474"/>
      </w:r>
      <w:r w:rsidR="00DF1EBE" w:rsidRPr="00B740B4">
        <w:t xml:space="preserve"> The</w:t>
      </w:r>
      <w:r w:rsidR="00AD453F" w:rsidRPr="00B740B4">
        <w:t xml:space="preserve"> popularity </w:t>
      </w:r>
      <w:r w:rsidR="00DF1EBE" w:rsidRPr="00B740B4">
        <w:t xml:space="preserve">of this title </w:t>
      </w:r>
      <w:r w:rsidR="00AD453F" w:rsidRPr="00B740B4">
        <w:t xml:space="preserve">in the Persian period has been attributed to </w:t>
      </w:r>
      <w:r w:rsidR="00C94C21">
        <w:t>the influence of Zoroastrianism,</w:t>
      </w:r>
      <w:r w:rsidR="00AD453F" w:rsidRPr="00B740B4">
        <w:rPr>
          <w:vertAlign w:val="superscript"/>
        </w:rPr>
        <w:footnoteReference w:id="475"/>
      </w:r>
      <w:r w:rsidR="00AD453F" w:rsidRPr="00B740B4">
        <w:t xml:space="preserve"> </w:t>
      </w:r>
      <w:r w:rsidR="00C94C21">
        <w:t xml:space="preserve">and </w:t>
      </w:r>
      <w:r w:rsidR="00C94C21" w:rsidRPr="00C94C21">
        <w:t xml:space="preserve">the paucity of </w:t>
      </w:r>
      <w:r w:rsidR="00C94C21">
        <w:t xml:space="preserve">other </w:t>
      </w:r>
      <w:r w:rsidR="00C94C21" w:rsidRPr="00C94C21">
        <w:t>links with the Pentateuch have been attributed to the inte</w:t>
      </w:r>
      <w:r w:rsidR="00650B3E">
        <w:t>rn</w:t>
      </w:r>
      <w:r w:rsidR="00C94C21" w:rsidRPr="00C94C21">
        <w:t>ational context of Daniel, like that of the wisdom tradition</w:t>
      </w:r>
      <w:r w:rsidR="00C94C21">
        <w:t>.</w:t>
      </w:r>
      <w:r w:rsidR="00C94C21">
        <w:rPr>
          <w:rStyle w:val="FootnoteReference"/>
        </w:rPr>
        <w:footnoteReference w:id="476"/>
      </w:r>
      <w:r w:rsidR="00C94C21" w:rsidRPr="00C94C21">
        <w:t xml:space="preserve"> </w:t>
      </w:r>
      <w:r w:rsidR="00450523" w:rsidRPr="00B740B4">
        <w:t>But i</w:t>
      </w:r>
      <w:r w:rsidRPr="00B740B4">
        <w:t xml:space="preserve">t is </w:t>
      </w:r>
      <w:r w:rsidR="00DF1EBE" w:rsidRPr="00B740B4">
        <w:t xml:space="preserve">also </w:t>
      </w:r>
      <w:r w:rsidRPr="00B740B4">
        <w:t>remini</w:t>
      </w:r>
      <w:r w:rsidR="008D0DE9" w:rsidRPr="00B740B4">
        <w:t xml:space="preserve">scent of the Canaanite title </w:t>
      </w:r>
      <w:r w:rsidR="008D0DE9" w:rsidRPr="00B740B4">
        <w:rPr>
          <w:i/>
        </w:rPr>
        <w:t>ba‘</w:t>
      </w:r>
      <w:r w:rsidRPr="00B740B4">
        <w:rPr>
          <w:i/>
        </w:rPr>
        <w:t>al šāmēm</w:t>
      </w:r>
      <w:r w:rsidRPr="00B740B4">
        <w:t xml:space="preserve"> (</w:t>
      </w:r>
      <w:r w:rsidR="00934A11" w:rsidRPr="00B740B4">
        <w:t>“</w:t>
      </w:r>
      <w:r w:rsidRPr="00B740B4">
        <w:t xml:space="preserve">lord of </w:t>
      </w:r>
      <w:r w:rsidR="00E025B5" w:rsidRPr="00B740B4">
        <w:t xml:space="preserve">the </w:t>
      </w:r>
      <w:r w:rsidRPr="00B740B4">
        <w:t>heaven</w:t>
      </w:r>
      <w:r w:rsidR="00E025B5" w:rsidRPr="00B740B4">
        <w:t>s</w:t>
      </w:r>
      <w:r w:rsidR="00934A11" w:rsidRPr="00B740B4">
        <w:t>”</w:t>
      </w:r>
      <w:r w:rsidRPr="00B740B4">
        <w:t>: cf. 5:23, a</w:t>
      </w:r>
      <w:r w:rsidR="002B6994" w:rsidRPr="00B740B4">
        <w:t>lso 4:37 [34</w:t>
      </w:r>
      <w:r w:rsidR="008D0DE9" w:rsidRPr="00B740B4">
        <w:t xml:space="preserve">]), which—like </w:t>
      </w:r>
      <w:r w:rsidR="00934A11" w:rsidRPr="00B740B4">
        <w:t>“</w:t>
      </w:r>
      <w:r w:rsidR="00450523" w:rsidRPr="00B740B4">
        <w:t>O</w:t>
      </w:r>
      <w:r w:rsidR="008D0DE9" w:rsidRPr="00B740B4">
        <w:t>n</w:t>
      </w:r>
      <w:r w:rsidRPr="00B740B4">
        <w:t xml:space="preserve"> High</w:t>
      </w:r>
      <w:r w:rsidR="00934A11" w:rsidRPr="00B740B4">
        <w:t>”</w:t>
      </w:r>
      <w:r w:rsidRPr="00B740B4">
        <w:t>—was a</w:t>
      </w:r>
      <w:r w:rsidR="008D0DE9" w:rsidRPr="00B740B4">
        <w:t>pparently an epithet of the supreme</w:t>
      </w:r>
      <w:r w:rsidRPr="00B740B4">
        <w:t xml:space="preserve"> god El.</w:t>
      </w:r>
      <w:r w:rsidR="008D0DE9" w:rsidRPr="00B740B4">
        <w:rPr>
          <w:rStyle w:val="FootnoteReference"/>
        </w:rPr>
        <w:footnoteReference w:id="477"/>
      </w:r>
      <w:r w:rsidRPr="00B740B4">
        <w:t xml:space="preserve"> Worship of </w:t>
      </w:r>
      <w:r w:rsidR="008D0DE9" w:rsidRPr="00B740B4">
        <w:t xml:space="preserve">the supreme god as </w:t>
      </w:r>
      <w:r w:rsidR="00934A11" w:rsidRPr="00B740B4">
        <w:t>“</w:t>
      </w:r>
      <w:r w:rsidRPr="00B740B4">
        <w:t>the Lord of</w:t>
      </w:r>
      <w:r w:rsidR="00E025B5" w:rsidRPr="00B740B4">
        <w:t xml:space="preserve"> the</w:t>
      </w:r>
      <w:r w:rsidRPr="00B740B4">
        <w:t xml:space="preserve"> heaven</w:t>
      </w:r>
      <w:r w:rsidR="00E025B5" w:rsidRPr="00B740B4">
        <w:t>s</w:t>
      </w:r>
      <w:r w:rsidR="00934A11" w:rsidRPr="00B740B4">
        <w:t>”</w:t>
      </w:r>
      <w:r w:rsidRPr="00B740B4">
        <w:t xml:space="preserve"> was w</w:t>
      </w:r>
      <w:r w:rsidR="00AD453F" w:rsidRPr="00B740B4">
        <w:t>idespread throughout OT times, and h</w:t>
      </w:r>
      <w:r w:rsidRPr="00B740B4">
        <w:t xml:space="preserve">e was </w:t>
      </w:r>
      <w:r w:rsidR="008D0DE9" w:rsidRPr="00B740B4">
        <w:t xml:space="preserve">later equated with </w:t>
      </w:r>
      <w:r w:rsidR="00650B3E">
        <w:t>Zeus. This equation</w:t>
      </w:r>
      <w:r w:rsidR="008D0DE9" w:rsidRPr="00B740B4">
        <w:t xml:space="preserve"> may explain the apparent non-use of the epithet</w:t>
      </w:r>
      <w:r w:rsidRPr="00B740B4">
        <w:t xml:space="preserve"> in the Antiochene </w:t>
      </w:r>
      <w:r w:rsidR="00650B3E">
        <w:t>period, which parallels its non-use</w:t>
      </w:r>
      <w:r w:rsidRPr="00B740B4">
        <w:t xml:space="preserve"> before the exile</w:t>
      </w:r>
      <w:r w:rsidR="00450523" w:rsidRPr="00B740B4">
        <w:t xml:space="preserve">. </w:t>
      </w:r>
      <w:r w:rsidR="00AD453F" w:rsidRPr="00B740B4">
        <w:t xml:space="preserve">Here, </w:t>
      </w:r>
      <w:r w:rsidR="00450523" w:rsidRPr="00B740B4">
        <w:t>OG replaces “the Go</w:t>
      </w:r>
      <w:r w:rsidR="00650B3E">
        <w:t>d of the heavens” by “the Lord O</w:t>
      </w:r>
      <w:r w:rsidR="00450523" w:rsidRPr="00B740B4">
        <w:t>n high</w:t>
      </w:r>
      <w:r w:rsidR="00AD453F" w:rsidRPr="00B740B4">
        <w:t>,</w:t>
      </w:r>
      <w:r w:rsidR="00450523" w:rsidRPr="00B740B4">
        <w:t>”</w:t>
      </w:r>
      <w:r w:rsidR="00AD453F" w:rsidRPr="00B740B4">
        <w:t>perhaps because</w:t>
      </w:r>
      <w:r w:rsidR="00450523" w:rsidRPr="00B740B4">
        <w:t xml:space="preserve"> the </w:t>
      </w:r>
      <w:r w:rsidR="00AD453F" w:rsidRPr="00B740B4">
        <w:t xml:space="preserve">former </w:t>
      </w:r>
      <w:r w:rsidR="00450523" w:rsidRPr="00B740B4">
        <w:t>title seemed too “heathen-sounding.”</w:t>
      </w:r>
      <w:r w:rsidR="00450523" w:rsidRPr="00B740B4">
        <w:rPr>
          <w:vertAlign w:val="superscript"/>
        </w:rPr>
        <w:footnoteReference w:id="478"/>
      </w:r>
      <w:r w:rsidR="00450523" w:rsidRPr="00B740B4">
        <w:t xml:space="preserve"> </w:t>
      </w:r>
      <w:r w:rsidR="00AD453F" w:rsidRPr="00B740B4">
        <w:t>In MT</w:t>
      </w:r>
      <w:r w:rsidR="00DF1EBE" w:rsidRPr="00B740B4">
        <w:t xml:space="preserve"> the title</w:t>
      </w:r>
      <w:r w:rsidR="00650B3E">
        <w:t xml:space="preserve"> </w:t>
      </w:r>
      <w:r w:rsidRPr="00B740B4">
        <w:t xml:space="preserve">takes up the </w:t>
      </w:r>
      <w:r w:rsidR="008673DA" w:rsidRPr="00B740B4">
        <w:t>expert</w:t>
      </w:r>
      <w:r w:rsidRPr="00B740B4">
        <w:t>s’ confession that the gods’ dwelling is not</w:t>
      </w:r>
      <w:r w:rsidR="00447F5A" w:rsidRPr="00B740B4">
        <w:t xml:space="preserve"> among mere humanity (v 11), but it</w:t>
      </w:r>
      <w:r w:rsidRPr="00B740B4">
        <w:t xml:space="preserve"> denies that </w:t>
      </w:r>
      <w:r w:rsidR="0050122B" w:rsidRPr="00B740B4">
        <w:t xml:space="preserve">God </w:t>
      </w:r>
      <w:r w:rsidR="00447F5A" w:rsidRPr="00B740B4">
        <w:t xml:space="preserve">is therefore </w:t>
      </w:r>
      <w:r w:rsidR="0050122B" w:rsidRPr="00B740B4">
        <w:t>inaccessible; God</w:t>
      </w:r>
      <w:r w:rsidRPr="00B740B4">
        <w:t xml:space="preserve"> is in </w:t>
      </w:r>
      <w:r w:rsidR="00E025B5" w:rsidRPr="00B740B4">
        <w:t xml:space="preserve">the </w:t>
      </w:r>
      <w:r w:rsidRPr="00B740B4">
        <w:t>heaven</w:t>
      </w:r>
      <w:r w:rsidR="00E025B5" w:rsidRPr="00B740B4">
        <w:t>s</w:t>
      </w:r>
      <w:r w:rsidRPr="00B740B4">
        <w:t>, but he reveals things on earth (v 28).</w:t>
      </w:r>
      <w:r w:rsidR="00D7285D" w:rsidRPr="00B740B4">
        <w:rPr>
          <w:rStyle w:val="FootnoteReference"/>
        </w:rPr>
        <w:footnoteReference w:id="479"/>
      </w:r>
      <w:r w:rsidRPr="00B740B4">
        <w:t xml:space="preserve"> </w:t>
      </w:r>
    </w:p>
    <w:p w:rsidR="00C35D91" w:rsidRPr="00650B3E" w:rsidRDefault="00934A11" w:rsidP="00C35D91">
      <w:pPr>
        <w:rPr>
          <w:rFonts w:ascii="Arial" w:hAnsi="Arial" w:cs="Arial"/>
        </w:rPr>
      </w:pPr>
      <w:r w:rsidRPr="00B740B4">
        <w:t>“</w:t>
      </w:r>
      <w:r w:rsidR="00C35D91" w:rsidRPr="00B740B4">
        <w:t>Mystery</w:t>
      </w:r>
      <w:r w:rsidRPr="00B740B4">
        <w:t>”</w:t>
      </w:r>
      <w:r w:rsidR="00C35D91" w:rsidRPr="00B740B4">
        <w:t xml:space="preserve"> (רז, OP, v 18) </w:t>
      </w:r>
      <w:r w:rsidR="00DF1EBE" w:rsidRPr="00B740B4">
        <w:t>appears in the OT only in Dan 2 and</w:t>
      </w:r>
      <w:r w:rsidR="00C35D91" w:rsidRPr="00B740B4">
        <w:t xml:space="preserve"> 4:</w:t>
      </w:r>
      <w:r w:rsidR="003F14FD" w:rsidRPr="00B740B4">
        <w:t>9 [</w:t>
      </w:r>
      <w:r w:rsidR="00C35D91" w:rsidRPr="00B740B4">
        <w:t>6</w:t>
      </w:r>
      <w:r w:rsidR="003F14FD" w:rsidRPr="00B740B4">
        <w:t>]</w:t>
      </w:r>
      <w:r w:rsidR="00C35D91" w:rsidRPr="00B740B4">
        <w:t>. At Qumran it becomes almost a technical t</w:t>
      </w:r>
      <w:r w:rsidR="005A45C7" w:rsidRPr="00B740B4">
        <w:t xml:space="preserve">erm for an enigma that can </w:t>
      </w:r>
      <w:r w:rsidR="00C35D91" w:rsidRPr="00B740B4">
        <w:t xml:space="preserve">be interpreted </w:t>
      </w:r>
      <w:r w:rsidR="005A45C7" w:rsidRPr="00B740B4">
        <w:t xml:space="preserve">only </w:t>
      </w:r>
      <w:r w:rsidR="00C35D91" w:rsidRPr="00B740B4">
        <w:t>by God’s revelation, and particularly for God’s hidden purpose at work in history despite its</w:t>
      </w:r>
      <w:r w:rsidR="005A45C7" w:rsidRPr="00B740B4">
        <w:t xml:space="preserve"> sin (e.g., 1QpHab 7.5, 8, 14; cf. NT μυστήριον</w:t>
      </w:r>
      <w:r w:rsidR="00382556" w:rsidRPr="00B740B4">
        <w:t xml:space="preserve">; </w:t>
      </w:r>
      <w:r w:rsidR="00382556" w:rsidRPr="00B740B4">
        <w:lastRenderedPageBreak/>
        <w:t>also</w:t>
      </w:r>
      <w:r w:rsidR="005A45C7" w:rsidRPr="00B740B4">
        <w:t xml:space="preserve"> </w:t>
      </w:r>
      <w:r w:rsidR="00DF1EBE" w:rsidRPr="00B740B4">
        <w:t>BH</w:t>
      </w:r>
      <w:r w:rsidR="000F5F17" w:rsidRPr="00B740B4">
        <w:t xml:space="preserve"> </w:t>
      </w:r>
      <w:r w:rsidR="000F5F17" w:rsidRPr="00B740B4">
        <w:rPr>
          <w:rFonts w:ascii="Arial" w:hAnsi="Arial" w:cs="Arial"/>
        </w:rPr>
        <w:t>ד</w:t>
      </w:r>
      <w:r w:rsidR="00650B3E">
        <w:rPr>
          <w:rFonts w:ascii="Arial" w:hAnsi="Arial" w:cs="Arial"/>
        </w:rPr>
        <w:t xml:space="preserve"> </w:t>
      </w:r>
      <w:r w:rsidR="000F5F17" w:rsidRPr="00B740B4">
        <w:rPr>
          <w:rFonts w:ascii="Arial" w:hAnsi="Arial" w:cs="Arial"/>
        </w:rPr>
        <w:t>וס</w:t>
      </w:r>
      <w:r w:rsidR="00DF1EBE" w:rsidRPr="00B740B4">
        <w:t xml:space="preserve">, </w:t>
      </w:r>
      <w:r w:rsidR="008E3763" w:rsidRPr="00B740B4">
        <w:rPr>
          <w:rFonts w:cs="Arial"/>
        </w:rPr>
        <w:t>though it is a more general word</w:t>
      </w:r>
      <w:r w:rsidR="005A45C7" w:rsidRPr="00B740B4">
        <w:t>).</w:t>
      </w:r>
      <w:r w:rsidR="005A45C7" w:rsidRPr="00B740B4">
        <w:rPr>
          <w:rStyle w:val="FootnoteReference"/>
        </w:rPr>
        <w:footnoteReference w:id="480"/>
      </w:r>
      <w:r w:rsidR="005A45C7" w:rsidRPr="00B740B4">
        <w:t xml:space="preserve"> </w:t>
      </w:r>
      <w:r w:rsidR="00043FA1" w:rsidRPr="00B740B4">
        <w:t>At this point in the chapter the word requires on</w:t>
      </w:r>
      <w:r w:rsidR="00DF1EBE" w:rsidRPr="00B740B4">
        <w:t>ly thebroader meaning “enigma</w:t>
      </w:r>
      <w:r w:rsidR="00043FA1" w:rsidRPr="00B740B4">
        <w:t>,</w:t>
      </w:r>
      <w:r w:rsidR="00DF1EBE" w:rsidRPr="00B740B4">
        <w:t>”</w:t>
      </w:r>
      <w:r w:rsidR="00043FA1" w:rsidRPr="00B740B4">
        <w:t xml:space="preserve"> but it will transpire that the dream reveals a mystery in something like that later, more technical sense</w:t>
      </w:r>
      <w:r w:rsidR="006171AC" w:rsidRPr="00B740B4">
        <w:t xml:space="preserve">; the same applies to the verb </w:t>
      </w:r>
      <w:r w:rsidRPr="00B740B4">
        <w:t>“</w:t>
      </w:r>
      <w:r w:rsidR="006171AC" w:rsidRPr="00B740B4">
        <w:t>reveal</w:t>
      </w:r>
      <w:r w:rsidR="00043FA1" w:rsidRPr="00B740B4">
        <w:t>.</w:t>
      </w:r>
      <w:r w:rsidRPr="00B740B4">
        <w:t>”</w:t>
      </w:r>
      <w:r w:rsidR="00043FA1" w:rsidRPr="00B740B4">
        <w:rPr>
          <w:rStyle w:val="FootnoteReference"/>
        </w:rPr>
        <w:footnoteReference w:id="481"/>
      </w:r>
      <w:r w:rsidR="00043FA1" w:rsidRPr="00B740B4">
        <w:t xml:space="preserve"> </w:t>
      </w:r>
      <w:r w:rsidR="00C35D91" w:rsidRPr="00B740B4">
        <w:t xml:space="preserve">For such revelatory visions taking place at night (v 19a), cf. especially Zech 1–6 (also 1 Sam 3; Job 4:13; 33:15). Daniel’s </w:t>
      </w:r>
      <w:r w:rsidRPr="00B740B4">
        <w:t>“</w:t>
      </w:r>
      <w:r w:rsidR="00C35D91" w:rsidRPr="00B740B4">
        <w:t>vision</w:t>
      </w:r>
      <w:r w:rsidRPr="00B740B4">
        <w:t>”</w:t>
      </w:r>
      <w:r w:rsidR="00C35D91" w:rsidRPr="00B740B4">
        <w:t xml:space="preserve"> is not a superior means of revelation to Nebuchadnezzar’s </w:t>
      </w:r>
      <w:r w:rsidRPr="00B740B4">
        <w:t>“</w:t>
      </w:r>
      <w:r w:rsidR="00C35D91" w:rsidRPr="00B740B4">
        <w:t>dream</w:t>
      </w:r>
      <w:r w:rsidRPr="00B740B4">
        <w:t>”</w:t>
      </w:r>
      <w:r w:rsidR="00C35D91" w:rsidRPr="00B740B4">
        <w:t xml:space="preserve">: in v 20 both words are used of Nebuchadnezzar’s experience. But only Daniel has things </w:t>
      </w:r>
      <w:r w:rsidRPr="00B740B4">
        <w:t>“</w:t>
      </w:r>
      <w:r w:rsidR="00C35D91" w:rsidRPr="00B740B4">
        <w:t>revealed</w:t>
      </w:r>
      <w:r w:rsidRPr="00B740B4">
        <w:t>”</w:t>
      </w:r>
      <w:r w:rsidR="00C35D91" w:rsidRPr="00B740B4">
        <w:t xml:space="preserve"> to him (see vv 28–30).</w:t>
      </w:r>
    </w:p>
    <w:p w:rsidR="00C35D91" w:rsidRPr="00B740B4" w:rsidRDefault="00C35D91" w:rsidP="00C35D91">
      <w:r w:rsidRPr="00B740B4">
        <w:rPr>
          <w:b/>
        </w:rPr>
        <w:t>19b–23</w:t>
      </w:r>
      <w:r w:rsidR="00382556" w:rsidRPr="00B740B4">
        <w:t xml:space="preserve"> </w:t>
      </w:r>
      <w:r w:rsidR="00934A11" w:rsidRPr="00B740B4">
        <w:t>“</w:t>
      </w:r>
      <w:r w:rsidR="00382556" w:rsidRPr="00B740B4">
        <w:t>Blessing</w:t>
      </w:r>
      <w:r w:rsidR="00934A11" w:rsidRPr="00B740B4">
        <w:t>”</w:t>
      </w:r>
      <w:r w:rsidR="00DF1EBE" w:rsidRPr="00B740B4">
        <w:t xml:space="preserve"> is </w:t>
      </w:r>
      <w:r w:rsidR="00382556" w:rsidRPr="00B740B4">
        <w:t>an</w:t>
      </w:r>
      <w:r w:rsidRPr="00B740B4">
        <w:t xml:space="preserve"> expression</w:t>
      </w:r>
      <w:r w:rsidR="00382556" w:rsidRPr="00B740B4">
        <w:t xml:space="preserve"> </w:t>
      </w:r>
      <w:r w:rsidR="00DF1EBE" w:rsidRPr="00B740B4">
        <w:t xml:space="preserve">familiar </w:t>
      </w:r>
      <w:r w:rsidR="00382556" w:rsidRPr="00B740B4">
        <w:t>from worship</w:t>
      </w:r>
      <w:r w:rsidRPr="00B740B4">
        <w:t xml:space="preserve">, expecially when used in the Psalms for human beings blessing God. Yet </w:t>
      </w:r>
      <w:r w:rsidR="00382556" w:rsidRPr="00B740B4">
        <w:t>it</w:t>
      </w:r>
      <w:r w:rsidR="00DF1EBE" w:rsidRPr="00B740B4">
        <w:t xml:space="preserve"> also has a</w:t>
      </w:r>
      <w:r w:rsidR="00382556" w:rsidRPr="00B740B4">
        <w:t xml:space="preserve"> life-setting is </w:t>
      </w:r>
      <w:r w:rsidRPr="00B740B4">
        <w:t xml:space="preserve">the everyday world, the realm of human relationships and, as we find it here, the experience of God acting in providence and grace </w:t>
      </w:r>
      <w:r w:rsidR="002D4FFF" w:rsidRPr="00B740B4">
        <w:t xml:space="preserve">towards </w:t>
      </w:r>
      <w:r w:rsidRPr="00B740B4">
        <w:t>his people, to which they respond in praise and thanksgiving. To bless someone is to express in solemn words one’s appreciation, grat</w:t>
      </w:r>
      <w:r w:rsidR="0050122B" w:rsidRPr="00B740B4">
        <w:t>itude, honor, recognition, or lo</w:t>
      </w:r>
      <w:r w:rsidRPr="00B740B4">
        <w:t xml:space="preserve">ve; it suggests an acknowledging of communion with the one who is named as the object </w:t>
      </w:r>
      <w:r w:rsidR="00382556" w:rsidRPr="00B740B4">
        <w:t xml:space="preserve">of blessing </w:t>
      </w:r>
      <w:r w:rsidR="00330C0F">
        <w:t>in light</w:t>
      </w:r>
      <w:r w:rsidRPr="00B740B4">
        <w:t xml:space="preserve"> of what th</w:t>
      </w:r>
      <w:r w:rsidR="00382556" w:rsidRPr="00B740B4">
        <w:t>at one has come to mean to you.</w:t>
      </w:r>
      <w:r w:rsidR="00382556" w:rsidRPr="00B740B4">
        <w:rPr>
          <w:rStyle w:val="FootnoteReference"/>
        </w:rPr>
        <w:footnoteReference w:id="482"/>
      </w:r>
    </w:p>
    <w:p w:rsidR="00C35D91" w:rsidRPr="00B740B4" w:rsidRDefault="00934A11" w:rsidP="00C35D91">
      <w:r w:rsidRPr="00B740B4">
        <w:t>“</w:t>
      </w:r>
      <w:r w:rsidR="00C35D91" w:rsidRPr="00B740B4">
        <w:t>The name of God</w:t>
      </w:r>
      <w:r w:rsidRPr="00B740B4">
        <w:t>”</w:t>
      </w:r>
      <w:r w:rsidR="00C35D91" w:rsidRPr="00B740B4">
        <w:t xml:space="preserve"> (v 20) is a further reverential substitute for </w:t>
      </w:r>
      <w:r w:rsidRPr="00B740B4">
        <w:t>“</w:t>
      </w:r>
      <w:r w:rsidR="00C35D91" w:rsidRPr="00B740B4">
        <w:t>Yahweh</w:t>
      </w:r>
      <w:r w:rsidRPr="00B740B4">
        <w:t>”</w:t>
      </w:r>
      <w:r w:rsidR="00C35D91" w:rsidRPr="00B740B4">
        <w:t xml:space="preserve"> (cf. v 19</w:t>
      </w:r>
      <w:r w:rsidR="00382556" w:rsidRPr="00B740B4">
        <w:t>b</w:t>
      </w:r>
      <w:r w:rsidR="00C35D91" w:rsidRPr="00B740B4">
        <w:t>)</w:t>
      </w:r>
      <w:r w:rsidR="00B56F6D" w:rsidRPr="00B740B4">
        <w:t>,</w:t>
      </w:r>
      <w:r w:rsidR="00AA2CDF" w:rsidRPr="00B740B4">
        <w:t xml:space="preserve"> as in later Jewish usage</w:t>
      </w:r>
      <w:r w:rsidR="00C35D91" w:rsidRPr="00B740B4">
        <w:t xml:space="preserve">. A person’s name </w:t>
      </w:r>
      <w:r w:rsidR="00AA2CDF" w:rsidRPr="00B740B4">
        <w:t>can express</w:t>
      </w:r>
      <w:r w:rsidR="00C35D91" w:rsidRPr="00B740B4">
        <w:t xml:space="preserve"> something of their character, calling, religious commitment, or pers</w:t>
      </w:r>
      <w:r w:rsidR="00AA2CDF" w:rsidRPr="00B740B4">
        <w:t>onal significance. The name stan</w:t>
      </w:r>
      <w:r w:rsidR="00C35D91" w:rsidRPr="00B740B4">
        <w:t>d</w:t>
      </w:r>
      <w:r w:rsidR="00202698">
        <w:t>s for the person. So it is with</w:t>
      </w:r>
      <w:r w:rsidR="00AA2CDF" w:rsidRPr="00B740B4">
        <w:t xml:space="preserve"> the name by which a deity i</w:t>
      </w:r>
      <w:r w:rsidR="00C35D91" w:rsidRPr="00B740B4">
        <w:t>s known: God is revealed in his name. To bless the name of God is thus to bless Yahweh himself; but the expression make</w:t>
      </w:r>
      <w:r w:rsidR="00202698">
        <w:t xml:space="preserve">s it possible to avoid </w:t>
      </w:r>
      <w:r w:rsidR="00C35D91" w:rsidRPr="00B740B4">
        <w:t>uttering the name and perhaps misusing it (Exo</w:t>
      </w:r>
      <w:r w:rsidR="00382556" w:rsidRPr="00B740B4">
        <w:t xml:space="preserve">d 20:7). </w:t>
      </w:r>
      <w:r w:rsidRPr="00B740B4">
        <w:t>“</w:t>
      </w:r>
      <w:r w:rsidR="00382556" w:rsidRPr="00B740B4">
        <w:t>The God of the ancestors</w:t>
      </w:r>
      <w:r w:rsidRPr="00B740B4">
        <w:t>”</w:t>
      </w:r>
      <w:r w:rsidR="00C35D91" w:rsidRPr="00B740B4">
        <w:t xml:space="preserve"> (cf. v 23) is a title for God as he</w:t>
      </w:r>
      <w:r w:rsidR="00382556" w:rsidRPr="00B740B4">
        <w:t xml:space="preserve"> was known to Israel’s forebears</w:t>
      </w:r>
      <w:r w:rsidR="00C35D91" w:rsidRPr="00B740B4">
        <w:t xml:space="preserve"> before the revelation to Moses (Exod 3:13–16), but it came into increased usage </w:t>
      </w:r>
      <w:r w:rsidR="0050122B" w:rsidRPr="00B740B4">
        <w:t>after the exile, especially in C</w:t>
      </w:r>
      <w:r w:rsidR="00C35D91" w:rsidRPr="00B740B4">
        <w:t>hronicles (1 Chr 5:25; 12:17; 2 Chr 33:12), where it sug</w:t>
      </w:r>
      <w:r w:rsidR="00382556" w:rsidRPr="00B740B4">
        <w:t xml:space="preserve">gests adherence to Israel’s </w:t>
      </w:r>
      <w:r w:rsidR="00C35D91" w:rsidRPr="00B740B4">
        <w:t>t</w:t>
      </w:r>
      <w:r w:rsidR="0050122B" w:rsidRPr="00B740B4">
        <w:t>raditional faith rather than recours</w:t>
      </w:r>
      <w:r w:rsidR="00C35D91" w:rsidRPr="00B740B4">
        <w:t>e to novel or alien alterna</w:t>
      </w:r>
      <w:r w:rsidR="00AA2CDF" w:rsidRPr="00B740B4">
        <w:t>tives. The title here</w:t>
      </w:r>
      <w:r w:rsidR="00C35D91" w:rsidRPr="00B740B4">
        <w:t xml:space="preserve"> suggest</w:t>
      </w:r>
      <w:r w:rsidR="00AA2CDF" w:rsidRPr="00B740B4">
        <w:t>s</w:t>
      </w:r>
      <w:r w:rsidR="00C35D91" w:rsidRPr="00B740B4">
        <w:t xml:space="preserve"> a recog</w:t>
      </w:r>
      <w:r w:rsidR="00382556" w:rsidRPr="00B740B4">
        <w:t>nition that God is acting in</w:t>
      </w:r>
      <w:r w:rsidR="00C35D91" w:rsidRPr="00B740B4">
        <w:t xml:space="preserve"> faithfulness to the character he has revealed to Israel in the </w:t>
      </w:r>
      <w:r w:rsidR="00AA2CDF" w:rsidRPr="00B740B4">
        <w:t>past</w:t>
      </w:r>
      <w:r w:rsidR="00C35D91" w:rsidRPr="00B740B4">
        <w:t xml:space="preserve">, </w:t>
      </w:r>
      <w:r w:rsidR="00AA2CDF" w:rsidRPr="00B740B4">
        <w:t xml:space="preserve">though </w:t>
      </w:r>
      <w:r w:rsidR="00C35D91" w:rsidRPr="00B740B4">
        <w:t xml:space="preserve">it may </w:t>
      </w:r>
      <w:r w:rsidR="00AA2CDF" w:rsidRPr="00B740B4">
        <w:t xml:space="preserve">also </w:t>
      </w:r>
      <w:r w:rsidR="00C35D91" w:rsidRPr="00B740B4">
        <w:t xml:space="preserve">function as yet another reverential substitute for </w:t>
      </w:r>
      <w:r w:rsidRPr="00B740B4">
        <w:t>“</w:t>
      </w:r>
      <w:r w:rsidR="00C35D91" w:rsidRPr="00B740B4">
        <w:t>Yahweh.</w:t>
      </w:r>
      <w:r w:rsidRPr="00B740B4">
        <w:t>”</w:t>
      </w:r>
    </w:p>
    <w:p w:rsidR="00AA2CDF" w:rsidRPr="00B740B4" w:rsidRDefault="00B56F6D" w:rsidP="009C06CB">
      <w:r w:rsidRPr="00B740B4">
        <w:t xml:space="preserve">The </w:t>
      </w:r>
      <w:r w:rsidR="00934A11" w:rsidRPr="00B740B4">
        <w:t>“</w:t>
      </w:r>
      <w:r w:rsidRPr="00B740B4">
        <w:t>insight</w:t>
      </w:r>
      <w:r w:rsidR="00934A11" w:rsidRPr="00B740B4">
        <w:t>”</w:t>
      </w:r>
      <w:r w:rsidR="00C35D91" w:rsidRPr="00B740B4">
        <w:t xml:space="preserve"> of vv 20–</w:t>
      </w:r>
      <w:r w:rsidRPr="00B740B4">
        <w:t>23 is again the fruit of supernatural revelation</w:t>
      </w:r>
      <w:r w:rsidR="00C35D91" w:rsidRPr="00B740B4">
        <w:t xml:space="preserve"> rather than empirical</w:t>
      </w:r>
      <w:r w:rsidR="00AA2CDF" w:rsidRPr="00B740B4">
        <w:t>, rational discernment</w:t>
      </w:r>
      <w:r w:rsidRPr="00B740B4">
        <w:t xml:space="preserve">. It is </w:t>
      </w:r>
      <w:r w:rsidR="00C35D91" w:rsidRPr="00B740B4">
        <w:t xml:space="preserve">something human beings </w:t>
      </w:r>
      <w:r w:rsidRPr="00B740B4">
        <w:t>receive from God rather than achieve; it is</w:t>
      </w:r>
      <w:r w:rsidR="00C35D91" w:rsidRPr="00B740B4">
        <w:t xml:space="preserve"> equivalent to the knowledge of God’</w:t>
      </w:r>
      <w:r w:rsidRPr="00B740B4">
        <w:t xml:space="preserve">s purposes that prophets gain through </w:t>
      </w:r>
      <w:r w:rsidR="00C35D91" w:rsidRPr="00B740B4">
        <w:t xml:space="preserve">being admitted to Yahweh’s council. </w:t>
      </w:r>
      <w:r w:rsidR="00AA2CDF" w:rsidRPr="00B740B4">
        <w:t>So “m</w:t>
      </w:r>
      <w:r w:rsidR="00461C09" w:rsidRPr="00B740B4">
        <w:t>ystery</w:t>
      </w:r>
      <w:r w:rsidR="00AA2CDF" w:rsidRPr="00B740B4">
        <w:t>”</w:t>
      </w:r>
      <w:r w:rsidR="00461C09" w:rsidRPr="00B740B4">
        <w:t xml:space="preserve"> (v</w:t>
      </w:r>
      <w:r w:rsidR="00AF422C">
        <w:t>v</w:t>
      </w:r>
      <w:r w:rsidR="00461C09" w:rsidRPr="00B740B4">
        <w:t xml:space="preserve"> 18, 19) is </w:t>
      </w:r>
      <w:r w:rsidR="00934A11" w:rsidRPr="00B740B4">
        <w:t>“</w:t>
      </w:r>
      <w:r w:rsidR="009374A8" w:rsidRPr="00B740B4">
        <w:t>God revealing his wisdom,</w:t>
      </w:r>
      <w:r w:rsidR="00934A11" w:rsidRPr="00B740B4">
        <w:t>”</w:t>
      </w:r>
      <w:r w:rsidR="009374A8" w:rsidRPr="00B740B4">
        <w:t xml:space="preserve"> and specifically doing so by means of something symbolic and cryptic which then receives interpretation.</w:t>
      </w:r>
      <w:r w:rsidR="00461C09" w:rsidRPr="00B740B4">
        <w:rPr>
          <w:rStyle w:val="FootnoteReference"/>
        </w:rPr>
        <w:footnoteReference w:id="483"/>
      </w:r>
      <w:r w:rsidR="00461C09" w:rsidRPr="00B740B4">
        <w:t xml:space="preserve"> </w:t>
      </w:r>
      <w:r w:rsidR="00C35D91" w:rsidRPr="00B740B4">
        <w:t>References to deeply hidden secrets and to light and darkness correspond to other allusion</w:t>
      </w:r>
      <w:r w:rsidR="00FD547C">
        <w:t>s in the OT (Gen 1:4; Deut 29:29 [28</w:t>
      </w:r>
      <w:r w:rsidR="00C35D91" w:rsidRPr="00B740B4">
        <w:t>]; Isa 45:7; Ps 139; Job 12; 28; 30:16–20) more than to those in the Qumran literature (espec</w:t>
      </w:r>
      <w:r w:rsidRPr="00B740B4">
        <w:t>ially light and darkness in 1QM</w:t>
      </w:r>
      <w:r w:rsidR="004929C9" w:rsidRPr="00B740B4">
        <w:t>) or G</w:t>
      </w:r>
      <w:r w:rsidR="00C35D91" w:rsidRPr="00B740B4">
        <w:t>nosticism. The</w:t>
      </w:r>
      <w:r w:rsidR="006171AC" w:rsidRPr="00B740B4">
        <w:t xml:space="preserve"> content of the revelation (v 21</w:t>
      </w:r>
      <w:r w:rsidR="00C35D91" w:rsidRPr="00B740B4">
        <w:t>a) relates to</w:t>
      </w:r>
      <w:r w:rsidRPr="00B740B4">
        <w:t xml:space="preserve"> God’s lordship in history (</w:t>
      </w:r>
      <w:r w:rsidR="004929C9" w:rsidRPr="00B740B4">
        <w:t xml:space="preserve">cf. </w:t>
      </w:r>
      <w:r w:rsidR="00934A11" w:rsidRPr="00B740B4">
        <w:t>“</w:t>
      </w:r>
      <w:r w:rsidR="00C35D91" w:rsidRPr="00B740B4">
        <w:t>might,</w:t>
      </w:r>
      <w:r w:rsidR="00934A11" w:rsidRPr="00B740B4">
        <w:t>”</w:t>
      </w:r>
      <w:r w:rsidR="00C35D91" w:rsidRPr="00B740B4">
        <w:t xml:space="preserve"> v 20); vv 37–45 will expand on it. </w:t>
      </w:r>
    </w:p>
    <w:p w:rsidR="00C35D91" w:rsidRPr="00B740B4" w:rsidRDefault="006F713E" w:rsidP="00C35D91">
      <w:r w:rsidRPr="00B740B4">
        <w:t>The expression “times and eras” comes only here in the OT.</w:t>
      </w:r>
      <w:r w:rsidRPr="00B740B4">
        <w:rPr>
          <w:rStyle w:val="FootnoteReference"/>
        </w:rPr>
        <w:footnoteReference w:id="484"/>
      </w:r>
      <w:r w:rsidRPr="00B740B4">
        <w:t xml:space="preserve"> </w:t>
      </w:r>
      <w:r w:rsidR="00AA2CDF" w:rsidRPr="00B740B4">
        <w:t>The</w:t>
      </w:r>
      <w:r w:rsidR="00C35D91" w:rsidRPr="00B740B4">
        <w:t xml:space="preserve"> talk of times and eras is taken further in the Qumran literature and in the periodizing of history in, </w:t>
      </w:r>
      <w:r w:rsidR="004929C9" w:rsidRPr="00B740B4">
        <w:t xml:space="preserve">e.g., </w:t>
      </w:r>
      <w:r w:rsidR="004929C9" w:rsidRPr="00FD547C">
        <w:rPr>
          <w:i/>
        </w:rPr>
        <w:t>1 Enoch</w:t>
      </w:r>
      <w:r w:rsidR="004929C9" w:rsidRPr="00B740B4">
        <w:t xml:space="preserve"> 91:12–17; 93:1–10</w:t>
      </w:r>
      <w:r w:rsidR="00C35D91" w:rsidRPr="00B740B4">
        <w:t xml:space="preserve"> </w:t>
      </w:r>
      <w:r w:rsidR="004929C9" w:rsidRPr="00B740B4">
        <w:t>(</w:t>
      </w:r>
      <w:r w:rsidR="00C35D91" w:rsidRPr="00B740B4">
        <w:t>cf. Dan 9:24–27</w:t>
      </w:r>
      <w:r w:rsidR="004929C9" w:rsidRPr="00B740B4">
        <w:t>)</w:t>
      </w:r>
      <w:r w:rsidR="00C35D91" w:rsidRPr="00B740B4">
        <w:t>, as a means of structuring the understanding and presentati</w:t>
      </w:r>
      <w:r w:rsidR="00DF07D9" w:rsidRPr="00B740B4">
        <w:t>on of history</w:t>
      </w:r>
      <w:r w:rsidR="004929C9" w:rsidRPr="00B740B4">
        <w:t>.</w:t>
      </w:r>
      <w:r w:rsidR="004929C9" w:rsidRPr="00B740B4">
        <w:rPr>
          <w:rStyle w:val="FootnoteReference"/>
        </w:rPr>
        <w:footnoteReference w:id="485"/>
      </w:r>
      <w:r w:rsidR="00DF07D9" w:rsidRPr="00B740B4">
        <w:t xml:space="preserve"> </w:t>
      </w:r>
      <w:r w:rsidR="00C35D91" w:rsidRPr="00B740B4">
        <w:t xml:space="preserve">In Dan 2 the phrase has more general reference; any structuring of history </w:t>
      </w:r>
      <w:r w:rsidR="00FD547C">
        <w:t>that it presupposes is the structuring</w:t>
      </w:r>
      <w:r w:rsidR="00C35D91" w:rsidRPr="00B740B4">
        <w:t xml:space="preserve"> provided by the external course of political events, the fall and rise of dynasties referred to in v 21 and developed in vv 37–45.</w:t>
      </w:r>
    </w:p>
    <w:p w:rsidR="00C35D91" w:rsidRPr="00B740B4" w:rsidRDefault="00C35D91" w:rsidP="00C35D91">
      <w:r w:rsidRPr="00B740B4">
        <w:rPr>
          <w:b/>
        </w:rPr>
        <w:lastRenderedPageBreak/>
        <w:t>24–30</w:t>
      </w:r>
      <w:r w:rsidRPr="00B740B4">
        <w:t xml:space="preserve"> Daniel apparently implies that the king’s own thoughts (vv 29a, 30b) had turned to the future, and perhaps that he knew his dream related to the fu</w:t>
      </w:r>
      <w:r w:rsidR="004929C9" w:rsidRPr="00B740B4">
        <w:t>ture of his empire—which would give him</w:t>
      </w:r>
      <w:r w:rsidRPr="00B740B4">
        <w:t xml:space="preserve"> some check on purported reconstructions and interpretations of his dream. That people’s dreams relate to their current preoccupations is a common enough experience; for the motif, cf. </w:t>
      </w:r>
      <w:r w:rsidR="00E45228">
        <w:t>Xerxes’</w:t>
      </w:r>
      <w:r w:rsidRPr="00B740B4">
        <w:t xml:space="preserve"> dream (Herodotus</w:t>
      </w:r>
      <w:r w:rsidR="00B24F98">
        <w:t xml:space="preserve">, </w:t>
      </w:r>
      <w:r w:rsidR="00B24F98">
        <w:rPr>
          <w:i/>
        </w:rPr>
        <w:t>Histories</w:t>
      </w:r>
      <w:r w:rsidRPr="00B740B4">
        <w:t xml:space="preserve"> 8.12–14). The king was thus not indulging in a pointless test of the </w:t>
      </w:r>
      <w:r w:rsidR="008673DA" w:rsidRPr="00B740B4">
        <w:t>expert</w:t>
      </w:r>
      <w:r w:rsidRPr="00B740B4">
        <w:t xml:space="preserve">s; he knew he had dreamed about his own future but the dream had </w:t>
      </w:r>
      <w:r w:rsidR="00934A11" w:rsidRPr="00B740B4">
        <w:t>“</w:t>
      </w:r>
      <w:r w:rsidRPr="00B740B4">
        <w:t>hidden itself</w:t>
      </w:r>
      <w:r w:rsidR="00934A11" w:rsidRPr="00B740B4">
        <w:t>”</w:t>
      </w:r>
      <w:r w:rsidRPr="00B740B4">
        <w:t xml:space="preserve"> (because of its unwelcome content) as dreams do.</w:t>
      </w:r>
      <w:r w:rsidR="00AA2CDF" w:rsidRPr="00B740B4">
        <w:t xml:space="preserve"> </w:t>
      </w:r>
    </w:p>
    <w:p w:rsidR="00F9747D" w:rsidRPr="00B740B4" w:rsidRDefault="00C35D91" w:rsidP="00C35D91">
      <w:r w:rsidRPr="00B740B4">
        <w:t xml:space="preserve">The king’s thoughts concern what will happen </w:t>
      </w:r>
      <w:r w:rsidR="00934A11" w:rsidRPr="00B740B4">
        <w:t>“</w:t>
      </w:r>
      <w:r w:rsidRPr="00B740B4">
        <w:t>in the future</w:t>
      </w:r>
      <w:r w:rsidR="00934A11" w:rsidRPr="00B740B4">
        <w:t>”</w:t>
      </w:r>
      <w:r w:rsidR="00AA2CDF" w:rsidRPr="00B740B4">
        <w:t xml:space="preserve"> (</w:t>
      </w:r>
      <w:r w:rsidR="00AA2CDF" w:rsidRPr="00B740B4">
        <w:rPr>
          <w:rFonts w:ascii="Arial" w:hAnsi="Arial" w:cs="Arial"/>
        </w:rPr>
        <w:t>דנה</w:t>
      </w:r>
      <w:r w:rsidR="00AA2CDF" w:rsidRPr="00B740B4">
        <w:t xml:space="preserve">  </w:t>
      </w:r>
      <w:r w:rsidR="00AA2CDF" w:rsidRPr="00B740B4">
        <w:rPr>
          <w:rFonts w:ascii="Arial" w:hAnsi="Arial" w:cs="Arial"/>
        </w:rPr>
        <w:t>י</w:t>
      </w:r>
      <w:r w:rsidR="00FD547C">
        <w:rPr>
          <w:rFonts w:ascii="Arial" w:hAnsi="Arial" w:cs="Arial"/>
        </w:rPr>
        <w:t xml:space="preserve"> </w:t>
      </w:r>
      <w:r w:rsidR="00AA2CDF" w:rsidRPr="00B740B4">
        <w:rPr>
          <w:rFonts w:ascii="Arial" w:hAnsi="Arial" w:cs="Arial"/>
        </w:rPr>
        <w:t>ר</w:t>
      </w:r>
      <w:r w:rsidR="00FD547C">
        <w:rPr>
          <w:rFonts w:ascii="Arial" w:hAnsi="Arial" w:cs="Arial"/>
        </w:rPr>
        <w:t xml:space="preserve"> </w:t>
      </w:r>
      <w:r w:rsidR="00AA2CDF" w:rsidRPr="00B740B4">
        <w:rPr>
          <w:rFonts w:ascii="Arial" w:hAnsi="Arial" w:cs="Arial"/>
        </w:rPr>
        <w:t>ח</w:t>
      </w:r>
      <w:r w:rsidR="00FD547C">
        <w:rPr>
          <w:rFonts w:ascii="Arial" w:hAnsi="Arial" w:cs="Arial"/>
        </w:rPr>
        <w:t xml:space="preserve"> </w:t>
      </w:r>
      <w:r w:rsidR="00AA2CDF" w:rsidRPr="00B740B4">
        <w:rPr>
          <w:rFonts w:ascii="Arial" w:hAnsi="Arial" w:cs="Arial"/>
        </w:rPr>
        <w:t>א</w:t>
      </w:r>
      <w:r w:rsidR="00AA2CDF" w:rsidRPr="00B740B4">
        <w:t xml:space="preserve"> “after this</w:t>
      </w:r>
      <w:r w:rsidRPr="00B740B4">
        <w:t>,</w:t>
      </w:r>
      <w:r w:rsidR="00934A11" w:rsidRPr="00B740B4">
        <w:t>”</w:t>
      </w:r>
      <w:r w:rsidRPr="00B740B4">
        <w:t xml:space="preserve"> v 29). Etymologically, </w:t>
      </w:r>
      <w:r w:rsidR="00934A11" w:rsidRPr="00B740B4">
        <w:t>“</w:t>
      </w:r>
      <w:r w:rsidRPr="00B740B4">
        <w:t>the end of the era</w:t>
      </w:r>
      <w:r w:rsidR="00934A11" w:rsidRPr="00B740B4">
        <w:t>”</w:t>
      </w:r>
      <w:r w:rsidRPr="00B740B4">
        <w:t xml:space="preserve"> (</w:t>
      </w:r>
      <w:r w:rsidR="00AA2CDF" w:rsidRPr="00B740B4">
        <w:rPr>
          <w:rFonts w:ascii="Arial" w:hAnsi="Arial" w:cs="Arial"/>
        </w:rPr>
        <w:t>א</w:t>
      </w:r>
      <w:r w:rsidR="00FD547C">
        <w:rPr>
          <w:rFonts w:ascii="Arial" w:hAnsi="Arial" w:cs="Arial"/>
        </w:rPr>
        <w:t xml:space="preserve"> </w:t>
      </w:r>
      <w:r w:rsidR="00AA2CDF" w:rsidRPr="00B740B4">
        <w:rPr>
          <w:rFonts w:ascii="Arial" w:hAnsi="Arial" w:cs="Arial"/>
        </w:rPr>
        <w:t>י</w:t>
      </w:r>
      <w:r w:rsidR="00FD547C">
        <w:rPr>
          <w:rFonts w:ascii="Arial" w:hAnsi="Arial" w:cs="Arial"/>
        </w:rPr>
        <w:t xml:space="preserve"> </w:t>
      </w:r>
      <w:r w:rsidR="00AA2CDF" w:rsidRPr="00B740B4">
        <w:rPr>
          <w:rFonts w:ascii="Arial" w:hAnsi="Arial" w:cs="Arial"/>
        </w:rPr>
        <w:t>מו</w:t>
      </w:r>
      <w:r w:rsidR="00FD547C">
        <w:rPr>
          <w:rFonts w:ascii="Arial" w:hAnsi="Arial" w:cs="Arial"/>
        </w:rPr>
        <w:t xml:space="preserve"> </w:t>
      </w:r>
      <w:r w:rsidR="00AA2CDF" w:rsidRPr="00B740B4">
        <w:rPr>
          <w:rFonts w:ascii="Arial" w:hAnsi="Arial" w:cs="Arial"/>
        </w:rPr>
        <w:t>י</w:t>
      </w:r>
      <w:r w:rsidR="00FD547C">
        <w:rPr>
          <w:rFonts w:ascii="Arial" w:hAnsi="Arial" w:cs="Arial"/>
        </w:rPr>
        <w:t xml:space="preserve"> </w:t>
      </w:r>
      <w:r w:rsidR="00AA2CDF" w:rsidRPr="00B740B4">
        <w:t xml:space="preserve"> </w:t>
      </w:r>
      <w:r w:rsidR="00AA2CDF" w:rsidRPr="00B740B4">
        <w:rPr>
          <w:rFonts w:ascii="Arial" w:hAnsi="Arial" w:cs="Arial"/>
        </w:rPr>
        <w:t>אחרית</w:t>
      </w:r>
      <w:r w:rsidR="00AA2CDF" w:rsidRPr="00B740B4">
        <w:t xml:space="preserve">, </w:t>
      </w:r>
      <w:r w:rsidRPr="00B740B4">
        <w:t xml:space="preserve">literally </w:t>
      </w:r>
      <w:r w:rsidR="00934A11" w:rsidRPr="00B740B4">
        <w:t>“</w:t>
      </w:r>
      <w:r w:rsidRPr="00B740B4">
        <w:t xml:space="preserve">the </w:t>
      </w:r>
      <w:r w:rsidR="00280443" w:rsidRPr="00B740B4">
        <w:t xml:space="preserve">end of the </w:t>
      </w:r>
      <w:r w:rsidRPr="00B740B4">
        <w:t>days</w:t>
      </w:r>
      <w:r w:rsidR="00934A11" w:rsidRPr="00B740B4">
        <w:t>”</w:t>
      </w:r>
      <w:r w:rsidRPr="00B740B4">
        <w:t xml:space="preserve">; v 28) could also simply mean </w:t>
      </w:r>
      <w:r w:rsidR="00934A11" w:rsidRPr="00B740B4">
        <w:t>“</w:t>
      </w:r>
      <w:r w:rsidRPr="00B740B4">
        <w:t>the future.</w:t>
      </w:r>
      <w:r w:rsidR="00934A11" w:rsidRPr="00B740B4">
        <w:t>”</w:t>
      </w:r>
      <w:r w:rsidR="00280443" w:rsidRPr="00B740B4">
        <w:t xml:space="preserve"> </w:t>
      </w:r>
      <w:r w:rsidRPr="00B740B4">
        <w:t xml:space="preserve"> </w:t>
      </w:r>
      <w:r w:rsidR="00D1366C" w:rsidRPr="00B740B4">
        <w:rPr>
          <w:rFonts w:ascii="Arial" w:hAnsi="Arial" w:cs="Arial"/>
        </w:rPr>
        <w:t>אחרית</w:t>
      </w:r>
      <w:r w:rsidR="00D1366C" w:rsidRPr="00B740B4">
        <w:t xml:space="preserve"> </w:t>
      </w:r>
      <w:r w:rsidR="00934A11" w:rsidRPr="00B740B4">
        <w:t>“</w:t>
      </w:r>
      <w:r w:rsidRPr="00B740B4">
        <w:t>end</w:t>
      </w:r>
      <w:r w:rsidR="00934A11" w:rsidRPr="00B740B4">
        <w:t>”</w:t>
      </w:r>
      <w:r w:rsidRPr="00B740B4">
        <w:t xml:space="preserve"> denotes not a single moment (contrast קץ </w:t>
      </w:r>
      <w:r w:rsidR="00934A11" w:rsidRPr="00B740B4">
        <w:t>“</w:t>
      </w:r>
      <w:r w:rsidRPr="00B740B4">
        <w:t>end</w:t>
      </w:r>
      <w:r w:rsidR="00934A11" w:rsidRPr="00B740B4">
        <w:t>”</w:t>
      </w:r>
      <w:r w:rsidRPr="00B740B4">
        <w:t xml:space="preserve">) but the last part or the aftermath of something (8:19, 23; 10:14; 11:4; 12:8), and </w:t>
      </w:r>
      <w:r w:rsidR="00D1366C" w:rsidRPr="00B740B4">
        <w:rPr>
          <w:rFonts w:ascii="Arial" w:hAnsi="Arial" w:cs="Arial"/>
        </w:rPr>
        <w:t>א</w:t>
      </w:r>
      <w:r w:rsidR="00FD547C">
        <w:rPr>
          <w:rFonts w:ascii="Arial" w:hAnsi="Arial" w:cs="Arial"/>
        </w:rPr>
        <w:t xml:space="preserve"> </w:t>
      </w:r>
      <w:r w:rsidR="00D1366C" w:rsidRPr="00B740B4">
        <w:rPr>
          <w:rFonts w:ascii="Arial" w:hAnsi="Arial" w:cs="Arial"/>
        </w:rPr>
        <w:t>י</w:t>
      </w:r>
      <w:r w:rsidR="00FD547C">
        <w:rPr>
          <w:rFonts w:ascii="Arial" w:hAnsi="Arial" w:cs="Arial"/>
        </w:rPr>
        <w:t xml:space="preserve"> </w:t>
      </w:r>
      <w:r w:rsidR="00D1366C" w:rsidRPr="00B740B4">
        <w:rPr>
          <w:rFonts w:ascii="Arial" w:hAnsi="Arial" w:cs="Arial"/>
        </w:rPr>
        <w:t>מ</w:t>
      </w:r>
      <w:r w:rsidR="00FD547C">
        <w:rPr>
          <w:rFonts w:ascii="Arial" w:hAnsi="Arial" w:cs="Arial"/>
        </w:rPr>
        <w:t xml:space="preserve"> </w:t>
      </w:r>
      <w:r w:rsidR="00D1366C" w:rsidRPr="00B740B4">
        <w:rPr>
          <w:rFonts w:ascii="Arial" w:hAnsi="Arial" w:cs="Arial"/>
        </w:rPr>
        <w:t>ו</w:t>
      </w:r>
      <w:r w:rsidR="00FD547C">
        <w:rPr>
          <w:rFonts w:ascii="Arial" w:hAnsi="Arial" w:cs="Arial"/>
        </w:rPr>
        <w:t xml:space="preserve"> </w:t>
      </w:r>
      <w:r w:rsidR="00D1366C" w:rsidRPr="00B740B4">
        <w:rPr>
          <w:rFonts w:ascii="Arial" w:hAnsi="Arial" w:cs="Arial"/>
        </w:rPr>
        <w:t>י</w:t>
      </w:r>
      <w:r w:rsidR="00D1366C" w:rsidRPr="00B740B4">
        <w:t xml:space="preserve"> </w:t>
      </w:r>
      <w:r w:rsidR="00FD547C">
        <w:t xml:space="preserve"> </w:t>
      </w:r>
      <w:r w:rsidR="00D1366C" w:rsidRPr="00B740B4">
        <w:rPr>
          <w:rFonts w:ascii="Arial" w:hAnsi="Arial" w:cs="Arial"/>
        </w:rPr>
        <w:t>אחרית</w:t>
      </w:r>
      <w:r w:rsidR="00D1366C" w:rsidRPr="00B740B4">
        <w:t xml:space="preserve"> </w:t>
      </w:r>
      <w:r w:rsidRPr="00B740B4">
        <w:t xml:space="preserve">could </w:t>
      </w:r>
      <w:r w:rsidR="00280443" w:rsidRPr="00B740B4">
        <w:t xml:space="preserve">thus </w:t>
      </w:r>
      <w:r w:rsidRPr="00B740B4">
        <w:t xml:space="preserve">mean </w:t>
      </w:r>
      <w:r w:rsidR="00934A11" w:rsidRPr="00B740B4">
        <w:t>“</w:t>
      </w:r>
      <w:r w:rsidRPr="00B740B4">
        <w:t>the last part/aftermath of the [present] days</w:t>
      </w:r>
      <w:r w:rsidR="00934A11" w:rsidRPr="00B740B4">
        <w:t>”</w:t>
      </w:r>
      <w:r w:rsidRPr="00B740B4">
        <w:t xml:space="preserve">; cf. Akk. </w:t>
      </w:r>
      <w:r w:rsidRPr="00B740B4">
        <w:rPr>
          <w:i/>
        </w:rPr>
        <w:t>ana ah-rat</w:t>
      </w:r>
      <w:r w:rsidR="00280443" w:rsidRPr="00B740B4">
        <w:rPr>
          <w:i/>
        </w:rPr>
        <w:t xml:space="preserve"> ūmū</w:t>
      </w:r>
      <w:r w:rsidRPr="00B740B4">
        <w:t xml:space="preserve"> meaning </w:t>
      </w:r>
      <w:r w:rsidR="00934A11" w:rsidRPr="00B740B4">
        <w:t>“</w:t>
      </w:r>
      <w:r w:rsidRPr="00B740B4">
        <w:t>in the future</w:t>
      </w:r>
      <w:r w:rsidR="00934A11" w:rsidRPr="00B740B4">
        <w:t>”</w:t>
      </w:r>
      <w:r w:rsidRPr="00B740B4">
        <w:t>.</w:t>
      </w:r>
      <w:r w:rsidR="00280443" w:rsidRPr="00B740B4">
        <w:rPr>
          <w:rStyle w:val="FootnoteReference"/>
        </w:rPr>
        <w:footnoteReference w:id="486"/>
      </w:r>
      <w:r w:rsidRPr="00B740B4">
        <w:t xml:space="preserve"> The fourteen OT occurrences of </w:t>
      </w:r>
      <w:r w:rsidR="00934A11" w:rsidRPr="00B740B4">
        <w:t>“</w:t>
      </w:r>
      <w:r w:rsidRPr="00B740B4">
        <w:t>at the end of the era/days</w:t>
      </w:r>
      <w:r w:rsidR="00934A11" w:rsidRPr="00B740B4">
        <w:t>”</w:t>
      </w:r>
      <w:r w:rsidRPr="00B740B4">
        <w:t xml:space="preserve"> (see BDB</w:t>
      </w:r>
      <w:r w:rsidR="00F9747D" w:rsidRPr="00B740B4">
        <w:t>,</w:t>
      </w:r>
      <w:r w:rsidRPr="00B740B4">
        <w:t xml:space="preserve"> 31),</w:t>
      </w:r>
      <w:r w:rsidR="00F9747D" w:rsidRPr="00B740B4">
        <w:t xml:space="preserve"> however, suggest that in BH/BA</w:t>
      </w:r>
      <w:r w:rsidRPr="00B740B4">
        <w:t xml:space="preserve"> the phrase has a more precise meaning. </w:t>
      </w:r>
      <w:r w:rsidR="00934A11" w:rsidRPr="00B740B4">
        <w:t>“</w:t>
      </w:r>
      <w:r w:rsidRPr="00B740B4">
        <w:t>The days</w:t>
      </w:r>
      <w:r w:rsidR="00934A11" w:rsidRPr="00B740B4">
        <w:t>”</w:t>
      </w:r>
      <w:r w:rsidRPr="00B740B4">
        <w:t xml:space="preserve"> are</w:t>
      </w:r>
      <w:r w:rsidR="00F9747D" w:rsidRPr="00B740B4">
        <w:t xml:space="preserve"> a possibly long but not interminable</w:t>
      </w:r>
      <w:r w:rsidRPr="00B740B4">
        <w:t xml:space="preserve"> period that will or must elapse before certain predictions, promises, or warnings are fulfilled. The phrase thus refers to the time of fullfillment. This </w:t>
      </w:r>
      <w:r w:rsidR="00D1366C" w:rsidRPr="00B740B4">
        <w:t xml:space="preserve">fulfillment </w:t>
      </w:r>
      <w:r w:rsidRPr="00B740B4">
        <w:t xml:space="preserve">may come at the End of the Age, though the phrase itself is not of </w:t>
      </w:r>
      <w:r w:rsidR="00276DC1">
        <w:t>eschatological significance</w:t>
      </w:r>
      <w:r w:rsidR="00F9747D" w:rsidRPr="00B740B4">
        <w:t xml:space="preserve">; it </w:t>
      </w:r>
      <w:r w:rsidRPr="00B740B4">
        <w:t xml:space="preserve">acquires this association </w:t>
      </w:r>
      <w:r w:rsidR="00F9747D" w:rsidRPr="00B740B4">
        <w:t xml:space="preserve">only </w:t>
      </w:r>
      <w:r w:rsidRPr="00B740B4">
        <w:t>through being used in</w:t>
      </w:r>
      <w:r w:rsidR="00DF07D9" w:rsidRPr="00B740B4">
        <w:t xml:space="preserve"> such contexts (cf. CD 4.4; 1QSa</w:t>
      </w:r>
      <w:r w:rsidRPr="00B740B4">
        <w:t xml:space="preserve"> 1.1). In vv 28</w:t>
      </w:r>
      <w:r w:rsidR="00F9747D" w:rsidRPr="00B740B4">
        <w:t xml:space="preserve">–29, then, </w:t>
      </w:r>
      <w:r w:rsidR="00934A11" w:rsidRPr="00B740B4">
        <w:t>“</w:t>
      </w:r>
      <w:r w:rsidR="00F9747D" w:rsidRPr="00B740B4">
        <w:t>in the future</w:t>
      </w:r>
      <w:r w:rsidR="00934A11" w:rsidRPr="00B740B4">
        <w:t>”</w:t>
      </w:r>
      <w:r w:rsidR="00F9747D" w:rsidRPr="00B740B4">
        <w:t xml:space="preserve"> </w:t>
      </w:r>
      <w:r w:rsidRPr="00B740B4">
        <w:t>denote</w:t>
      </w:r>
      <w:r w:rsidR="00F9747D" w:rsidRPr="00B740B4">
        <w:t>s</w:t>
      </w:r>
      <w:r w:rsidRPr="00B740B4">
        <w:t xml:space="preserve"> the whole period from Nebuchadnezzar onward (cf. v 45), while </w:t>
      </w:r>
      <w:r w:rsidR="00934A11" w:rsidRPr="00B740B4">
        <w:t>“</w:t>
      </w:r>
      <w:r w:rsidRPr="00B740B4">
        <w:t>at the end of the era</w:t>
      </w:r>
      <w:r w:rsidR="00934A11" w:rsidRPr="00B740B4">
        <w:t>”</w:t>
      </w:r>
      <w:r w:rsidRPr="00B740B4">
        <w:t xml:space="preserve"> refers more specifically to the events that bring that whole period to a close (cf. v 44).</w:t>
      </w:r>
      <w:r w:rsidR="00F9747D" w:rsidRPr="00B740B4">
        <w:rPr>
          <w:rStyle w:val="FootnoteReference"/>
        </w:rPr>
        <w:footnoteReference w:id="487"/>
      </w:r>
      <w:r w:rsidRPr="00B740B4">
        <w:t xml:space="preserve"> </w:t>
      </w:r>
    </w:p>
    <w:p w:rsidR="00C35D91" w:rsidRPr="00B740B4" w:rsidRDefault="00C35D91" w:rsidP="00C35D91">
      <w:r w:rsidRPr="00B740B4">
        <w:rPr>
          <w:b/>
        </w:rPr>
        <w:t>31–35</w:t>
      </w:r>
      <w:r w:rsidRPr="00B740B4">
        <w:t xml:space="preserve"> A variety of extrabiblical backgrounds have been posited for the five-part statue (see </w:t>
      </w:r>
      <w:r w:rsidRPr="00B740B4">
        <w:rPr>
          <w:i/>
        </w:rPr>
        <w:t>Form</w:t>
      </w:r>
      <w:r w:rsidRPr="00B740B4">
        <w:t>). For its materials, the OT background is at least as significant</w:t>
      </w:r>
      <w:r w:rsidR="00BC59EA" w:rsidRPr="00B740B4">
        <w:t>.</w:t>
      </w:r>
      <w:r w:rsidR="00BC59EA" w:rsidRPr="00B740B4">
        <w:rPr>
          <w:rStyle w:val="FootnoteReference"/>
        </w:rPr>
        <w:footnoteReference w:id="488"/>
      </w:r>
      <w:r w:rsidRPr="00B740B4">
        <w:t xml:space="preserve"> Gold and silver are standard symbols for what is majestic and precious, in p</w:t>
      </w:r>
      <w:r w:rsidR="000F7972">
        <w:t>olitical and religious contexts;</w:t>
      </w:r>
      <w:r w:rsidRPr="00B740B4">
        <w:t xml:space="preserve"> bronze and iron </w:t>
      </w:r>
      <w:r w:rsidR="000F7972" w:rsidRPr="000F7972">
        <w:t xml:space="preserve">are standard symbols </w:t>
      </w:r>
      <w:r w:rsidRPr="00B740B4">
        <w:t>for what is strong and hard. The four metals together sum up the variety of valuable nat</w:t>
      </w:r>
      <w:r w:rsidR="000F7972">
        <w:t xml:space="preserve">ural </w:t>
      </w:r>
      <w:r w:rsidR="00B73A6D">
        <w:t>resources or valuable plunder</w:t>
      </w:r>
      <w:r w:rsidRPr="00B740B4">
        <w:t xml:space="preserve"> (Josh 6:19, 24; 22:8; Job 28:1</w:t>
      </w:r>
      <w:r w:rsidR="000F7972">
        <w:t xml:space="preserve">–2). There is no implication of </w:t>
      </w:r>
      <w:r w:rsidRPr="00B740B4">
        <w:t xml:space="preserve">deterioration as we move from head to trunk to hips to legs; nor are these four </w:t>
      </w:r>
      <w:r w:rsidR="00934A11" w:rsidRPr="00B740B4">
        <w:t>“</w:t>
      </w:r>
      <w:r w:rsidRPr="00B740B4">
        <w:t>the metals of idolatry</w:t>
      </w:r>
      <w:r w:rsidR="00934A11" w:rsidRPr="00B740B4">
        <w:t>”</w:t>
      </w:r>
      <w:r w:rsidRPr="00B740B4">
        <w:t xml:space="preserve"> (cf. 3:1; 5:2, 23).</w:t>
      </w:r>
      <w:r w:rsidR="00BC59EA" w:rsidRPr="00B740B4">
        <w:rPr>
          <w:rStyle w:val="FootnoteReference"/>
        </w:rPr>
        <w:footnoteReference w:id="489"/>
      </w:r>
      <w:r w:rsidRPr="00B740B4">
        <w:t xml:space="preserve"> So far, </w:t>
      </w:r>
      <w:r w:rsidR="00BC59EA" w:rsidRPr="00B740B4">
        <w:t xml:space="preserve">then, </w:t>
      </w:r>
      <w:r w:rsidRPr="00B740B4">
        <w:t>the statue embodies a many-faceted power, splendor, st</w:t>
      </w:r>
      <w:r w:rsidR="00853E9F" w:rsidRPr="00B740B4">
        <w:t>r</w:t>
      </w:r>
      <w:r w:rsidRPr="00B740B4">
        <w:t>ength, and impressiveness. Clay, however, suggests weakness and transience (Jo</w:t>
      </w:r>
      <w:r w:rsidR="000F7972">
        <w:t xml:space="preserve">b 4; 19; 13:12), so that pottery is </w:t>
      </w:r>
      <w:r w:rsidRPr="00B740B4">
        <w:t>a quite alien element, the antithesis of the political power and strength implied by the four metals (see Isa 41:25 in the context of 4</w:t>
      </w:r>
      <w:r w:rsidR="00D1366C" w:rsidRPr="00B740B4">
        <w:t>0:19; 45:2),</w:t>
      </w:r>
      <w:r w:rsidR="00BC59EA" w:rsidRPr="00B740B4">
        <w:t xml:space="preserve"> threatening</w:t>
      </w:r>
      <w:r w:rsidRPr="00B740B4">
        <w:t xml:space="preserve"> the stability of the otherwise uniformly overpowering edifice that towers above it. All that is needed for the edifice to co</w:t>
      </w:r>
      <w:r w:rsidR="00BC59EA" w:rsidRPr="00B740B4">
        <w:t>llapse is a chance rockfall to hit</w:t>
      </w:r>
      <w:r w:rsidRPr="00B740B4">
        <w:t xml:space="preserve"> the statue at its weak point. The logic-suspending fantasy of dream then appears at its strongest as the awesome statue is not just toppled but in an instant turned into mere wheat husks as they are blown away from the threshing floors exposed to the wind (recalling Isa 41:12–16), while the rock grows into a monumental crag that dominates the whole world (recalling Isa 2:2–3; 11:9).</w:t>
      </w:r>
    </w:p>
    <w:p w:rsidR="00C35D91" w:rsidRPr="00B740B4" w:rsidRDefault="00C35D91" w:rsidP="00C35D91">
      <w:r w:rsidRPr="00B740B4">
        <w:rPr>
          <w:b/>
        </w:rPr>
        <w:t>36–43</w:t>
      </w:r>
      <w:r w:rsidRPr="00B740B4">
        <w:t xml:space="preserve"> The statue’s four parts signify four regimes. מלכו can denote roy</w:t>
      </w:r>
      <w:r w:rsidR="003F14FD" w:rsidRPr="00B740B4">
        <w:t>al authority (5:18), realm (4:18 [15]), individual reign (6:28 [29</w:t>
      </w:r>
      <w:r w:rsidRPr="00B740B4">
        <w:t xml:space="preserve">]), or empire (7:23). The four </w:t>
      </w:r>
      <w:r w:rsidR="00262B6A" w:rsidRPr="00B740B4">
        <w:rPr>
          <w:rFonts w:ascii="Arial" w:hAnsi="Arial" w:cs="Arial"/>
        </w:rPr>
        <w:t>מלכותא</w:t>
      </w:r>
      <w:r w:rsidR="00262B6A" w:rsidRPr="00B740B4">
        <w:t xml:space="preserve"> have </w:t>
      </w:r>
      <w:r w:rsidRPr="00B740B4">
        <w:t>usually been interpreted as four empires, but Nebuchadnezzar personally is the head, so it is more natural to refer them to the re</w:t>
      </w:r>
      <w:r w:rsidR="00853E9F" w:rsidRPr="00B740B4">
        <w:t>ig</w:t>
      </w:r>
      <w:r w:rsidRPr="00B740B4">
        <w:t xml:space="preserve">ns of </w:t>
      </w:r>
      <w:r w:rsidR="00367A1F" w:rsidRPr="00B740B4">
        <w:t>four kings over a single empire.</w:t>
      </w:r>
      <w:r w:rsidRPr="00B740B4">
        <w:t xml:space="preserve"> </w:t>
      </w:r>
      <w:r w:rsidR="00367A1F" w:rsidRPr="00B740B4">
        <w:t xml:space="preserve">The four metals are all part of one body </w:t>
      </w:r>
      <w:r w:rsidR="002B2A09" w:rsidRPr="00B740B4">
        <w:t xml:space="preserve">which is then </w:t>
      </w:r>
      <w:r w:rsidRPr="00B740B4">
        <w:lastRenderedPageBreak/>
        <w:t xml:space="preserve">destroyed at a blow by the </w:t>
      </w:r>
      <w:r w:rsidR="00934A11" w:rsidRPr="00B740B4">
        <w:t>“</w:t>
      </w:r>
      <w:r w:rsidRPr="00B740B4">
        <w:t>rock.</w:t>
      </w:r>
      <w:r w:rsidR="00934A11" w:rsidRPr="00B740B4">
        <w:t>”</w:t>
      </w:r>
      <w:r w:rsidR="00444F54" w:rsidRPr="00B740B4">
        <w:rPr>
          <w:rStyle w:val="FootnoteReference"/>
        </w:rPr>
        <w:footnoteReference w:id="490"/>
      </w:r>
      <w:r w:rsidRPr="00B740B4">
        <w:t xml:space="preserve"> In contrast to the dream, the interpretation gives special attention to the first and last elements in the statue. Nebuchadnezzar’s empire was indeed the most powerful o</w:t>
      </w:r>
      <w:r w:rsidR="00716B34" w:rsidRPr="00B740B4">
        <w:t xml:space="preserve">f his day, and it was </w:t>
      </w:r>
      <w:r w:rsidRPr="00B740B4">
        <w:t>the one that dominated the people of God for severa</w:t>
      </w:r>
      <w:r w:rsidR="00716B34" w:rsidRPr="00B740B4">
        <w:t>l generations. The description</w:t>
      </w:r>
      <w:r w:rsidRPr="00B740B4">
        <w:t xml:space="preserve"> of Nebuchadnezzar combines an an</w:t>
      </w:r>
      <w:r w:rsidR="000265D7" w:rsidRPr="00B740B4">
        <w:t xml:space="preserve">ticipation of Dan 4 (esp. </w:t>
      </w:r>
      <w:r w:rsidR="000F7972">
        <w:t xml:space="preserve">vv </w:t>
      </w:r>
      <w:r w:rsidRPr="00B740B4">
        <w:t>10–12, 20–22</w:t>
      </w:r>
      <w:r w:rsidR="000F7972">
        <w:t xml:space="preserve"> [7-9, 17-19]</w:t>
      </w:r>
      <w:r w:rsidRPr="00B740B4">
        <w:t>) with a recollection of Jer 27:5–8 // Ps 8. Underlying these passages (and thus less directly Dan 2) are conventions of asserting humanity’s dignity and</w:t>
      </w:r>
      <w:r w:rsidR="00262B6A" w:rsidRPr="00B740B4">
        <w:t xml:space="preserve"> lordship by attributing to humanity</w:t>
      </w:r>
      <w:r w:rsidRPr="00B740B4">
        <w:t xml:space="preserve"> authority over the animal creation. These conventions also underlie Gen 1–2, and perhaps also eastern monarchs’ est</w:t>
      </w:r>
      <w:r w:rsidR="00853E9F" w:rsidRPr="00B740B4">
        <w:t>ablishing of game parks for cap</w:t>
      </w:r>
      <w:r w:rsidRPr="00B740B4">
        <w:t>t</w:t>
      </w:r>
      <w:r w:rsidR="00853E9F" w:rsidRPr="00B740B4">
        <w:t>u</w:t>
      </w:r>
      <w:r w:rsidRPr="00B740B4">
        <w:t>red wild animals.</w:t>
      </w:r>
      <w:r w:rsidR="00716B34" w:rsidRPr="00B740B4">
        <w:rPr>
          <w:rStyle w:val="FootnoteReference"/>
        </w:rPr>
        <w:footnoteReference w:id="491"/>
      </w:r>
      <w:r w:rsidR="00716B34" w:rsidRPr="00B740B4">
        <w:t xml:space="preserve"> Verse 38 </w:t>
      </w:r>
      <w:r w:rsidRPr="00B740B4">
        <w:t xml:space="preserve">thus </w:t>
      </w:r>
      <w:r w:rsidR="00716B34" w:rsidRPr="00B740B4">
        <w:t xml:space="preserve">communicates </w:t>
      </w:r>
      <w:r w:rsidRPr="00B740B4">
        <w:t>Nebuchadnezzar’s worldwide rule metaphorically, as the description of him as king among kings (cf. Ezek 26:7, and common with reference to Persian and Seleuc</w:t>
      </w:r>
      <w:r w:rsidR="00262B6A" w:rsidRPr="00B740B4">
        <w:t xml:space="preserve">id kings) does so more straightforwardly. </w:t>
      </w:r>
      <w:r w:rsidRPr="00B740B4">
        <w:t>Nebuchadnezzar ru</w:t>
      </w:r>
      <w:r w:rsidR="00262B6A" w:rsidRPr="00B740B4">
        <w:t xml:space="preserve">les by the gift of God. Even his might, authority, and glory </w:t>
      </w:r>
      <w:r w:rsidRPr="00B740B4">
        <w:t xml:space="preserve">come not from himself but from the God of </w:t>
      </w:r>
      <w:r w:rsidR="00E025B5" w:rsidRPr="00B740B4">
        <w:t xml:space="preserve">the </w:t>
      </w:r>
      <w:r w:rsidRPr="00B740B4">
        <w:t>heaven</w:t>
      </w:r>
      <w:r w:rsidR="00E025B5" w:rsidRPr="00B740B4">
        <w:t>s</w:t>
      </w:r>
      <w:r w:rsidRPr="00B740B4">
        <w:t>, the Lord even of the king among kings (v 47).</w:t>
      </w:r>
    </w:p>
    <w:p w:rsidR="00C35D91" w:rsidRPr="00B740B4" w:rsidRDefault="00C35D91" w:rsidP="00C35D91">
      <w:r w:rsidRPr="00B740B4">
        <w:t>Jeremiah speaks of the rule of Nebuchadnezzar’s son and grandson after him, until after sev</w:t>
      </w:r>
      <w:r w:rsidR="00716B34" w:rsidRPr="00B740B4">
        <w:t xml:space="preserve">enty years </w:t>
      </w:r>
      <w:r w:rsidR="00934A11" w:rsidRPr="00B740B4">
        <w:t>“</w:t>
      </w:r>
      <w:r w:rsidR="00716B34" w:rsidRPr="00B740B4">
        <w:t>the time of his country</w:t>
      </w:r>
      <w:r w:rsidR="00934A11" w:rsidRPr="00B740B4">
        <w:t>”</w:t>
      </w:r>
      <w:r w:rsidR="00262B6A" w:rsidRPr="00B740B4">
        <w:t xml:space="preserve"> comes (25:12; 27:7). This</w:t>
      </w:r>
      <w:r w:rsidRPr="00B740B4">
        <w:t xml:space="preserve"> perspective </w:t>
      </w:r>
      <w:r w:rsidR="00262B6A" w:rsidRPr="00B740B4">
        <w:t xml:space="preserve">thus extends beyond that of Dan 4 </w:t>
      </w:r>
      <w:r w:rsidR="00B938F3" w:rsidRPr="00B740B4">
        <w:t>(</w:t>
      </w:r>
      <w:r w:rsidR="00262B6A" w:rsidRPr="00B740B4">
        <w:t>with its reference to</w:t>
      </w:r>
      <w:r w:rsidRPr="00B740B4">
        <w:t xml:space="preserve"> a particular context in Nebuchadnezzar’s own lifetime</w:t>
      </w:r>
      <w:r w:rsidR="00B938F3" w:rsidRPr="00B740B4">
        <w:t>)</w:t>
      </w:r>
      <w:r w:rsidRPr="00B740B4">
        <w:t xml:space="preserve"> to God’s activity as Lord of the future history of Nebuchadnezzar’s empire.</w:t>
      </w:r>
      <w:r w:rsidR="00716B34" w:rsidRPr="00B740B4">
        <w:rPr>
          <w:rStyle w:val="FootnoteReference"/>
        </w:rPr>
        <w:footnoteReference w:id="492"/>
      </w:r>
      <w:r w:rsidRPr="00B740B4">
        <w:t xml:space="preserve"> In recalling Jeremiah’s words and his figure of speech, Daniel adapts them to another figure, four kings suggesting completeness (cf. four quarters of the world, four seasons, and especially the four hor</w:t>
      </w:r>
      <w:r w:rsidR="000F7972">
        <w:t xml:space="preserve">ns/smiths of Zech </w:t>
      </w:r>
      <w:r w:rsidRPr="00B740B4">
        <w:t>1:18–21</w:t>
      </w:r>
      <w:r w:rsidR="000F7972">
        <w:t xml:space="preserve"> [2:1-4</w:t>
      </w:r>
      <w:r w:rsidRPr="00B740B4">
        <w:t xml:space="preserve">]). Possibly this </w:t>
      </w:r>
      <w:r w:rsidR="00716B34" w:rsidRPr="00B740B4">
        <w:t xml:space="preserve">presentation </w:t>
      </w:r>
      <w:r w:rsidRPr="00B740B4">
        <w:t>reflects the historical fact that Nebuchadnezzar was to have more than two successors before the seventy years would elapse.</w:t>
      </w:r>
    </w:p>
    <w:p w:rsidR="00C35D91" w:rsidRPr="00B740B4" w:rsidRDefault="00C35D91" w:rsidP="00C35D91">
      <w:r w:rsidRPr="00B740B4">
        <w:t xml:space="preserve">In Dan 2, the second regime is inferior to the first, the third </w:t>
      </w:r>
      <w:r w:rsidR="00716B34" w:rsidRPr="00B740B4">
        <w:t xml:space="preserve">is </w:t>
      </w:r>
      <w:r w:rsidRPr="00B740B4">
        <w:t xml:space="preserve">equal to it in power, </w:t>
      </w:r>
      <w:r w:rsidR="00716B34" w:rsidRPr="00B740B4">
        <w:t xml:space="preserve">and </w:t>
      </w:r>
      <w:r w:rsidRPr="00B740B4">
        <w:t xml:space="preserve">the fourth </w:t>
      </w:r>
      <w:r w:rsidR="00716B34" w:rsidRPr="00B740B4">
        <w:t xml:space="preserve">is </w:t>
      </w:r>
      <w:r w:rsidRPr="00B740B4">
        <w:t xml:space="preserve">of devastating might but ultimate vulnerability. The sequence thus manifests no consistent pattern of degeneration, as in Hesiod, </w:t>
      </w:r>
      <w:r w:rsidR="00716B34" w:rsidRPr="00B740B4">
        <w:t>n</w:t>
      </w:r>
      <w:r w:rsidRPr="00B740B4">
        <w:t xml:space="preserve">or </w:t>
      </w:r>
      <w:r w:rsidR="00716B34" w:rsidRPr="00B740B4">
        <w:t xml:space="preserve">a pattern </w:t>
      </w:r>
      <w:r w:rsidRPr="00B740B4">
        <w:t xml:space="preserve">of contrast between the first three and the last, </w:t>
      </w:r>
      <w:r w:rsidR="009769B5" w:rsidRPr="00B740B4">
        <w:t xml:space="preserve">nor </w:t>
      </w:r>
      <w:r w:rsidRPr="00B740B4">
        <w:t xml:space="preserve">a good-bad-good-bad sequence like that of some Babylonian </w:t>
      </w:r>
      <w:r w:rsidR="00CD7A25">
        <w:t>quasi-prediction</w:t>
      </w:r>
      <w:r w:rsidRPr="00B740B4">
        <w:t xml:space="preserve">s (see </w:t>
      </w:r>
      <w:r w:rsidRPr="00B740B4">
        <w:rPr>
          <w:i/>
        </w:rPr>
        <w:t>Form</w:t>
      </w:r>
      <w:r w:rsidRPr="00B740B4">
        <w:t>). Daniel passes quickly over the second and third regimes, however, in order to focus on the fourth, elaborating on the dream’s brief description (e</w:t>
      </w:r>
      <w:r w:rsidR="00B938F3" w:rsidRPr="00B740B4">
        <w:t>.g., adding the toes) as he elaborates</w:t>
      </w:r>
      <w:r w:rsidRPr="00B740B4">
        <w:t xml:space="preserve"> on the first. The fourth regime has a crushing power (v 40) but an unexpected f</w:t>
      </w:r>
      <w:r w:rsidR="009769B5" w:rsidRPr="00B740B4">
        <w:t>ragility (vv 41–42: see n. 41.c</w:t>
      </w:r>
      <w:r w:rsidRPr="00B740B4">
        <w:t>). It seeks to repair this</w:t>
      </w:r>
      <w:r w:rsidR="009769B5" w:rsidRPr="00B740B4">
        <w:t xml:space="preserve"> weakness</w:t>
      </w:r>
      <w:r w:rsidRPr="00B740B4">
        <w:t>, but</w:t>
      </w:r>
      <w:r w:rsidR="009769B5" w:rsidRPr="00B740B4">
        <w:t xml:space="preserve"> it</w:t>
      </w:r>
      <w:r w:rsidRPr="00B740B4">
        <w:t xml:space="preserve"> cannot do so in a lasting way (v 43: the </w:t>
      </w:r>
      <w:r w:rsidR="009769B5" w:rsidRPr="00B740B4">
        <w:t xml:space="preserve">description sounds like a reference </w:t>
      </w:r>
      <w:r w:rsidRPr="00B740B4">
        <w:t xml:space="preserve">to intermarriage). </w:t>
      </w:r>
      <w:r w:rsidR="002B2A09" w:rsidRPr="00B740B4">
        <w:t xml:space="preserve">Whereas Daniel thus </w:t>
      </w:r>
      <w:r w:rsidRPr="00B740B4">
        <w:t xml:space="preserve">characterizes the world power in originally positive terms, </w:t>
      </w:r>
      <w:r w:rsidR="00B938F3" w:rsidRPr="00B740B4">
        <w:t xml:space="preserve">as </w:t>
      </w:r>
      <w:r w:rsidRPr="00B740B4">
        <w:t>impressive and deserving of admi</w:t>
      </w:r>
      <w:r w:rsidR="002B2A09" w:rsidRPr="00B740B4">
        <w:t>ration in its God-given might, i</w:t>
      </w:r>
      <w:r w:rsidRPr="00B740B4">
        <w:t xml:space="preserve">n </w:t>
      </w:r>
      <w:r w:rsidR="00367A1F" w:rsidRPr="00B740B4">
        <w:t>its final manifestation</w:t>
      </w:r>
      <w:r w:rsidRPr="00B740B4">
        <w:t xml:space="preserve"> its power has become crushing—though not explicitly wicked—yet strangely vulnerable and needing to be buttressed by desperate and doomed means.</w:t>
      </w:r>
    </w:p>
    <w:p w:rsidR="00367A1F" w:rsidRPr="00B740B4" w:rsidRDefault="008818B6" w:rsidP="00367A1F">
      <w:r w:rsidRPr="00B740B4">
        <w:t>Chap.</w:t>
      </w:r>
      <w:r w:rsidR="00C35D91" w:rsidRPr="00B740B4">
        <w:t xml:space="preserve"> 2 does not identify the second, third, and fourth regimes. In </w:t>
      </w:r>
      <w:r w:rsidRPr="00B740B4">
        <w:t>chap.</w:t>
      </w:r>
      <w:r w:rsidR="00C35D91" w:rsidRPr="00B740B4">
        <w:t xml:space="preserve"> 7 the motif of four regimes recurs in the context of the setting of chaps. 7–12 in the Greek period, but</w:t>
      </w:r>
      <w:r w:rsidR="00512F36">
        <w:t xml:space="preserve"> one should not </w:t>
      </w:r>
      <w:r w:rsidR="00367A1F" w:rsidRPr="00B740B4">
        <w:t>assume that the</w:t>
      </w:r>
      <w:r w:rsidR="00C35D91" w:rsidRPr="00B740B4">
        <w:t xml:space="preserve"> motif is used in the same connection in </w:t>
      </w:r>
      <w:r w:rsidRPr="00B740B4">
        <w:t>chap.</w:t>
      </w:r>
      <w:r w:rsidR="00C35D91" w:rsidRPr="00B740B4">
        <w:t xml:space="preserve"> 2. The characterization of the fourth </w:t>
      </w:r>
      <w:r w:rsidR="00B938F3" w:rsidRPr="00B740B4">
        <w:t xml:space="preserve">regime </w:t>
      </w:r>
      <w:r w:rsidR="00367A1F" w:rsidRPr="00B740B4">
        <w:t>in vv 40–43</w:t>
      </w:r>
      <w:r w:rsidR="00C35D91" w:rsidRPr="00B740B4">
        <w:t xml:space="preserve"> has been connected with events in the Greek period</w:t>
      </w:r>
      <w:r w:rsidR="009769B5" w:rsidRPr="00B740B4">
        <w:t>,</w:t>
      </w:r>
      <w:r w:rsidR="009769B5" w:rsidRPr="00B740B4">
        <w:rPr>
          <w:rStyle w:val="FootnoteReference"/>
        </w:rPr>
        <w:footnoteReference w:id="493"/>
      </w:r>
      <w:r w:rsidR="00C35D91" w:rsidRPr="00B740B4">
        <w:t xml:space="preserve"> but it could as easily apply to the Babylonians or Persians. </w:t>
      </w:r>
      <w:r w:rsidR="00367A1F" w:rsidRPr="00B740B4">
        <w:t xml:space="preserve">The hypothesis that the four-empire scheme of chap. 7 developed from one that referred to a sequence of regimes fits with other possibilities regarding the diverse history of three- </w:t>
      </w:r>
      <w:r w:rsidR="00367A1F" w:rsidRPr="00B740B4">
        <w:lastRenderedPageBreak/>
        <w:t>and four-empire schemes.</w:t>
      </w:r>
      <w:r w:rsidR="00367A1F" w:rsidRPr="00B740B4">
        <w:rPr>
          <w:vertAlign w:val="superscript"/>
        </w:rPr>
        <w:footnoteReference w:id="494"/>
      </w:r>
      <w:r w:rsidR="00512F36">
        <w:t xml:space="preserve"> It does not carry the implication that chap. 2 had the same significance; indeed, it might seem more likely that the opposite was the case.</w:t>
      </w:r>
    </w:p>
    <w:p w:rsidR="00C35D91" w:rsidRPr="00B740B4" w:rsidRDefault="00C35D91" w:rsidP="00C35D91">
      <w:r w:rsidRPr="00B740B4">
        <w:t>Historically, Nebuchadnezzar II (604–562) was follow</w:t>
      </w:r>
      <w:r w:rsidR="001A71CF">
        <w:t>ed by Amel-Marduk (Ew</w:t>
      </w:r>
      <w:r w:rsidR="00512F36">
        <w:t>il-merodak</w:t>
      </w:r>
      <w:r w:rsidRPr="00B740B4">
        <w:t>) (562–560), Nergal-šar-uṣur (Neriglissar (560–556), Labaši-Marduk (556), and Nabuna’id (Nabonidus) (556–539), whose son Bel-šar-uṣur (Belshazzar) was regent in Babylon when Cyrus conquered the city.</w:t>
      </w:r>
      <w:r w:rsidR="00F56602">
        <w:rPr>
          <w:rStyle w:val="FootnoteReference"/>
        </w:rPr>
        <w:footnoteReference w:id="495"/>
      </w:r>
      <w:r w:rsidRPr="00B740B4">
        <w:t xml:space="preserve"> The four reigns might thus be those of four of these kings,</w:t>
      </w:r>
      <w:r w:rsidR="009769B5" w:rsidRPr="00B740B4">
        <w:rPr>
          <w:rStyle w:val="FootnoteReference"/>
        </w:rPr>
        <w:footnoteReference w:id="496"/>
      </w:r>
      <w:r w:rsidRPr="00B740B4">
        <w:t xml:space="preserve"> or—less plausibly—four Assyrian kings</w:t>
      </w:r>
      <w:r w:rsidR="00B70BE6" w:rsidRPr="00B740B4">
        <w:t>,</w:t>
      </w:r>
      <w:r w:rsidR="00B70BE6" w:rsidRPr="00B740B4">
        <w:rPr>
          <w:rStyle w:val="FootnoteReference"/>
        </w:rPr>
        <w:footnoteReference w:id="497"/>
      </w:r>
      <w:r w:rsidRPr="00B740B4">
        <w:t xml:space="preserve"> Persian kings,</w:t>
      </w:r>
      <w:r w:rsidR="00B70BE6" w:rsidRPr="00B740B4">
        <w:rPr>
          <w:rStyle w:val="FootnoteReference"/>
        </w:rPr>
        <w:footnoteReference w:id="498"/>
      </w:r>
      <w:r w:rsidR="00B70BE6" w:rsidRPr="00B740B4">
        <w:t xml:space="preserve"> or Ptolemaic kings</w:t>
      </w:r>
      <w:r w:rsidRPr="00B740B4">
        <w:t>.</w:t>
      </w:r>
      <w:r w:rsidR="00B70BE6" w:rsidRPr="00B740B4">
        <w:rPr>
          <w:rStyle w:val="FootnoteReference"/>
        </w:rPr>
        <w:footnoteReference w:id="499"/>
      </w:r>
      <w:r w:rsidRPr="00B740B4">
        <w:t xml:space="preserve"> The possibility of these various interpretations raises the question whether the text’s unspecificness makes it inappropriate to attempt to identify the rulers referred to after Neb</w:t>
      </w:r>
      <w:r w:rsidR="00B70BE6" w:rsidRPr="00B740B4">
        <w:t>uchadnezzar, as Jer 27 names no specific descendants</w:t>
      </w:r>
      <w:r w:rsidRPr="00B740B4">
        <w:t xml:space="preserve"> but simply has</w:t>
      </w:r>
      <w:r w:rsidR="00CA34AD" w:rsidRPr="00B740B4">
        <w:t xml:space="preserve"> them in prospect</w:t>
      </w:r>
      <w:r w:rsidRPr="00B740B4">
        <w:t>.</w:t>
      </w:r>
      <w:r w:rsidR="00B70BE6" w:rsidRPr="00B740B4">
        <w:rPr>
          <w:rStyle w:val="FootnoteReference"/>
        </w:rPr>
        <w:footnoteReference w:id="500"/>
      </w:r>
      <w:r w:rsidRPr="00B740B4">
        <w:t xml:space="preserve"> Perhaps even the symbolic number </w:t>
      </w:r>
      <w:r w:rsidR="00934A11" w:rsidRPr="00B740B4">
        <w:t>“</w:t>
      </w:r>
      <w:r w:rsidRPr="00B740B4">
        <w:t>four</w:t>
      </w:r>
      <w:r w:rsidR="00934A11" w:rsidRPr="00B740B4">
        <w:t>”</w:t>
      </w:r>
      <w:r w:rsidRPr="00B740B4">
        <w:t xml:space="preserve"> cannot be pressed historically. There are, indeed, hints of five regimes in vv 32–33, 45, and a five-regime scheme might have been brought into con</w:t>
      </w:r>
      <w:r w:rsidR="00B70BE6" w:rsidRPr="00B740B4">
        <w:t>formity with a four-regime one</w:t>
      </w:r>
      <w:r w:rsidRPr="00B740B4">
        <w:t>.</w:t>
      </w:r>
      <w:r w:rsidR="00B70BE6" w:rsidRPr="00B740B4">
        <w:rPr>
          <w:rStyle w:val="FootnoteReference"/>
        </w:rPr>
        <w:footnoteReference w:id="501"/>
      </w:r>
      <w:r w:rsidRPr="00B740B4">
        <w:t xml:space="preserve"> There is a similar tension within some of the extrabiblical material.</w:t>
      </w:r>
    </w:p>
    <w:p w:rsidR="00630E4B" w:rsidRPr="00B740B4" w:rsidRDefault="00433F41" w:rsidP="00C35D91">
      <w:r w:rsidRPr="00B740B4">
        <w:t>T</w:t>
      </w:r>
      <w:r w:rsidR="00C35D91" w:rsidRPr="00B740B4">
        <w:t>he unspecificity of Dan 2 means</w:t>
      </w:r>
      <w:r w:rsidRPr="00B740B4">
        <w:t xml:space="preserve"> that the four regimes can </w:t>
      </w:r>
      <w:r w:rsidR="00C35D91" w:rsidRPr="00B740B4">
        <w:t xml:space="preserve">be identified </w:t>
      </w:r>
      <w:r w:rsidRPr="00B740B4">
        <w:t xml:space="preserve">only </w:t>
      </w:r>
      <w:r w:rsidR="00C35D91" w:rsidRPr="00B740B4">
        <w:t xml:space="preserve">on </w:t>
      </w:r>
      <w:r w:rsidR="00630E4B" w:rsidRPr="00B740B4">
        <w:t>grounds external to the chapter. On the basis of other OT material t</w:t>
      </w:r>
      <w:r w:rsidR="00B70BE6" w:rsidRPr="00B740B4">
        <w:t>hey could</w:t>
      </w:r>
      <w:r w:rsidR="00C35D91" w:rsidRPr="00B740B4">
        <w:t xml:space="preserve"> be linked with Nebuchadnezzar and three of his Babylonian successors: the rock then is Cyrus, which fits with the role ascribed to him in Isa 41; 45. The downfall of the empire of Nebuchadnezzar and his Babylonia</w:t>
      </w:r>
      <w:r w:rsidRPr="00B740B4">
        <w:t xml:space="preserve">n successors at </w:t>
      </w:r>
      <w:r w:rsidR="00E45228">
        <w:t>Cyrus’</w:t>
      </w:r>
      <w:r w:rsidR="00512F36">
        <w:t xml:space="preserve"> hand therefore</w:t>
      </w:r>
      <w:r w:rsidRPr="00B740B4">
        <w:t xml:space="preserve"> links</w:t>
      </w:r>
      <w:r w:rsidR="00C35D91" w:rsidRPr="00B740B4">
        <w:t xml:space="preserve"> with the end of Judah’s exile, which fits with the promises in Jer 25:12; 27:7.</w:t>
      </w:r>
      <w:r w:rsidR="00630E4B" w:rsidRPr="00B740B4">
        <w:t xml:space="preserve"> </w:t>
      </w:r>
      <w:r w:rsidR="00C35D91" w:rsidRPr="00B740B4">
        <w:t>But Daniel itself does</w:t>
      </w:r>
      <w:r w:rsidR="00630E4B" w:rsidRPr="00B740B4">
        <w:t xml:space="preserve"> not </w:t>
      </w:r>
      <w:r w:rsidR="00C35D91" w:rsidRPr="00B740B4">
        <w:t xml:space="preserve">describe </w:t>
      </w:r>
      <w:r w:rsidR="00E45228">
        <w:t>Cyrus’</w:t>
      </w:r>
      <w:r w:rsidR="00C35D91" w:rsidRPr="00B740B4">
        <w:t xml:space="preserve"> arrival as th</w:t>
      </w:r>
      <w:r w:rsidRPr="00B740B4">
        <w:t xml:space="preserve">e end of Babylon’s empire or </w:t>
      </w:r>
      <w:r w:rsidR="00C35D91" w:rsidRPr="00B740B4">
        <w:t xml:space="preserve">the end of Judah’s exile. </w:t>
      </w:r>
      <w:r w:rsidR="00E45228">
        <w:t>Cyrus’</w:t>
      </w:r>
      <w:r w:rsidR="00C35D91" w:rsidRPr="00B740B4">
        <w:t xml:space="preserve"> arrival makes no difference to Babylon or to the exiles.</w:t>
      </w:r>
      <w:r w:rsidR="00A20A9D">
        <w:rPr>
          <w:rStyle w:val="FootnoteReference"/>
        </w:rPr>
        <w:footnoteReference w:id="502"/>
      </w:r>
      <w:r w:rsidR="00C35D91" w:rsidRPr="00B740B4">
        <w:t xml:space="preserve"> </w:t>
      </w:r>
    </w:p>
    <w:p w:rsidR="00367A1F" w:rsidRPr="00B740B4" w:rsidRDefault="00512F36" w:rsidP="00C35D91">
      <w:r>
        <w:t>The bext four</w:t>
      </w:r>
      <w:r w:rsidR="00630E4B" w:rsidRPr="00B740B4">
        <w:t xml:space="preserve"> chapters in t</w:t>
      </w:r>
      <w:r>
        <w:t xml:space="preserve">he </w:t>
      </w:r>
      <w:r w:rsidR="00C35D91" w:rsidRPr="00B740B4">
        <w:t xml:space="preserve">Daniel </w:t>
      </w:r>
      <w:r w:rsidR="00630E4B" w:rsidRPr="00B740B4">
        <w:t>itself do</w:t>
      </w:r>
      <w:r w:rsidR="00C35D91" w:rsidRPr="00B740B4">
        <w:t xml:space="preserve"> refer to four regimes. After </w:t>
      </w:r>
      <w:r>
        <w:t>Nebuchadnezzar</w:t>
      </w:r>
      <w:r w:rsidR="00630E4B" w:rsidRPr="00B740B4">
        <w:t xml:space="preserve"> (2:37; 5:18) co</w:t>
      </w:r>
      <w:r>
        <w:t xml:space="preserve">mes </w:t>
      </w:r>
      <w:r w:rsidR="00C35D91" w:rsidRPr="00B740B4">
        <w:t xml:space="preserve">Belshazzar (5:28), his </w:t>
      </w:r>
      <w:r w:rsidR="00934A11" w:rsidRPr="00B740B4">
        <w:t>“</w:t>
      </w:r>
      <w:r w:rsidR="00C35D91" w:rsidRPr="00B740B4">
        <w:t>son</w:t>
      </w:r>
      <w:r w:rsidR="00934A11" w:rsidRPr="00B740B4">
        <w:t>”</w:t>
      </w:r>
      <w:r w:rsidR="00C35D91" w:rsidRPr="00B740B4">
        <w:t xml:space="preserve"> (5:2,</w:t>
      </w:r>
      <w:r>
        <w:t xml:space="preserve"> 11, 14, 18, 22), who i</w:t>
      </w:r>
      <w:r w:rsidR="00C35D91" w:rsidRPr="00B740B4">
        <w:t xml:space="preserve">s to be </w:t>
      </w:r>
      <w:r w:rsidR="00934A11" w:rsidRPr="00B740B4">
        <w:t>“</w:t>
      </w:r>
      <w:r w:rsidR="00C35D91" w:rsidRPr="00B740B4">
        <w:t>inferior</w:t>
      </w:r>
      <w:r w:rsidR="00934A11" w:rsidRPr="00B740B4">
        <w:t>”</w:t>
      </w:r>
      <w:r w:rsidR="00C35D91" w:rsidRPr="00B740B4">
        <w:t xml:space="preserve"> to him (cf. 5:22–28).</w:t>
      </w:r>
      <w:r w:rsidR="00630E4B" w:rsidRPr="00B740B4">
        <w:rPr>
          <w:rStyle w:val="FootnoteReference"/>
        </w:rPr>
        <w:footnoteReference w:id="503"/>
      </w:r>
      <w:r>
        <w:t xml:space="preserve"> From Belshazzar the</w:t>
      </w:r>
      <w:r w:rsidR="00C35D91" w:rsidRPr="00B740B4">
        <w:t xml:space="preserve"> kingship passes to D</w:t>
      </w:r>
      <w:r w:rsidR="003F14FD" w:rsidRPr="00B740B4">
        <w:t>arius the Mede (</w:t>
      </w:r>
      <w:r w:rsidR="00C35D91" w:rsidRPr="00B740B4">
        <w:t>5:31</w:t>
      </w:r>
      <w:r w:rsidR="003F14FD" w:rsidRPr="00B740B4">
        <w:t xml:space="preserve"> [6:1</w:t>
      </w:r>
      <w:r w:rsidR="00C35D91" w:rsidRPr="00B740B4">
        <w:t>]</w:t>
      </w:r>
      <w:r w:rsidR="003F14FD" w:rsidRPr="00B740B4">
        <w:t>, cf. 6:28 [29</w:t>
      </w:r>
      <w:r w:rsidR="00C35D91" w:rsidRPr="00B740B4">
        <w:t>]); he counts the w</w:t>
      </w:r>
      <w:r w:rsidR="00F832D2" w:rsidRPr="00B740B4">
        <w:t>hole world as within his realm</w:t>
      </w:r>
      <w:r w:rsidR="003F14FD" w:rsidRPr="00B740B4">
        <w:t>, like Nebuchadnezzar (6:25–26 [26–27</w:t>
      </w:r>
      <w:r w:rsidR="00C35D91" w:rsidRPr="00B740B4">
        <w:t xml:space="preserve">]). The fourth king is </w:t>
      </w:r>
      <w:r>
        <w:t xml:space="preserve">indeed </w:t>
      </w:r>
      <w:r w:rsidR="00C35D91" w:rsidRPr="00B740B4">
        <w:t>Cyrus, mentioned only a</w:t>
      </w:r>
      <w:r w:rsidR="003F14FD" w:rsidRPr="00B740B4">
        <w:t>t the close of the stories (6:28 [29</w:t>
      </w:r>
      <w:r w:rsidR="00C35D91" w:rsidRPr="00B740B4">
        <w:t>])</w:t>
      </w:r>
      <w:r w:rsidR="00367A1F" w:rsidRPr="00B740B4">
        <w:t xml:space="preserve"> but well known </w:t>
      </w:r>
      <w:r w:rsidR="00C35D91" w:rsidRPr="00B740B4">
        <w:t>for his irresistible might</w:t>
      </w:r>
      <w:r w:rsidR="00367A1F" w:rsidRPr="00B740B4">
        <w:t xml:space="preserve"> (see Isa 44:24—45:7)</w:t>
      </w:r>
      <w:r w:rsidR="00C35D91" w:rsidRPr="00B740B4">
        <w:t>. He was said to have been part-Median, part-Persian and to have married a Persian (Herodotus</w:t>
      </w:r>
      <w:r w:rsidR="00B24F98">
        <w:t xml:space="preserve">, </w:t>
      </w:r>
      <w:r w:rsidR="00B24F98">
        <w:rPr>
          <w:i/>
        </w:rPr>
        <w:t>Histories</w:t>
      </w:r>
      <w:r w:rsidR="00C35D91" w:rsidRPr="00B740B4">
        <w:t xml:space="preserve"> 1.55–56, 107–9; Xenophon, </w:t>
      </w:r>
      <w:r w:rsidR="00C35D91" w:rsidRPr="00B24F98">
        <w:rPr>
          <w:i/>
        </w:rPr>
        <w:t>Cyr</w:t>
      </w:r>
      <w:r w:rsidR="00B24F98" w:rsidRPr="00B24F98">
        <w:rPr>
          <w:i/>
        </w:rPr>
        <w:t>opedia</w:t>
      </w:r>
      <w:r w:rsidR="00C35D91" w:rsidRPr="00B740B4">
        <w:t xml:space="preserve"> 1.2.1; 8.5.17–20). Dan 9:1 describe</w:t>
      </w:r>
      <w:r w:rsidR="00F832D2" w:rsidRPr="00B740B4">
        <w:t>s him as ruling over the empire</w:t>
      </w:r>
      <w:r w:rsidR="00630E4B" w:rsidRPr="00B740B4">
        <w:t xml:space="preserve"> of the Kasdim</w:t>
      </w:r>
      <w:r w:rsidR="00C35D91" w:rsidRPr="00B740B4">
        <w:t xml:space="preserve">, the implication being that the Medes and Persians bring a new dynasty but </w:t>
      </w:r>
      <w:r w:rsidR="00630E4B" w:rsidRPr="00B740B4">
        <w:t xml:space="preserve">one that rules </w:t>
      </w:r>
      <w:r w:rsidR="00C35D91" w:rsidRPr="00B740B4">
        <w:t>withi</w:t>
      </w:r>
      <w:r w:rsidR="00F832D2" w:rsidRPr="00B740B4">
        <w:t xml:space="preserve">n the history of one </w:t>
      </w:r>
      <w:r w:rsidR="00C35D91" w:rsidRPr="00B740B4">
        <w:t xml:space="preserve">empire. The perspective suggested by </w:t>
      </w:r>
      <w:r w:rsidR="008818B6" w:rsidRPr="00B740B4">
        <w:t>chap.</w:t>
      </w:r>
      <w:r w:rsidR="00C35D91" w:rsidRPr="00B740B4">
        <w:t xml:space="preserve"> 1 and subsequent chapters, then, is that the four regimes in </w:t>
      </w:r>
      <w:r w:rsidR="008818B6" w:rsidRPr="00B740B4">
        <w:t>chap.</w:t>
      </w:r>
      <w:r w:rsidR="00C35D91" w:rsidRPr="00B740B4">
        <w:t xml:space="preserve"> 2 span the period from Nebuchadnezzar to Cyrus. </w:t>
      </w:r>
    </w:p>
    <w:p w:rsidR="00630E4B" w:rsidRPr="00B740B4" w:rsidRDefault="00367A1F" w:rsidP="00C35D91">
      <w:r w:rsidRPr="00B740B4">
        <w:lastRenderedPageBreak/>
        <w:t xml:space="preserve">Daniel thus traces an arc drawn from Nebuchadnezzar’s reign, when the world-powers’ direct hegemony over Israel begins, to that manifestation of the world-empire under which the book’s implied readers live. Indeed, this is the significance of the statue’s message however its parts are identified. </w:t>
      </w:r>
      <w:r w:rsidR="00C35D91" w:rsidRPr="00B740B4">
        <w:t>The advent of the Persians has not brought the end of world dominion as Jeremiah and Isa 40–55 had promised. The implied readers of Daniel in the Persian period, perhaps disillusio</w:t>
      </w:r>
      <w:r w:rsidRPr="00B740B4">
        <w:t xml:space="preserve">ned and depressed like those </w:t>
      </w:r>
      <w:r w:rsidR="00C35D91" w:rsidRPr="00B740B4">
        <w:t>whom prophecies in Haggai</w:t>
      </w:r>
      <w:r w:rsidRPr="00B740B4">
        <w:t xml:space="preserve">, Zechariah, and Isa 56–66 </w:t>
      </w:r>
      <w:r w:rsidR="00C35D91" w:rsidRPr="00B740B4">
        <w:t>addressed, are invited to hold onto the conv</w:t>
      </w:r>
      <w:r w:rsidR="00630E4B" w:rsidRPr="00B740B4">
        <w:t>iction that the Babylonian</w:t>
      </w:r>
      <w:r w:rsidR="00CA34AD" w:rsidRPr="00B740B4">
        <w:t xml:space="preserve"> colo</w:t>
      </w:r>
      <w:r w:rsidR="00C35D91" w:rsidRPr="00B740B4">
        <w:t>ssus will not stand for ev</w:t>
      </w:r>
      <w:r w:rsidR="00630E4B" w:rsidRPr="00B740B4">
        <w:t xml:space="preserve">er. It has feet of clay. </w:t>
      </w:r>
    </w:p>
    <w:p w:rsidR="00C35D91" w:rsidRPr="00B740B4" w:rsidRDefault="00C35D91" w:rsidP="00C35D91">
      <w:r w:rsidRPr="00B740B4">
        <w:rPr>
          <w:b/>
        </w:rPr>
        <w:t>44–45</w:t>
      </w:r>
      <w:r w:rsidRPr="00B740B4">
        <w:t xml:space="preserve"> Jeremiah’s prophecy had not looked beyond the destruction of the Babylonian empire. Daniel’s message pictur</w:t>
      </w:r>
      <w:r w:rsidR="00630E4B" w:rsidRPr="00B740B4">
        <w:t xml:space="preserve">es the establishment of a </w:t>
      </w:r>
      <w:r w:rsidRPr="00B740B4">
        <w:t>different sovereignty.</w:t>
      </w:r>
    </w:p>
    <w:p w:rsidR="00C35D91" w:rsidRPr="00B740B4" w:rsidRDefault="00C35D91" w:rsidP="00C35D91">
      <w:r w:rsidRPr="00B740B4">
        <w:t>The rock, the crag into which it grows, and the crag from which it came, mig</w:t>
      </w:r>
      <w:r w:rsidR="00512F36">
        <w:t>ht all be symbols for Israel it</w:t>
      </w:r>
      <w:r w:rsidRPr="00B740B4">
        <w:t>self, centered on Mount Zion, and might</w:t>
      </w:r>
      <w:r w:rsidR="00512F36">
        <w:t xml:space="preserve"> then indicate the hope that it</w:t>
      </w:r>
      <w:r w:rsidRPr="00B740B4">
        <w:t xml:space="preserve"> will be used to bring about</w:t>
      </w:r>
      <w:r w:rsidR="00630E4B" w:rsidRPr="00B740B4">
        <w:t xml:space="preserve"> the fall of the world empires.</w:t>
      </w:r>
      <w:r w:rsidR="00630E4B" w:rsidRPr="00B740B4">
        <w:rPr>
          <w:rStyle w:val="FootnoteReference"/>
        </w:rPr>
        <w:footnoteReference w:id="504"/>
      </w:r>
      <w:r w:rsidRPr="00B740B4">
        <w:t xml:space="preserve"> But </w:t>
      </w:r>
      <w:r w:rsidR="00F2461B">
        <w:t>the verses do not say that the new regime will be</w:t>
      </w:r>
      <w:r w:rsidRPr="00B740B4">
        <w:t xml:space="preserve"> Israel’s (contrast 7:18,</w:t>
      </w:r>
      <w:r w:rsidR="007C1532" w:rsidRPr="00B740B4">
        <w:t xml:space="preserve"> 27). More likely</w:t>
      </w:r>
      <w:r w:rsidRPr="00B740B4">
        <w:t xml:space="preserve"> the rock </w:t>
      </w:r>
      <w:r w:rsidR="007C1532" w:rsidRPr="00B740B4">
        <w:t>destroying the regimes and growing</w:t>
      </w:r>
      <w:r w:rsidRPr="00B740B4">
        <w:t xml:space="preserve"> into a crag </w:t>
      </w:r>
      <w:r w:rsidR="007C1532" w:rsidRPr="00B740B4">
        <w:t>filling the world stands</w:t>
      </w:r>
      <w:r w:rsidRPr="00B740B4">
        <w:t xml:space="preserve"> for God’s own sovereignty and power establishing a lasti</w:t>
      </w:r>
      <w:r w:rsidR="007C1532" w:rsidRPr="00B740B4">
        <w:t>ng regime (cf. the mountain symbolizing and embodying</w:t>
      </w:r>
      <w:r w:rsidRPr="00B740B4">
        <w:t xml:space="preserve"> God’s rule, in Isa 2:2–3; Ezek 17:23; Ps 2:6; 48:</w:t>
      </w:r>
      <w:r w:rsidR="00F2461B">
        <w:t>1-2 [2–3</w:t>
      </w:r>
      <w:r w:rsidRPr="00B740B4">
        <w:t xml:space="preserve">]). The crag from which the rock came (v 45) might be a symbol for God himself in his strength and </w:t>
      </w:r>
      <w:r w:rsidR="00F2461B">
        <w:t>reliability (Deut 32:18; Ps 18:2 [3</w:t>
      </w:r>
      <w:r w:rsidRPr="00B740B4">
        <w:t>]; 31:</w:t>
      </w:r>
      <w:r w:rsidR="00F2461B">
        <w:t>2-3 [3–4]). Th</w:t>
      </w:r>
      <w:r w:rsidRPr="00B740B4">
        <w:t>e elaboration of the dream in the interpretation draws attention t</w:t>
      </w:r>
      <w:r w:rsidR="00F2461B">
        <w:t xml:space="preserve">o </w:t>
      </w:r>
      <w:r w:rsidRPr="00B740B4">
        <w:t>the new regime’s divine origin</w:t>
      </w:r>
      <w:r w:rsidR="00630E4B" w:rsidRPr="00B740B4">
        <w:t>.</w:t>
      </w:r>
      <w:r w:rsidR="00630E4B" w:rsidRPr="00B740B4">
        <w:rPr>
          <w:rStyle w:val="FootnoteReference"/>
        </w:rPr>
        <w:footnoteReference w:id="505"/>
      </w:r>
      <w:r w:rsidRPr="00B740B4">
        <w:t xml:space="preserve"> The one who was meant to be a source </w:t>
      </w:r>
      <w:r w:rsidR="00F2461B">
        <w:t xml:space="preserve">of strength and protection </w:t>
      </w:r>
      <w:r w:rsidRPr="00B740B4">
        <w:t>becomes a mortal danger to those who build their own edifi</w:t>
      </w:r>
      <w:r w:rsidR="00630E4B" w:rsidRPr="00B740B4">
        <w:t>ces and refuges (Isa 8:11–15; b</w:t>
      </w:r>
      <w:r w:rsidRPr="00B740B4">
        <w:t>ut one should be wary of allegorizing the picture</w:t>
      </w:r>
      <w:r w:rsidR="00630E4B" w:rsidRPr="00B740B4">
        <w:t>)</w:t>
      </w:r>
      <w:r w:rsidRPr="00B740B4">
        <w:t>.</w:t>
      </w:r>
    </w:p>
    <w:p w:rsidR="00C35D91" w:rsidRPr="00B740B4" w:rsidRDefault="00C35D91" w:rsidP="00C35D91">
      <w:r w:rsidRPr="00B740B4">
        <w:t>There is no need to infer that all three regimes survive till a moment of simultaneous destruction:</w:t>
      </w:r>
      <w:r w:rsidR="00630E4B" w:rsidRPr="00B740B4">
        <w:rPr>
          <w:rStyle w:val="FootnoteReference"/>
        </w:rPr>
        <w:footnoteReference w:id="506"/>
      </w:r>
      <w:r w:rsidRPr="00B740B4">
        <w:t xml:space="preserve"> again, the visions are not allegories. There is no clear assertion that the fourth regime is brought to an end as a judgment on its sin (contrast chap. 7). It falls because of its inherent fragility.</w:t>
      </w:r>
    </w:p>
    <w:p w:rsidR="00C35D91" w:rsidRPr="00B740B4" w:rsidRDefault="007C1532" w:rsidP="007C1532">
      <w:r w:rsidRPr="00F611CB">
        <w:rPr>
          <w:b/>
        </w:rPr>
        <w:t>46–49</w:t>
      </w:r>
      <w:r w:rsidRPr="00B740B4">
        <w:t xml:space="preserve"> </w:t>
      </w:r>
      <w:r w:rsidR="00C35D91" w:rsidRPr="00B740B4">
        <w:t xml:space="preserve">Nebuchadnezzar’s </w:t>
      </w:r>
      <w:r w:rsidRPr="00B740B4">
        <w:t xml:space="preserve">prostrating himself before Daniel does not imply worship, nor does </w:t>
      </w:r>
      <w:r w:rsidR="00F2461B">
        <w:t xml:space="preserve">that implication stem from </w:t>
      </w:r>
      <w:r w:rsidRPr="00B740B4">
        <w:t xml:space="preserve">presenting an offering (a </w:t>
      </w:r>
      <w:r w:rsidR="00F2461B">
        <w:t>gift: e.g., Gen 43:11), or from</w:t>
      </w:r>
      <w:r w:rsidRPr="00B740B4">
        <w:t xml:space="preserve"> presenting fragrant oblations, which can be an aspect of the recognition of a king.</w:t>
      </w:r>
      <w:r w:rsidRPr="00B740B4">
        <w:rPr>
          <w:vertAlign w:val="superscript"/>
        </w:rPr>
        <w:footnoteReference w:id="507"/>
      </w:r>
      <w:r w:rsidRPr="00B740B4">
        <w:t xml:space="preserve"> It might be seen </w:t>
      </w:r>
      <w:r w:rsidR="00C35D91" w:rsidRPr="00B740B4">
        <w:t xml:space="preserve">as a way of </w:t>
      </w:r>
      <w:r w:rsidR="00934A11" w:rsidRPr="00B740B4">
        <w:t>“</w:t>
      </w:r>
      <w:r w:rsidR="00C35D91" w:rsidRPr="00B740B4">
        <w:t>demythologizi</w:t>
      </w:r>
      <w:r w:rsidR="0003654E" w:rsidRPr="00B740B4">
        <w:t>ng</w:t>
      </w:r>
      <w:r w:rsidR="00934A11" w:rsidRPr="00B740B4">
        <w:t>”</w:t>
      </w:r>
      <w:r w:rsidR="00845013" w:rsidRPr="00B740B4">
        <w:t xml:space="preserve"> deified kings</w:t>
      </w:r>
      <w:r w:rsidR="0003654E" w:rsidRPr="00B740B4">
        <w:rPr>
          <w:rStyle w:val="FootnoteReference"/>
        </w:rPr>
        <w:footnoteReference w:id="508"/>
      </w:r>
      <w:r w:rsidR="0003654E" w:rsidRPr="00B740B4">
        <w:t xml:space="preserve"> </w:t>
      </w:r>
      <w:r w:rsidR="00845013" w:rsidRPr="00B740B4">
        <w:t>or</w:t>
      </w:r>
      <w:r w:rsidRPr="00B740B4">
        <w:t xml:space="preserve"> as a natur</w:t>
      </w:r>
      <w:r w:rsidR="00845013" w:rsidRPr="00B740B4">
        <w:t>al way of honoring a benefactor</w:t>
      </w:r>
      <w:r w:rsidRPr="00B740B4">
        <w:rPr>
          <w:vertAlign w:val="superscript"/>
        </w:rPr>
        <w:footnoteReference w:id="509"/>
      </w:r>
      <w:r w:rsidRPr="00B740B4">
        <w:t xml:space="preserve"> </w:t>
      </w:r>
      <w:r w:rsidR="00C35D91" w:rsidRPr="00B740B4">
        <w:t>or as a way of hono</w:t>
      </w:r>
      <w:r w:rsidR="0003654E" w:rsidRPr="00B740B4">
        <w:t xml:space="preserve">ring the God Daniel represents: </w:t>
      </w:r>
      <w:r w:rsidR="00C35D91" w:rsidRPr="00B740B4">
        <w:t>cf. Josephus’s story abou</w:t>
      </w:r>
      <w:r w:rsidR="0003654E" w:rsidRPr="00B740B4">
        <w:t>t Alexander and the high priest</w:t>
      </w:r>
      <w:r w:rsidR="00C35D91" w:rsidRPr="00B740B4">
        <w:t xml:space="preserve"> </w:t>
      </w:r>
      <w:r w:rsidR="0003654E" w:rsidRPr="00B740B4">
        <w:t>(</w:t>
      </w:r>
      <w:r w:rsidR="00E86B1D" w:rsidRPr="00B740B4">
        <w:rPr>
          <w:i/>
        </w:rPr>
        <w:t>Antiquities</w:t>
      </w:r>
      <w:r w:rsidR="00845013" w:rsidRPr="00B740B4">
        <w:t xml:space="preserve"> 11.8.5 [11.329–39]).</w:t>
      </w:r>
      <w:r w:rsidR="0003654E" w:rsidRPr="00B740B4">
        <w:rPr>
          <w:rStyle w:val="FootnoteReference"/>
        </w:rPr>
        <w:footnoteReference w:id="510"/>
      </w:r>
      <w:r w:rsidR="00845013" w:rsidRPr="00B740B4">
        <w:t xml:space="preserve"> </w:t>
      </w:r>
      <w:r w:rsidR="00C35D91" w:rsidRPr="00B740B4">
        <w:t>W</w:t>
      </w:r>
      <w:r w:rsidR="00845013" w:rsidRPr="00B740B4">
        <w:t>ith the last</w:t>
      </w:r>
      <w:r w:rsidR="00F2461B">
        <w:t xml:space="preserve"> understanding</w:t>
      </w:r>
      <w:r w:rsidR="00845013" w:rsidRPr="00B740B4">
        <w:t>, w</w:t>
      </w:r>
      <w:r w:rsidR="00C35D91" w:rsidRPr="00B740B4">
        <w:t>e may compare the acknowledgment of Israel/Yahweh promis</w:t>
      </w:r>
      <w:r w:rsidRPr="00B740B4">
        <w:t>ed in Isa 45:14; 49:23; 60:14. B</w:t>
      </w:r>
      <w:r w:rsidR="00C35D91" w:rsidRPr="00B740B4">
        <w:t>ut the acknowledgment of Daniel is more</w:t>
      </w:r>
      <w:r w:rsidRPr="00B740B4">
        <w:t xml:space="preserve"> prominent than that of Yahweh, </w:t>
      </w:r>
      <w:r w:rsidR="00C35D91" w:rsidRPr="00B740B4">
        <w:t>and mo</w:t>
      </w:r>
      <w:r w:rsidRPr="00B740B4">
        <w:t>re explicit than that of Israel</w:t>
      </w:r>
      <w:r w:rsidR="00C35D91" w:rsidRPr="00B740B4">
        <w:t>. Thus vv 46–49 belong together: Nebuchadnezzar acknowledges Daniel, who has proved himself as a remarkable source of revelatory wisdom (v 46), acknowledg</w:t>
      </w:r>
      <w:r w:rsidR="00CA34AD" w:rsidRPr="00B740B4">
        <w:t>es the God who gave him this wi</w:t>
      </w:r>
      <w:r w:rsidR="00C35D91" w:rsidRPr="00B740B4">
        <w:t>s</w:t>
      </w:r>
      <w:r w:rsidR="00CA34AD" w:rsidRPr="00B740B4">
        <w:t>d</w:t>
      </w:r>
      <w:r w:rsidR="00C35D91" w:rsidRPr="00B740B4">
        <w:t>om (v 47), and determines to ele</w:t>
      </w:r>
      <w:r w:rsidR="0003654E" w:rsidRPr="00B740B4">
        <w:t>vate Daniel</w:t>
      </w:r>
      <w:r w:rsidR="00C35D91" w:rsidRPr="00B740B4">
        <w:t xml:space="preserve"> to the position of </w:t>
      </w:r>
      <w:r w:rsidR="0003654E" w:rsidRPr="00B740B4">
        <w:t>political authority for which his insight</w:t>
      </w:r>
      <w:r w:rsidR="00C35D91" w:rsidRPr="00B740B4">
        <w:t xml:space="preserve"> qualifie</w:t>
      </w:r>
      <w:r w:rsidR="0003654E" w:rsidRPr="00B740B4">
        <w:t>s him (v 48a) as well as to a</w:t>
      </w:r>
      <w:r w:rsidR="00C35D91" w:rsidRPr="00B740B4">
        <w:t xml:space="preserve"> position of supreme authority over the leaders of the guilds of </w:t>
      </w:r>
      <w:r w:rsidR="008673DA" w:rsidRPr="00B740B4">
        <w:t>expert</w:t>
      </w:r>
      <w:r w:rsidR="00C35D91" w:rsidRPr="00B740B4">
        <w:t>s who provided the king with counsel (v 48b), a post perhap</w:t>
      </w:r>
      <w:r w:rsidR="00845013" w:rsidRPr="00B740B4">
        <w:t xml:space="preserve">s as difficult to accept as the possible </w:t>
      </w:r>
      <w:r w:rsidR="00C35D91" w:rsidRPr="00B740B4">
        <w:t>worship of v 46.</w:t>
      </w:r>
    </w:p>
    <w:p w:rsidR="00C35D91" w:rsidRPr="00B740B4" w:rsidRDefault="00C35D91" w:rsidP="009479B1">
      <w:pPr>
        <w:pStyle w:val="Heading2"/>
      </w:pPr>
      <w:r w:rsidRPr="00B740B4">
        <w:lastRenderedPageBreak/>
        <w:t>Explanation</w:t>
      </w:r>
    </w:p>
    <w:p w:rsidR="00EC3477" w:rsidRPr="00B740B4" w:rsidRDefault="00C35D91" w:rsidP="00EC3477">
      <w:r w:rsidRPr="00B740B4">
        <w:rPr>
          <w:b/>
        </w:rPr>
        <w:t>1–2</w:t>
      </w:r>
      <w:r w:rsidRPr="00B740B4">
        <w:t xml:space="preserve"> Nebuchadnezzar as an individual stood in the background in </w:t>
      </w:r>
      <w:r w:rsidR="008818B6" w:rsidRPr="00B740B4">
        <w:t>chap.</w:t>
      </w:r>
      <w:r w:rsidRPr="00B740B4">
        <w:t xml:space="preserve"> 1; his figure now comes into sharper focus. It is only the second year of his reign. His prospects are high, his achievements already remarkable (see 1:1–2)</w:t>
      </w:r>
      <w:r w:rsidR="004E3F49" w:rsidRPr="00B740B4">
        <w:t xml:space="preserve">. Yet </w:t>
      </w:r>
      <w:r w:rsidR="009410BE" w:rsidRPr="00B740B4">
        <w:t>the beginning of a reign is a dangerous time,</w:t>
      </w:r>
      <w:r w:rsidR="009410BE" w:rsidRPr="00B740B4">
        <w:rPr>
          <w:rStyle w:val="FootnoteReference"/>
        </w:rPr>
        <w:footnoteReference w:id="511"/>
      </w:r>
      <w:r w:rsidR="009410BE" w:rsidRPr="00B740B4">
        <w:t xml:space="preserve"> and </w:t>
      </w:r>
      <w:r w:rsidR="00982AE6">
        <w:t>he is ill at ease.</w:t>
      </w:r>
      <w:r w:rsidR="004E3F49" w:rsidRPr="00B740B4">
        <w:t xml:space="preserve"> </w:t>
      </w:r>
      <w:r w:rsidR="00982AE6">
        <w:t xml:space="preserve">He is </w:t>
      </w:r>
      <w:r w:rsidR="004E3F49" w:rsidRPr="00B740B4">
        <w:t>disturbe</w:t>
      </w:r>
      <w:r w:rsidR="00982AE6">
        <w:t>d by nightmares, and they</w:t>
      </w:r>
      <w:r w:rsidRPr="00B740B4">
        <w:t xml:space="preserve"> are not merely (we shall discover) the reflection of a neurotic felt insecurity on the part of a mighty </w:t>
      </w:r>
      <w:r w:rsidR="00D25EE9">
        <w:t>king</w:t>
      </w:r>
      <w:r w:rsidRPr="00B740B4">
        <w:t xml:space="preserve"> troubled by inner doubts. They correspond in Nebuchadnezzar’s subjectivity to a real insecurity that attaches to his empire. </w:t>
      </w:r>
      <w:r w:rsidR="00EC3477" w:rsidRPr="00B740B4">
        <w:t>The king who cannot sleep “is troubled—not by the thousands of people he has forceably displaced or the thousands he has massacred on the battlefield or the wealth he has pillaged from the surrounding nations. He is troubled by his dreams, which is perhaps a way of saying that these issues do trouble the monarch.” Actually he “has good reason to be troubled! His dreams announce to him that his powerful regime teeters on a foundation of clay: ‘Underlying the empires is an insatiable will to destruction; this is why they contain within themselves the seed of their destruction.’”</w:t>
      </w:r>
      <w:r w:rsidR="00EC3477" w:rsidRPr="00B740B4">
        <w:rPr>
          <w:vertAlign w:val="superscript"/>
        </w:rPr>
        <w:footnoteReference w:id="512"/>
      </w:r>
      <w:r w:rsidR="00EC3477" w:rsidRPr="00B740B4">
        <w:t xml:space="preserve"> </w:t>
      </w:r>
    </w:p>
    <w:p w:rsidR="00B0408D" w:rsidRPr="00B740B4" w:rsidRDefault="001F5F04" w:rsidP="00C35D91">
      <w:r w:rsidRPr="00B740B4">
        <w:t>No doubt his Judahite</w:t>
      </w:r>
      <w:r w:rsidR="00C35D91" w:rsidRPr="00B740B4">
        <w:t xml:space="preserve"> subjects and their descendants who told and heard the story often felt insecure and dreamed nightmares of their own about their future in dispersion. </w:t>
      </w:r>
      <w:r w:rsidR="008D0FBC" w:rsidRPr="00B740B4">
        <w:t xml:space="preserve">But </w:t>
      </w:r>
      <w:r w:rsidR="00C35D91" w:rsidRPr="00B740B4">
        <w:t>Nebuchadnezzar’s nightmares witness to where actual insecurity lies. Nebuchadnezzar’s dreams cannot be ignored. They are sign</w:t>
      </w:r>
      <w:r w:rsidR="00B0408D" w:rsidRPr="00B740B4">
        <w:t>s and omens, significant for his empire’s destiny</w:t>
      </w:r>
      <w:r w:rsidR="00C35D91" w:rsidRPr="00B740B4">
        <w:t xml:space="preserve">. Dreams, like prophecies, can be manufactured, and need to be tested (Deut 13; Jer 23:25–32). Yet like vision and prophecy, they can be means of divine revelation. They cannot be evaded; they impose themselves, and </w:t>
      </w:r>
      <w:r w:rsidR="00B0408D" w:rsidRPr="00B740B4">
        <w:t xml:space="preserve">they </w:t>
      </w:r>
      <w:r w:rsidR="00C35D91" w:rsidRPr="00B740B4">
        <w:t xml:space="preserve">can testify to the transcendence of God revealing himself as sovereign shaper of earthly events (Gen 37–41; 1 Sam 3). They thus become part of the expectation and actuality of what God does at the climax of the ages (Joel </w:t>
      </w:r>
      <w:r w:rsidR="00982AE6">
        <w:t>2-28 [3:1</w:t>
      </w:r>
      <w:r w:rsidR="00C35D91" w:rsidRPr="00B740B4">
        <w:t>]; Matt 1–2; Acts 2:17)</w:t>
      </w:r>
      <w:r w:rsidR="00B0408D" w:rsidRPr="00B740B4">
        <w:t>.</w:t>
      </w:r>
      <w:r w:rsidR="00B0408D" w:rsidRPr="00B740B4">
        <w:rPr>
          <w:rStyle w:val="FootnoteReference"/>
        </w:rPr>
        <w:footnoteReference w:id="513"/>
      </w:r>
      <w:r w:rsidR="00C35D91" w:rsidRPr="00B740B4">
        <w:t xml:space="preserve"> </w:t>
      </w:r>
    </w:p>
    <w:p w:rsidR="008D0FBC" w:rsidRPr="00B740B4" w:rsidRDefault="00C35D91" w:rsidP="00C35D91">
      <w:r w:rsidRPr="00B740B4">
        <w:t>Like any powerful administration, Nebuchadnezzar’s regime has its backup agenc</w:t>
      </w:r>
      <w:r w:rsidR="008D0FBC" w:rsidRPr="00B740B4">
        <w:t>ies and task forces, with</w:t>
      </w:r>
      <w:r w:rsidRPr="00B740B4">
        <w:t xml:space="preserve"> access </w:t>
      </w:r>
      <w:r w:rsidR="008D0FBC" w:rsidRPr="00B740B4">
        <w:t xml:space="preserve">to </w:t>
      </w:r>
      <w:r w:rsidRPr="00B740B4">
        <w:t>vast information resources to enable them to interpret the data Ne</w:t>
      </w:r>
      <w:r w:rsidR="008D0FBC" w:rsidRPr="00B740B4">
        <w:t xml:space="preserve">buchadnezzar provides </w:t>
      </w:r>
      <w:r w:rsidRPr="00B740B4">
        <w:t xml:space="preserve">and to suggest what measures need to be taken to counteract any threats to the state that the data portend. Dreams were not the most common sources of such data, but </w:t>
      </w:r>
      <w:r w:rsidR="00700293" w:rsidRPr="00B740B4">
        <w:t xml:space="preserve">they </w:t>
      </w:r>
      <w:r w:rsidRPr="00B740B4">
        <w:t>were a familiar enough phenomenon, treated by dreambooks. So Nebuchadnezzar summons various of the guilds of his civil servants. The v</w:t>
      </w:r>
      <w:r w:rsidR="008D0FBC" w:rsidRPr="00B740B4">
        <w:t>ery variety of th</w:t>
      </w:r>
      <w:r w:rsidR="00700293" w:rsidRPr="00B740B4">
        <w:t xml:space="preserve">e </w:t>
      </w:r>
      <w:r w:rsidR="008D0FBC" w:rsidRPr="00B740B4">
        <w:t xml:space="preserve">ones </w:t>
      </w:r>
      <w:r w:rsidR="00700293" w:rsidRPr="00B740B4">
        <w:t>he summons</w:t>
      </w:r>
      <w:r w:rsidRPr="00B740B4">
        <w:t xml:space="preserve"> underlines the anxiety built into the situation, and the mockery </w:t>
      </w:r>
      <w:r w:rsidR="006A4720" w:rsidRPr="00B740B4">
        <w:t>(“that saving humor of the oppressed”)</w:t>
      </w:r>
      <w:r w:rsidR="006A4720" w:rsidRPr="00B740B4">
        <w:rPr>
          <w:rStyle w:val="FootnoteReference"/>
        </w:rPr>
        <w:footnoteReference w:id="514"/>
      </w:r>
      <w:r w:rsidR="006A4720" w:rsidRPr="00B740B4">
        <w:t xml:space="preserve"> </w:t>
      </w:r>
      <w:r w:rsidRPr="00B740B4">
        <w:t>with which Israelites are invited to view the multiplicity of the Babylonians’ toilsome attempts to control their destiny (Isa 47:12–13).</w:t>
      </w:r>
      <w:r w:rsidR="00700293" w:rsidRPr="00B740B4">
        <w:rPr>
          <w:rStyle w:val="FootnoteReference"/>
        </w:rPr>
        <w:footnoteReference w:id="515"/>
      </w:r>
      <w:r w:rsidR="00D43C82" w:rsidRPr="00B740B4">
        <w:t xml:space="preserve"> </w:t>
      </w:r>
    </w:p>
    <w:p w:rsidR="004E3F49" w:rsidRPr="00B740B4" w:rsidRDefault="00982AE6" w:rsidP="00C35D91">
      <w:r>
        <w:t>If t</w:t>
      </w:r>
      <w:r w:rsidR="00D43C82" w:rsidRPr="00B740B4">
        <w:t xml:space="preserve">he implication of the date in </w:t>
      </w:r>
      <w:r w:rsidR="00AF422C">
        <w:t>v</w:t>
      </w:r>
      <w:r w:rsidR="00D43C82" w:rsidRPr="00B740B4">
        <w:t xml:space="preserve"> 1 is</w:t>
      </w:r>
      <w:r w:rsidR="004E3F49" w:rsidRPr="00B740B4">
        <w:t xml:space="preserve"> that </w:t>
      </w:r>
      <w:r w:rsidR="00D43C82" w:rsidRPr="00B740B4">
        <w:t xml:space="preserve">Daniel and his friends have not </w:t>
      </w:r>
      <w:r w:rsidR="008D0FBC" w:rsidRPr="00B740B4">
        <w:t xml:space="preserve">yet </w:t>
      </w:r>
      <w:r w:rsidR="008C0D7A" w:rsidRPr="00B740B4">
        <w:t>graduated into the guilds’</w:t>
      </w:r>
      <w:r w:rsidR="00D43C82" w:rsidRPr="00B740B4">
        <w:t xml:space="preserve"> company,</w:t>
      </w:r>
      <w:r w:rsidR="00EB0FB0" w:rsidRPr="00B740B4">
        <w:rPr>
          <w:rStyle w:val="FootnoteReference"/>
        </w:rPr>
        <w:footnoteReference w:id="516"/>
      </w:r>
      <w:r>
        <w:t xml:space="preserve"> it</w:t>
      </w:r>
      <w:r w:rsidR="00D43C82" w:rsidRPr="00B740B4">
        <w:t xml:space="preserve"> strengt</w:t>
      </w:r>
      <w:r w:rsidR="008D0FBC" w:rsidRPr="00B740B4">
        <w:t>hens the story’s point that the</w:t>
      </w:r>
      <w:r w:rsidR="00D43C82" w:rsidRPr="00B740B4">
        <w:t xml:space="preserve"> education </w:t>
      </w:r>
      <w:r w:rsidR="008D0FBC" w:rsidRPr="00B740B4">
        <w:t xml:space="preserve">they were being given </w:t>
      </w:r>
      <w:r w:rsidR="00D43C82" w:rsidRPr="00B740B4">
        <w:t>is not the source of Daniel’s ability to interpret the dream.</w:t>
      </w:r>
    </w:p>
    <w:p w:rsidR="00CF4BC3" w:rsidRPr="00B740B4" w:rsidRDefault="00C35D91" w:rsidP="00CF4BC3">
      <w:r w:rsidRPr="00B740B4">
        <w:rPr>
          <w:b/>
        </w:rPr>
        <w:t>3–9</w:t>
      </w:r>
      <w:r w:rsidRPr="00B740B4">
        <w:t xml:space="preserve"> </w:t>
      </w:r>
      <w:r w:rsidR="00934A11" w:rsidRPr="00B740B4">
        <w:t>“</w:t>
      </w:r>
      <w:r w:rsidRPr="00B740B4">
        <w:t>Explain my dream to me,</w:t>
      </w:r>
      <w:r w:rsidR="00934A11" w:rsidRPr="00B740B4">
        <w:t>”</w:t>
      </w:r>
      <w:r w:rsidRPr="00B740B4">
        <w:t xml:space="preserve"> the king demands. </w:t>
      </w:r>
      <w:r w:rsidR="00934A11" w:rsidRPr="00B740B4">
        <w:t>“</w:t>
      </w:r>
      <w:r w:rsidRPr="00B740B4">
        <w:t>Long live the king,</w:t>
      </w:r>
      <w:r w:rsidR="00934A11" w:rsidRPr="00B740B4">
        <w:t>”</w:t>
      </w:r>
      <w:r w:rsidRPr="00B740B4">
        <w:t xml:space="preserve"> they begin in reply: there is an irony about the standard courtly greeting, because events are to affirm that the only la</w:t>
      </w:r>
      <w:r w:rsidR="007A253A" w:rsidRPr="00B740B4">
        <w:t>sting name and reign is the name and</w:t>
      </w:r>
      <w:r w:rsidRPr="00B740B4">
        <w:t xml:space="preserve"> reign of God (vv 20, 44). </w:t>
      </w:r>
      <w:r w:rsidR="00934A11" w:rsidRPr="00B740B4">
        <w:t>“</w:t>
      </w:r>
      <w:r w:rsidRPr="00B740B4">
        <w:t>Certainly we can explain your dream,</w:t>
      </w:r>
      <w:r w:rsidR="00934A11" w:rsidRPr="00B740B4">
        <w:t>”</w:t>
      </w:r>
      <w:r w:rsidRPr="00B740B4">
        <w:t xml:space="preserve"> they go on, </w:t>
      </w:r>
      <w:r w:rsidR="00934A11" w:rsidRPr="00B740B4">
        <w:t>“</w:t>
      </w:r>
      <w:r w:rsidRPr="00B740B4">
        <w:t>Just outline it to us.</w:t>
      </w:r>
      <w:r w:rsidR="00934A11" w:rsidRPr="00B740B4">
        <w:t>”</w:t>
      </w:r>
      <w:r w:rsidRPr="00B740B4">
        <w:t xml:space="preserve"> They have extensive c</w:t>
      </w:r>
      <w:r w:rsidR="00811762">
        <w:t>ollections of dream omens to</w:t>
      </w:r>
      <w:r w:rsidRPr="00B740B4">
        <w:t xml:space="preserve"> consult if the motifs in the dream are not of obvious significance. But they have missed an ambiguity</w:t>
      </w:r>
      <w:r w:rsidR="008D0FBC" w:rsidRPr="00B740B4">
        <w:t xml:space="preserve"> in the king’s request. I</w:t>
      </w:r>
      <w:r w:rsidR="00700293" w:rsidRPr="00B740B4">
        <w:t>t looks as if he may be requiring</w:t>
      </w:r>
      <w:r w:rsidRPr="00B740B4">
        <w:t xml:space="preserve"> them to tell him the actual contents of his dream, not just to look up the </w:t>
      </w:r>
      <w:r w:rsidRPr="00B740B4">
        <w:lastRenderedPageBreak/>
        <w:t>meaning</w:t>
      </w:r>
      <w:r w:rsidR="00700293" w:rsidRPr="00B740B4">
        <w:t xml:space="preserve"> of its motifs. The requirement</w:t>
      </w:r>
      <w:r w:rsidRPr="00B740B4">
        <w:t xml:space="preserve"> is solemnly proclaimed; failure will mean death and the ruin of their families, suc</w:t>
      </w:r>
      <w:r w:rsidR="00700293" w:rsidRPr="00B740B4">
        <w:t>cess will mean rewards and hono</w:t>
      </w:r>
      <w:r w:rsidRPr="00B740B4">
        <w:t xml:space="preserve">r. </w:t>
      </w:r>
      <w:r w:rsidR="007A253A" w:rsidRPr="00B740B4">
        <w:t>“Before a public audience, the king has challenged the worth of his diviners. If they are abl</w:t>
      </w:r>
      <w:r w:rsidR="00CF4BC3" w:rsidRPr="00B740B4">
        <w:t>e to defend their honor and fulfi</w:t>
      </w:r>
      <w:r w:rsidR="007A253A" w:rsidRPr="00B740B4">
        <w:t>ll their role, they will retain honor and win reward besides. If not, they will be dishonored as those who are unable to respond to a challenge.”</w:t>
      </w:r>
      <w:r w:rsidR="007A253A" w:rsidRPr="00B740B4">
        <w:rPr>
          <w:vertAlign w:val="superscript"/>
        </w:rPr>
        <w:footnoteReference w:id="517"/>
      </w:r>
      <w:r w:rsidR="007A253A" w:rsidRPr="00B740B4">
        <w:t xml:space="preserve"> </w:t>
      </w:r>
      <w:r w:rsidR="00982AE6">
        <w:t>T</w:t>
      </w:r>
      <w:r w:rsidR="00CF4BC3" w:rsidRPr="00B740B4">
        <w:t>hey resembles students in a class on hermeneutics who are more interested is passing the exam than in offering good interpretation.</w:t>
      </w:r>
      <w:r w:rsidR="00CF4BC3" w:rsidRPr="00B740B4">
        <w:rPr>
          <w:vertAlign w:val="superscript"/>
        </w:rPr>
        <w:footnoteReference w:id="518"/>
      </w:r>
      <w:r w:rsidR="00CF4BC3" w:rsidRPr="00B740B4">
        <w:t xml:space="preserve"> </w:t>
      </w:r>
    </w:p>
    <w:p w:rsidR="007A253A" w:rsidRPr="00B740B4" w:rsidRDefault="00CF4BC3" w:rsidP="007A253A">
      <w:r w:rsidRPr="00B740B4">
        <w:t>So “t</w:t>
      </w:r>
      <w:r w:rsidR="007A253A" w:rsidRPr="00B740B4">
        <w:t>he king has a problem with troubling dreams (</w:t>
      </w:r>
      <w:r w:rsidR="00AF422C">
        <w:t>v</w:t>
      </w:r>
      <w:r w:rsidR="007A253A" w:rsidRPr="00B740B4">
        <w:t xml:space="preserve"> 1), but his problem is far less dangerous than that facing the dream interpreters.”</w:t>
      </w:r>
      <w:r w:rsidR="007A253A" w:rsidRPr="00B740B4">
        <w:rPr>
          <w:vertAlign w:val="superscript"/>
        </w:rPr>
        <w:footnoteReference w:id="519"/>
      </w:r>
      <w:r w:rsidRPr="00B740B4">
        <w:t xml:space="preserve"> </w:t>
      </w:r>
      <w:r w:rsidR="007A253A" w:rsidRPr="00B740B4">
        <w:t>The</w:t>
      </w:r>
      <w:r w:rsidR="00C35D91" w:rsidRPr="00B740B4">
        <w:t xml:space="preserve"> alternatives </w:t>
      </w:r>
      <w:r w:rsidR="007A253A" w:rsidRPr="00B740B4">
        <w:t xml:space="preserve">the king lays out before them </w:t>
      </w:r>
      <w:r w:rsidR="00C35D91" w:rsidRPr="00B740B4">
        <w:t>highlig</w:t>
      </w:r>
      <w:r w:rsidR="007A253A" w:rsidRPr="00B740B4">
        <w:t xml:space="preserve">ht the ambiguous prospects </w:t>
      </w:r>
      <w:r w:rsidR="00C35D91" w:rsidRPr="00B740B4">
        <w:t>attach</w:t>
      </w:r>
      <w:r w:rsidR="007A253A" w:rsidRPr="00B740B4">
        <w:t>ing</w:t>
      </w:r>
      <w:r w:rsidR="00C35D91" w:rsidRPr="00B740B4">
        <w:t xml:space="preserve"> to involvement in the Babylonian court</w:t>
      </w:r>
      <w:r w:rsidR="00700293" w:rsidRPr="00B740B4">
        <w:t>.</w:t>
      </w:r>
      <w:r w:rsidR="00700293" w:rsidRPr="00B740B4">
        <w:rPr>
          <w:rStyle w:val="FootnoteReference"/>
        </w:rPr>
        <w:footnoteReference w:id="520"/>
      </w:r>
      <w:r w:rsidR="00C35D91" w:rsidRPr="00B740B4">
        <w:t xml:space="preserve"> Nebuchadnezzar is a man of brilliance, achievement, vision, and generosity, yet also mistrustful, angry, arbitrary, </w:t>
      </w:r>
      <w:r w:rsidR="00700293" w:rsidRPr="00B740B4">
        <w:t xml:space="preserve">and </w:t>
      </w:r>
      <w:r w:rsidR="00C35D91" w:rsidRPr="00B740B4">
        <w:t>violent. The portrait is cartooned, yet consistent with other aspects of Middle Eastern courtly life (</w:t>
      </w:r>
      <w:r w:rsidR="007A253A" w:rsidRPr="00B740B4">
        <w:t xml:space="preserve">see </w:t>
      </w:r>
      <w:r w:rsidR="00C35D91" w:rsidRPr="00B740B4">
        <w:t>Esther, Herodotus, 1001 Nights). Like political life in the modern world, the power and glory of participation in the affairs of state would be attractive and an object of wis</w:t>
      </w:r>
      <w:r w:rsidR="001F5F04" w:rsidRPr="00B740B4">
        <w:t>tful longing for people like Judahite</w:t>
      </w:r>
      <w:r w:rsidR="00C35D91" w:rsidRPr="00B740B4">
        <w:t>s w</w:t>
      </w:r>
      <w:r w:rsidR="008D0FBC" w:rsidRPr="00B740B4">
        <w:t xml:space="preserve">ho were not part of the </w:t>
      </w:r>
      <w:r w:rsidR="00C35D91" w:rsidRPr="00B740B4">
        <w:t>power structure, but at the same time alien and frightening because of its reputation for contention, betrayal, scandal, humiliation, and moral pressure.</w:t>
      </w:r>
      <w:r w:rsidR="002C6668" w:rsidRPr="00B740B4">
        <w:t xml:space="preserve"> </w:t>
      </w:r>
      <w:r w:rsidR="00FD00A2" w:rsidRPr="00B740B4">
        <w:t xml:space="preserve">“All imperial power must ultimately appeal to: brute force, which is not merely lethal, but </w:t>
      </w:r>
      <w:r w:rsidR="00FD00A2" w:rsidRPr="00B740B4">
        <w:rPr>
          <w:rStyle w:val="italic0"/>
          <w:i/>
        </w:rPr>
        <w:t>spectacularly</w:t>
      </w:r>
      <w:r w:rsidR="00FD00A2" w:rsidRPr="00B740B4">
        <w:t xml:space="preserve"> lethal.”</w:t>
      </w:r>
      <w:r w:rsidR="00FD00A2" w:rsidRPr="00B740B4">
        <w:rPr>
          <w:rStyle w:val="FootnoteReference"/>
        </w:rPr>
        <w:footnoteReference w:id="521"/>
      </w:r>
      <w:r w:rsidR="0011751E" w:rsidRPr="00B740B4">
        <w:t xml:space="preserve"> </w:t>
      </w:r>
      <w:r w:rsidR="00A15CBB" w:rsidRPr="00B740B4">
        <w:t>Grisly forms of execution are said to have been used in the Middle East, they were used (and not just by kings) in England by Catholics and Protestants, and they are widely used in the twenty-first century.</w:t>
      </w:r>
      <w:r w:rsidR="00A15CBB" w:rsidRPr="00B740B4">
        <w:rPr>
          <w:vertAlign w:val="superscript"/>
        </w:rPr>
        <w:footnoteReference w:id="522"/>
      </w:r>
      <w:r w:rsidR="00A15CBB" w:rsidRPr="00B740B4">
        <w:t xml:space="preserve"> </w:t>
      </w:r>
      <w:r w:rsidRPr="00B740B4">
        <w:t>Given that a</w:t>
      </w:r>
      <w:r w:rsidR="0011751E" w:rsidRPr="00B740B4">
        <w:t xml:space="preserve"> king has</w:t>
      </w:r>
      <w:r w:rsidRPr="00B740B4">
        <w:t xml:space="preserve"> permission to do what he likes,</w:t>
      </w:r>
      <w:r w:rsidR="0011751E" w:rsidRPr="00B740B4">
        <w:rPr>
          <w:vertAlign w:val="superscript"/>
        </w:rPr>
        <w:footnoteReference w:id="523"/>
      </w:r>
      <w:r w:rsidR="0011751E" w:rsidRPr="00B740B4">
        <w:t xml:space="preserve"> </w:t>
      </w:r>
      <w:r w:rsidRPr="00B740B4">
        <w:t>“h</w:t>
      </w:r>
      <w:r w:rsidR="007A253A" w:rsidRPr="00B740B4">
        <w:t>ow foolish, almost mad, are all who want to have very powerful kings.”</w:t>
      </w:r>
      <w:r w:rsidR="007A253A" w:rsidRPr="00B740B4">
        <w:rPr>
          <w:vertAlign w:val="superscript"/>
        </w:rPr>
        <w:footnoteReference w:id="524"/>
      </w:r>
    </w:p>
    <w:p w:rsidR="00CF4BC3" w:rsidRPr="00B740B4" w:rsidRDefault="00C35D91" w:rsidP="00C35D91">
      <w:r w:rsidRPr="00B740B4">
        <w:t>Pardonably, we might think, the civil servants can hardly believe their ears. Their profession is to apply the insights of experience and tradition to data that the king gives them. They are men of sensitivity, imagination, and insight, but they need data to work on, as they patiently and politely point out</w:t>
      </w:r>
      <w:r w:rsidR="00700293" w:rsidRPr="00B740B4">
        <w:t>, moving from imperative to the less peremptory jussive</w:t>
      </w:r>
      <w:r w:rsidR="006A0687" w:rsidRPr="00B740B4">
        <w:t xml:space="preserve"> (v 7)</w:t>
      </w:r>
      <w:r w:rsidRPr="00B740B4">
        <w:t>. In their renewed request, however, the king sees evasiveness and a confession of</w:t>
      </w:r>
      <w:r w:rsidR="00700293" w:rsidRPr="00B740B4">
        <w:t xml:space="preserve"> helplessness that points to the possibility</w:t>
      </w:r>
      <w:r w:rsidRPr="00B740B4">
        <w:t xml:space="preserve"> </w:t>
      </w:r>
      <w:r w:rsidR="00B439AF">
        <w:t xml:space="preserve">that </w:t>
      </w:r>
      <w:r w:rsidRPr="00B740B4">
        <w:t xml:space="preserve">their whole profession is a sham. All they can offer is textbook answers to set questions. Their inability to move beyond these parameters undermines the validity of the answers they provide within them. They are simply seeking to gain a period of time, in the devious hope that the situation may change in some way. Perhaps they will be able to discover an answer to the apparently impossible question, perhaps sources in the palace will discover for them what the king dreamed or whether he knows what he dreamed, perhaps he will forget the matter (or himself be removed?). </w:t>
      </w:r>
    </w:p>
    <w:p w:rsidR="00C35D91" w:rsidRPr="00B740B4" w:rsidRDefault="00C35D91" w:rsidP="00C35D91">
      <w:r w:rsidRPr="00B740B4">
        <w:t>Nebuchadnezz</w:t>
      </w:r>
      <w:r w:rsidR="00700293" w:rsidRPr="00B740B4">
        <w:t xml:space="preserve">ar, however, will not let go </w:t>
      </w:r>
      <w:r w:rsidR="00CF4BC3" w:rsidRPr="00B740B4">
        <w:t xml:space="preserve">the possibility of testing whether the experts have access </w:t>
      </w:r>
      <w:r w:rsidRPr="00B740B4">
        <w:t xml:space="preserve">to resources of insight beyond those available to other people. </w:t>
      </w:r>
      <w:r w:rsidR="00CF4BC3" w:rsidRPr="00B740B4">
        <w:t>He perhaps takes account of the fact that the ancient world recognized deception as legitimate when one’s honor needed to be established or safeguarded</w:t>
      </w:r>
      <w:r w:rsidR="00CF4BC3" w:rsidRPr="00B740B4">
        <w:rPr>
          <w:vertAlign w:val="superscript"/>
        </w:rPr>
        <w:footnoteReference w:id="525"/>
      </w:r>
      <w:r w:rsidR="00CF4BC3" w:rsidRPr="00B740B4">
        <w:t xml:space="preserve"> and h</w:t>
      </w:r>
      <w:r w:rsidRPr="00B740B4">
        <w:t xml:space="preserve">e requires of them a test </w:t>
      </w:r>
      <w:r w:rsidR="00CF4BC3" w:rsidRPr="00B740B4">
        <w:t xml:space="preserve">that </w:t>
      </w:r>
      <w:r w:rsidRPr="00B740B4">
        <w:t xml:space="preserve">Jesus submitted to (Mark 2:1–12): do something that can be checked, whose testimony may carry over into the area that cannot be checked. </w:t>
      </w:r>
      <w:r w:rsidRPr="00B740B4">
        <w:lastRenderedPageBreak/>
        <w:t>If they can divine the contents of Nebuchadnezzar’s dream, their understanding of its meaning compels respect. If not, the latter is no more than ordinary human opinion.</w:t>
      </w:r>
    </w:p>
    <w:p w:rsidR="00924531" w:rsidRPr="00B740B4" w:rsidRDefault="00C35D91" w:rsidP="00924531">
      <w:r w:rsidRPr="00B740B4">
        <w:t xml:space="preserve">Nebuchadnezzar’s talk of their buying a period of time and hoping the times may change picks up a motif that runs through the chapter. The </w:t>
      </w:r>
      <w:r w:rsidR="008673DA" w:rsidRPr="00B740B4">
        <w:t>expert</w:t>
      </w:r>
      <w:r w:rsidRPr="00B740B4">
        <w:t>s vaguely hope that circumstances may alter, and astutely seek to manipulate them, while Nebuchadnezzar sidesteps their maneuver and declares the</w:t>
      </w:r>
      <w:r w:rsidR="00B439AF">
        <w:t>ir</w:t>
      </w:r>
      <w:r w:rsidRPr="00B740B4">
        <w:t xml:space="preserve"> hope false. Neither</w:t>
      </w:r>
      <w:r w:rsidR="00CA34AD" w:rsidRPr="00B740B4">
        <w:t xml:space="preserve"> </w:t>
      </w:r>
      <w:r w:rsidRPr="00B740B4">
        <w:t>side takes into account the God who controls circum</w:t>
      </w:r>
      <w:r w:rsidR="00924531" w:rsidRPr="00B740B4">
        <w:t xml:space="preserve">stances, though unconsciously </w:t>
      </w:r>
      <w:r w:rsidRPr="00B740B4">
        <w:t>they prepare us to meet him.</w:t>
      </w:r>
      <w:r w:rsidR="00924531" w:rsidRPr="00B740B4">
        <w:t xml:space="preserve"> </w:t>
      </w:r>
    </w:p>
    <w:p w:rsidR="008C0D7A" w:rsidRPr="00B740B4" w:rsidRDefault="00C35D91" w:rsidP="008C0D7A">
      <w:r w:rsidRPr="00B740B4">
        <w:rPr>
          <w:b/>
        </w:rPr>
        <w:t>10–12</w:t>
      </w:r>
      <w:r w:rsidRPr="00B740B4">
        <w:t xml:space="preserve"> The </w:t>
      </w:r>
      <w:r w:rsidR="008673DA" w:rsidRPr="00B740B4">
        <w:t>expert</w:t>
      </w:r>
      <w:r w:rsidRPr="00B740B4">
        <w:t xml:space="preserve">s’ third and final attempt to persuade Nebuchadnezzar to be reasonable admits what the king has suspected. After all, he should surely grant, they are only human beings: court counselors, learned </w:t>
      </w:r>
      <w:r w:rsidR="008673DA" w:rsidRPr="00B740B4">
        <w:t>expert</w:t>
      </w:r>
      <w:r w:rsidRPr="00B740B4">
        <w:t>s, expositors of the tradition. The king is treating them as if they were privy to the secrets of the gods. The wistful, sad admission that seeks to excuse them exposes them and judges them. The critique that began by making fun of the toilsome multiplicity of their guilds ends by scor</w:t>
      </w:r>
      <w:r w:rsidR="00CA34AD" w:rsidRPr="00B740B4">
        <w:t>n</w:t>
      </w:r>
      <w:r w:rsidRPr="00B740B4">
        <w:t xml:space="preserve">ing their futility. It parallels the contempt for the Babylonian </w:t>
      </w:r>
      <w:r w:rsidR="008673DA" w:rsidRPr="00B740B4">
        <w:t>expert</w:t>
      </w:r>
      <w:r w:rsidRPr="00B740B4">
        <w:t xml:space="preserve">s in Isa 40–55 and the contempt for the Jerusalem prophets in Jeremiah (Isa 44:25; Jer 23:15–32). </w:t>
      </w:r>
    </w:p>
    <w:p w:rsidR="00C35D91" w:rsidRPr="00B740B4" w:rsidRDefault="001F5F04" w:rsidP="00924531">
      <w:r w:rsidRPr="00B740B4">
        <w:t>Judahite</w:t>
      </w:r>
      <w:r w:rsidR="00700293" w:rsidRPr="00B740B4">
        <w:t xml:space="preserve"> exiles might be tempted to think that</w:t>
      </w:r>
      <w:r w:rsidR="00C35D91" w:rsidRPr="00B740B4">
        <w:t xml:space="preserve"> Israelite wisdom and Israelite faith in their God as lord of history </w:t>
      </w:r>
      <w:r w:rsidR="00700293" w:rsidRPr="00B740B4">
        <w:t xml:space="preserve">are </w:t>
      </w:r>
      <w:r w:rsidR="00C35D91" w:rsidRPr="00B740B4">
        <w:t>looking extremely unimpressive compared with the resources and power of Nebuchadnezzar. Actually, Nebuchadnezzar is helpless. The Babylonians have only earthly techn</w:t>
      </w:r>
      <w:r w:rsidR="00B439AF">
        <w:t>iques that are no heavenly use in the absence of data,</w:t>
      </w:r>
      <w:r w:rsidR="00C35D91" w:rsidRPr="00B740B4">
        <w:t xml:space="preserve"> and heavenly beings who are no earthly use. </w:t>
      </w:r>
      <w:r w:rsidR="00F9241C" w:rsidRPr="00B740B4">
        <w:t>The experts’ profession does presuppose that the gods reveal things,</w:t>
      </w:r>
      <w:r w:rsidR="00F9241C" w:rsidRPr="00B740B4">
        <w:rPr>
          <w:vertAlign w:val="superscript"/>
        </w:rPr>
        <w:footnoteReference w:id="526"/>
      </w:r>
      <w:r w:rsidR="00F9241C" w:rsidRPr="00B740B4">
        <w:t xml:space="preserve"> but not the kind of thing the king r</w:t>
      </w:r>
      <w:r w:rsidR="00F9241C">
        <w:t xml:space="preserve">equires in this story. </w:t>
      </w:r>
      <w:r w:rsidR="00C35D91" w:rsidRPr="00B740B4">
        <w:t xml:space="preserve">The gods of Babylon are </w:t>
      </w:r>
      <w:r w:rsidR="00F9241C">
        <w:t>strikingly absent from the</w:t>
      </w:r>
      <w:r w:rsidR="00C35D91" w:rsidRPr="00B740B4">
        <w:t xml:space="preserve"> story. It is not an account of a conflict between the God of </w:t>
      </w:r>
      <w:r w:rsidR="00E025B5" w:rsidRPr="00B740B4">
        <w:t xml:space="preserve">the </w:t>
      </w:r>
      <w:r w:rsidR="00C35D91" w:rsidRPr="00B740B4">
        <w:t>heaven</w:t>
      </w:r>
      <w:r w:rsidR="00E025B5" w:rsidRPr="00B740B4">
        <w:t>s</w:t>
      </w:r>
      <w:r w:rsidR="00C35D91" w:rsidRPr="00B740B4">
        <w:t xml:space="preserve"> and the gods of Babylon (or Persia),</w:t>
      </w:r>
      <w:r w:rsidR="006A0687" w:rsidRPr="00B740B4">
        <w:rPr>
          <w:rStyle w:val="FootnoteReference"/>
        </w:rPr>
        <w:footnoteReference w:id="527"/>
      </w:r>
      <w:r w:rsidR="00C35D91" w:rsidRPr="00B740B4">
        <w:t xml:space="preserve"> but one between the thisworldly wisdom of Babylon and the supernatural wisdom of Daniel. In the conversation between king and </w:t>
      </w:r>
      <w:r w:rsidR="008673DA" w:rsidRPr="00B740B4">
        <w:t>expert</w:t>
      </w:r>
      <w:r w:rsidR="00F9241C">
        <w:t xml:space="preserve">s, deity is </w:t>
      </w:r>
      <w:r w:rsidR="00C35D91" w:rsidRPr="00B740B4">
        <w:t xml:space="preserve">mentioned </w:t>
      </w:r>
      <w:r w:rsidR="00F9241C">
        <w:t xml:space="preserve">only </w:t>
      </w:r>
      <w:r w:rsidR="00C35D91" w:rsidRPr="00B740B4">
        <w:t>in order to be excluded from consideration (v 11).</w:t>
      </w:r>
      <w:r w:rsidR="008B4D1C" w:rsidRPr="00B740B4">
        <w:t xml:space="preserve"> But Nebuchadnezzar does not accept the principle of Roman law that no one is obligated beyond what he is able to do.</w:t>
      </w:r>
      <w:r w:rsidR="008B4D1C" w:rsidRPr="00B740B4">
        <w:rPr>
          <w:rStyle w:val="FootnoteReference"/>
        </w:rPr>
        <w:footnoteReference w:id="528"/>
      </w:r>
    </w:p>
    <w:p w:rsidR="00A15CBB" w:rsidRPr="00B740B4" w:rsidRDefault="00C8708C" w:rsidP="00E62A6F">
      <w:r w:rsidRPr="00B740B4">
        <w:rPr>
          <w:b/>
        </w:rPr>
        <w:t>13–19a</w:t>
      </w:r>
      <w:r w:rsidR="00C35D91" w:rsidRPr="00B740B4">
        <w:t xml:space="preserve"> Nebuchadnezzar is a man of extreme emotions and acti</w:t>
      </w:r>
      <w:r w:rsidR="006A0687" w:rsidRPr="00B740B4">
        <w:t>ons: in relation to the advisers</w:t>
      </w:r>
      <w:r w:rsidR="00C35D91" w:rsidRPr="00B740B4">
        <w:t xml:space="preserve"> at the beginning of the story, </w:t>
      </w:r>
      <w:r w:rsidR="006A0687" w:rsidRPr="00B740B4">
        <w:t xml:space="preserve">he is </w:t>
      </w:r>
      <w:r w:rsidR="00C35D91" w:rsidRPr="00B740B4">
        <w:t xml:space="preserve">haunted, fearful, peremptory, tyrannical, violent, suspicious, unreasonable, malevolent, irascible (though all in vain); in relation to Daniel at the end, </w:t>
      </w:r>
      <w:r w:rsidR="00A15CBB" w:rsidRPr="00B740B4">
        <w:t>he</w:t>
      </w:r>
      <w:r w:rsidR="006A0687" w:rsidRPr="00B740B4">
        <w:t xml:space="preserve"> is </w:t>
      </w:r>
      <w:r w:rsidR="00C35D91" w:rsidRPr="00B740B4">
        <w:t>extravagant in his a</w:t>
      </w:r>
      <w:r w:rsidR="00A15CBB" w:rsidRPr="00B740B4">
        <w:t xml:space="preserve">ppreciation, </w:t>
      </w:r>
      <w:r w:rsidR="00F9241C">
        <w:t xml:space="preserve">his </w:t>
      </w:r>
      <w:r w:rsidR="00A15CBB" w:rsidRPr="00B740B4">
        <w:t>rewarding, and</w:t>
      </w:r>
      <w:r w:rsidR="00C35D91" w:rsidRPr="00B740B4">
        <w:t xml:space="preserve"> </w:t>
      </w:r>
      <w:r w:rsidR="00F9241C">
        <w:t xml:space="preserve">his </w:t>
      </w:r>
      <w:r w:rsidR="00C35D91" w:rsidRPr="00B740B4">
        <w:t>promotion of Daniel</w:t>
      </w:r>
      <w:r w:rsidR="00A15CBB" w:rsidRPr="00B740B4">
        <w:t>,</w:t>
      </w:r>
      <w:r w:rsidR="00C35D91" w:rsidRPr="00B740B4">
        <w:t xml:space="preserve"> and in his recognition of Daniel’s God. The </w:t>
      </w:r>
      <w:r w:rsidR="00A15CBB" w:rsidRPr="00B740B4">
        <w:t xml:space="preserve">Babylonian </w:t>
      </w:r>
      <w:r w:rsidR="008673DA" w:rsidRPr="00B740B4">
        <w:t>expert</w:t>
      </w:r>
      <w:r w:rsidR="00A15CBB" w:rsidRPr="00B740B4">
        <w:t xml:space="preserve">s </w:t>
      </w:r>
      <w:r w:rsidR="00C35D91" w:rsidRPr="00B740B4">
        <w:t xml:space="preserve">descend from a matter-of-fact confidence, via bluster and disbelief, to a bewildered helplessness that faces the guillotine. </w:t>
      </w:r>
    </w:p>
    <w:p w:rsidR="00E62A6F" w:rsidRPr="00B740B4" w:rsidRDefault="00C35D91" w:rsidP="00E62A6F">
      <w:r w:rsidRPr="00B740B4">
        <w:t>Our attention now moves from these cartoon portraits to a picture in total co</w:t>
      </w:r>
      <w:r w:rsidR="006A0687" w:rsidRPr="00B740B4">
        <w:t>ntrast</w:t>
      </w:r>
      <w:r w:rsidR="00A15CBB" w:rsidRPr="00B740B4">
        <w:t>. “Daniel behaves here with the restraint of self-control in contrast with the aggressive tactics of the Babylonian diviners and the hot-headed rashness of the king (2:12). Daniel acts with prudence and measured care in contrast with the desperate maneuvers of the Babylonians.”</w:t>
      </w:r>
      <w:r w:rsidR="00A15CBB" w:rsidRPr="00B740B4">
        <w:rPr>
          <w:vertAlign w:val="superscript"/>
        </w:rPr>
        <w:footnoteReference w:id="529"/>
      </w:r>
      <w:r w:rsidR="00A15CBB" w:rsidRPr="00B740B4">
        <w:t xml:space="preserve"> He</w:t>
      </w:r>
      <w:r w:rsidR="006A0687" w:rsidRPr="00B740B4">
        <w:t xml:space="preserve"> models insight</w:t>
      </w:r>
      <w:r w:rsidRPr="00B740B4">
        <w:t xml:space="preserve"> and piety, </w:t>
      </w:r>
      <w:r w:rsidR="00A15CBB" w:rsidRPr="00B740B4">
        <w:t>he</w:t>
      </w:r>
      <w:r w:rsidR="006A0687" w:rsidRPr="00B740B4">
        <w:t xml:space="preserve"> is </w:t>
      </w:r>
      <w:r w:rsidRPr="00B740B4">
        <w:t xml:space="preserve">shrewd and astute before </w:t>
      </w:r>
      <w:r w:rsidR="001F6F3D" w:rsidRPr="00B740B4">
        <w:t>Ary</w:t>
      </w:r>
      <w:r w:rsidR="00B3201A" w:rsidRPr="00B740B4">
        <w:t>ok</w:t>
      </w:r>
      <w:r w:rsidRPr="00B740B4">
        <w:t>, bold and confident before Nebuchadnezzar, open in fellowship with his friends, believing and urgent in prayer, lofty and profound in praise, decisive and assured when he returns with an explanation of the dream, straight and trenchant in declaring both its origins in God’s revelation and its content r</w:t>
      </w:r>
      <w:r w:rsidR="00A15CBB" w:rsidRPr="00B740B4">
        <w:t>egarding Babylon’s future. He</w:t>
      </w:r>
      <w:r w:rsidRPr="00B740B4">
        <w:t xml:space="preserve"> once again embod</w:t>
      </w:r>
      <w:r w:rsidR="006A0687" w:rsidRPr="00B740B4">
        <w:t>ies both the experiential discernment</w:t>
      </w:r>
      <w:r w:rsidRPr="00B740B4">
        <w:t xml:space="preserve"> of a sta</w:t>
      </w:r>
      <w:r w:rsidR="006A0687" w:rsidRPr="00B740B4">
        <w:t>tesman and the revelatory insight</w:t>
      </w:r>
      <w:r w:rsidRPr="00B740B4">
        <w:t xml:space="preserve"> of a seer (cf. 1:4, 17–20). The so-called </w:t>
      </w:r>
      <w:r w:rsidR="008673DA" w:rsidRPr="00B740B4">
        <w:t>expert</w:t>
      </w:r>
      <w:r w:rsidRPr="00B740B4">
        <w:t xml:space="preserve">s have shown themselves fools lacking the diplomatic adroitness to handle the king, but Daniel has it; he gets his way where they could not. They were refused time to devise a solution to the conundrum for </w:t>
      </w:r>
      <w:r w:rsidRPr="00B740B4">
        <w:lastRenderedPageBreak/>
        <w:t>themselves; he is granted time to seek a revelation from God. They were dismissed for their self-confessed helplessness; he is accepted for his expectation that he can do something.</w:t>
      </w:r>
      <w:r w:rsidR="00A15CBB" w:rsidRPr="00B740B4">
        <w:t xml:space="preserve"> He is not go</w:t>
      </w:r>
      <w:r w:rsidR="009B4F6B" w:rsidRPr="00B740B4">
        <w:t xml:space="preserve">ing to be held back by the fact that God </w:t>
      </w:r>
      <w:r w:rsidR="0007404B" w:rsidRPr="00B740B4">
        <w:t>is in the hea</w:t>
      </w:r>
      <w:r w:rsidR="00ED2FCE" w:rsidRPr="00B740B4">
        <w:t>vens and he is on the earth (Eccl</w:t>
      </w:r>
      <w:r w:rsidR="0007404B" w:rsidRPr="00B740B4">
        <w:t xml:space="preserve"> 5:2 [1]).</w:t>
      </w:r>
      <w:r w:rsidR="0007404B" w:rsidRPr="00B740B4">
        <w:rPr>
          <w:rStyle w:val="FootnoteReference"/>
        </w:rPr>
        <w:footnoteReference w:id="530"/>
      </w:r>
      <w:r w:rsidR="00A15CBB" w:rsidRPr="00B740B4">
        <w:t xml:space="preserve"> He knows that “what is impossible for a human being is possible for God.”</w:t>
      </w:r>
      <w:r w:rsidR="00A15CBB" w:rsidRPr="00B740B4">
        <w:rPr>
          <w:vertAlign w:val="superscript"/>
        </w:rPr>
        <w:footnoteReference w:id="531"/>
      </w:r>
    </w:p>
    <w:p w:rsidR="00A15CBB" w:rsidRPr="00B740B4" w:rsidRDefault="00C35D91" w:rsidP="004A149F">
      <w:r w:rsidRPr="00B740B4">
        <w:t xml:space="preserve">His undertaking to provide an answer recalls the instinctive boldness of his earlier offer of a trial period on a vegetarian diet (1:12). No doubt it presupposes that he will seek God and receive a revelation from him, but </w:t>
      </w:r>
      <w:r w:rsidR="00A15CBB" w:rsidRPr="00B740B4">
        <w:t>initially the emphasis lies on hi</w:t>
      </w:r>
      <w:r w:rsidRPr="00B740B4">
        <w:t>s courageous expectation that he can provide the answer, and on his decisiveness and calm confidence</w:t>
      </w:r>
      <w:r w:rsidR="006A0687" w:rsidRPr="00B740B4">
        <w:t>, which contrast</w:t>
      </w:r>
      <w:r w:rsidR="008673DA" w:rsidRPr="00B740B4">
        <w:t xml:space="preserve"> with the expert</w:t>
      </w:r>
      <w:r w:rsidRPr="00B740B4">
        <w:t>s</w:t>
      </w:r>
      <w:r w:rsidR="008673DA" w:rsidRPr="00B740B4">
        <w:t>’</w:t>
      </w:r>
      <w:r w:rsidRPr="00B740B4">
        <w:t xml:space="preserve"> incredulous impotence</w:t>
      </w:r>
      <w:r w:rsidR="006A0687" w:rsidRPr="00B740B4">
        <w:t xml:space="preserve"> (it’s not clear whether he is hoping to save all the experts or only himself and his friends)</w:t>
      </w:r>
      <w:r w:rsidRPr="00B740B4">
        <w:t xml:space="preserve">. </w:t>
      </w:r>
    </w:p>
    <w:p w:rsidR="005925F7" w:rsidRPr="00B740B4" w:rsidRDefault="00C35D91" w:rsidP="005925F7">
      <w:r w:rsidRPr="00B740B4">
        <w:t xml:space="preserve">In relation to the Babylonian authorities, Daniel stands alone. In relation to the people of God, however, he stands in fellowship with his three friends. </w:t>
      </w:r>
      <w:r w:rsidR="005925F7" w:rsidRPr="00B740B4">
        <w:t>“Disciplined, lucid, strongly given to fasting and prayer,” they form “a kind of ‘base community.’”</w:t>
      </w:r>
      <w:r w:rsidR="005925F7" w:rsidRPr="00B740B4">
        <w:rPr>
          <w:vertAlign w:val="superscript"/>
        </w:rPr>
        <w:footnoteReference w:id="532"/>
      </w:r>
      <w:r w:rsidR="005925F7" w:rsidRPr="00B740B4">
        <w:t xml:space="preserve"> Here, the importance of this</w:t>
      </w:r>
      <w:r w:rsidRPr="00B740B4">
        <w:t xml:space="preserve"> fellowship is that they join with him in laying hold of the divine resources that Daniel needs if his boldness is not to be exposed as foolhardiness.</w:t>
      </w:r>
      <w:r w:rsidR="006A4720" w:rsidRPr="00B740B4">
        <w:t xml:space="preserve"> </w:t>
      </w:r>
      <w:r w:rsidR="005925F7" w:rsidRPr="00B740B4">
        <w:t>“</w:t>
      </w:r>
      <w:r w:rsidR="005925F7" w:rsidRPr="00B740B4">
        <w:rPr>
          <w:rFonts w:eastAsia="Times-Roman" w:cs="Times-Roman"/>
        </w:rPr>
        <w:t>If this chapter suggests a paradigm for a ‘Jew in the Diaspora,’ it is for a Jew that exploits to the fullest his intellectual abilities, but</w:t>
      </w:r>
      <w:r w:rsidR="005925F7" w:rsidRPr="00B740B4">
        <w:t xml:space="preserve"> </w:t>
      </w:r>
      <w:r w:rsidR="005925F7" w:rsidRPr="00B740B4">
        <w:rPr>
          <w:rFonts w:eastAsia="Times-Roman" w:cs="Times-Roman"/>
        </w:rPr>
        <w:t>has the humility to fall on his knees before God.”</w:t>
      </w:r>
      <w:r w:rsidR="005925F7" w:rsidRPr="00B740B4">
        <w:rPr>
          <w:rStyle w:val="FootnoteReference"/>
          <w:rFonts w:eastAsia="Times-Roman" w:cs="Times-Roman"/>
        </w:rPr>
        <w:footnoteReference w:id="533"/>
      </w:r>
    </w:p>
    <w:p w:rsidR="00C8708C" w:rsidRPr="00B740B4" w:rsidRDefault="00CF366E" w:rsidP="00C8708C">
      <w:r w:rsidRPr="00B740B4">
        <w:t>Then, “in the midst of a praying, believing fellowship, God gives a vision in the night.”</w:t>
      </w:r>
      <w:r w:rsidRPr="00B740B4">
        <w:rPr>
          <w:vertAlign w:val="superscript"/>
        </w:rPr>
        <w:footnoteReference w:id="534"/>
      </w:r>
      <w:r w:rsidRPr="00B740B4">
        <w:t xml:space="preserve"> </w:t>
      </w:r>
      <w:r w:rsidR="00C8708C" w:rsidRPr="00B740B4">
        <w:t xml:space="preserve">The </w:t>
      </w:r>
      <w:r w:rsidR="00934A11" w:rsidRPr="00B740B4">
        <w:t>“</w:t>
      </w:r>
      <w:r w:rsidR="00C8708C" w:rsidRPr="00B740B4">
        <w:t>mystery</w:t>
      </w:r>
      <w:r w:rsidR="00934A11" w:rsidRPr="00B740B4">
        <w:t>”</w:t>
      </w:r>
      <w:r w:rsidRPr="00B740B4">
        <w:t xml:space="preserve"> is </w:t>
      </w:r>
      <w:r w:rsidR="00934A11" w:rsidRPr="00B740B4">
        <w:t>“</w:t>
      </w:r>
      <w:r w:rsidR="00C8708C" w:rsidRPr="00B740B4">
        <w:t>revealed</w:t>
      </w:r>
      <w:r w:rsidR="00934A11" w:rsidRPr="00B740B4">
        <w:t>”</w:t>
      </w:r>
      <w:r w:rsidR="00C8708C" w:rsidRPr="00B740B4">
        <w:t xml:space="preserve"> to Daniel. The background of these terms lies in the human experience of keeping and sharing confidence or secrets (see Prov 11:13; 20:19; 25:9; </w:t>
      </w:r>
      <w:r w:rsidR="00F60A29">
        <w:t xml:space="preserve">Sirach </w:t>
      </w:r>
      <w:r w:rsidR="00C8708C" w:rsidRPr="00B740B4">
        <w:t>8:18; 12:11). This experience is applied to a prophet’s being allowed to share in Yahweh’s secret purpose (Amos 3:7; cf. 1 Sam</w:t>
      </w:r>
      <w:r w:rsidR="00F60A29">
        <w:t xml:space="preserve"> 3:7; more generally, Deut 29:29 [28</w:t>
      </w:r>
      <w:r w:rsidR="00C8708C" w:rsidRPr="00B740B4">
        <w:t>]). The theological term revelation, of great significance in recent centuries, has this rather narrow specific biblical background.</w:t>
      </w:r>
      <w:r w:rsidR="00C8708C" w:rsidRPr="00B740B4">
        <w:rPr>
          <w:rStyle w:val="FootnoteReference"/>
        </w:rPr>
        <w:footnoteReference w:id="535"/>
      </w:r>
    </w:p>
    <w:p w:rsidR="00C8708C" w:rsidRPr="00B740B4" w:rsidRDefault="00C8708C" w:rsidP="00C8708C">
      <w:pPr>
        <w:rPr>
          <w:rFonts w:eastAsia="Times New Roman" w:cs="Times New Roman"/>
        </w:rPr>
      </w:pPr>
      <w:r w:rsidRPr="00B740B4">
        <w:t>Daniel deals in visions and dreams that reveal the se</w:t>
      </w:r>
      <w:r w:rsidR="00F60A29">
        <w:t>cret purpose of God in history. A</w:t>
      </w:r>
      <w:r w:rsidRPr="00B740B4">
        <w:t xml:space="preserve">pparently understanding history is a divine gift, not a human achievement. </w:t>
      </w:r>
      <w:r w:rsidR="00CF366E" w:rsidRPr="00B740B4">
        <w:t>The Babylonian experts were the guardians and expositors of secret lore, but Daniel has access to the real secrets of politics and history.</w:t>
      </w:r>
      <w:r w:rsidR="00CF366E" w:rsidRPr="00B740B4">
        <w:rPr>
          <w:vertAlign w:val="superscript"/>
        </w:rPr>
        <w:footnoteReference w:id="536"/>
      </w:r>
      <w:r w:rsidR="00CF366E" w:rsidRPr="00B740B4">
        <w:t xml:space="preserve"> “</w:t>
      </w:r>
      <w:r w:rsidR="00F60A29">
        <w:rPr>
          <w:rFonts w:eastAsia="Times New Roman" w:cs="Times New Roman"/>
        </w:rPr>
        <w:t xml:space="preserve">Daniel </w:t>
      </w:r>
      <w:r w:rsidR="00CF366E" w:rsidRPr="00B740B4">
        <w:rPr>
          <w:rFonts w:eastAsia="Times New Roman" w:cs="Times New Roman"/>
        </w:rPr>
        <w:t>succeed</w:t>
      </w:r>
      <w:r w:rsidR="00F60A29">
        <w:rPr>
          <w:rFonts w:eastAsia="Times New Roman" w:cs="Times New Roman"/>
        </w:rPr>
        <w:t>s</w:t>
      </w:r>
      <w:r w:rsidR="00CF366E" w:rsidRPr="00B740B4">
        <w:rPr>
          <w:rFonts w:eastAsia="Times New Roman" w:cs="Times New Roman"/>
        </w:rPr>
        <w:t xml:space="preserve"> where they fail </w:t>
      </w:r>
      <w:r w:rsidR="00F60A29">
        <w:rPr>
          <w:rFonts w:eastAsia="Times New Roman" w:cs="Times New Roman"/>
        </w:rPr>
        <w:t xml:space="preserve">not </w:t>
      </w:r>
      <w:r w:rsidR="00CF366E" w:rsidRPr="00B740B4">
        <w:rPr>
          <w:rFonts w:eastAsia="Times New Roman" w:cs="Times New Roman"/>
        </w:rPr>
        <w:t>merely because he is bett</w:t>
      </w:r>
      <w:r w:rsidR="00F60A29">
        <w:rPr>
          <w:rFonts w:eastAsia="Times New Roman" w:cs="Times New Roman"/>
        </w:rPr>
        <w:t>er at what they do</w:t>
      </w:r>
      <w:r w:rsidR="00CF366E" w:rsidRPr="00B740B4">
        <w:rPr>
          <w:rFonts w:eastAsia="Times New Roman" w:cs="Times New Roman"/>
        </w:rPr>
        <w:t xml:space="preserve">; he does not do a better job of performing the same task. Rather, Daniel has rejected and thus does not employ the divinatory rites </w:t>
      </w:r>
      <w:r w:rsidR="00F60A29">
        <w:rPr>
          <w:rFonts w:eastAsia="Times New Roman" w:cs="Times New Roman"/>
        </w:rPr>
        <w:t>that go under the name of insight</w:t>
      </w:r>
      <w:r w:rsidR="00CF366E" w:rsidRPr="00B740B4">
        <w:rPr>
          <w:rFonts w:eastAsia="Times New Roman" w:cs="Times New Roman"/>
        </w:rPr>
        <w:t xml:space="preserve"> in the Babyl</w:t>
      </w:r>
      <w:r w:rsidR="00F60A29">
        <w:rPr>
          <w:rFonts w:eastAsia="Times New Roman" w:cs="Times New Roman"/>
        </w:rPr>
        <w:t>onian tradition. Instead, he appeals to a diff</w:t>
      </w:r>
      <w:r w:rsidR="00CF366E" w:rsidRPr="00B740B4">
        <w:rPr>
          <w:rFonts w:eastAsia="Times New Roman" w:cs="Times New Roman"/>
        </w:rPr>
        <w:t>erent source, to the God of his ancestors (2:23).</w:t>
      </w:r>
      <w:r w:rsidR="00CF366E" w:rsidRPr="00B740B4">
        <w:rPr>
          <w:rStyle w:val="FootnoteReference"/>
          <w:rFonts w:eastAsia="Times New Roman" w:cs="Times New Roman"/>
        </w:rPr>
        <w:footnoteReference w:id="537"/>
      </w:r>
      <w:r w:rsidR="00CF366E" w:rsidRPr="00B740B4">
        <w:rPr>
          <w:rFonts w:eastAsia="Times New Roman" w:cs="Times New Roman"/>
        </w:rPr>
        <w:t xml:space="preserve"> While the OT can be dismissive of dreams as a means of guidance, its alternative ideological or apologetic ploy is to say that Yahweh (and his servant) alone is the true interpreter of dreams.</w:t>
      </w:r>
      <w:r w:rsidR="00CF366E" w:rsidRPr="00B740B4">
        <w:rPr>
          <w:rFonts w:eastAsia="Times New Roman" w:cs="Times New Roman"/>
          <w:vertAlign w:val="superscript"/>
        </w:rPr>
        <w:footnoteReference w:id="538"/>
      </w:r>
      <w:r w:rsidR="00CF366E" w:rsidRPr="00B740B4">
        <w:rPr>
          <w:rFonts w:eastAsia="Times New Roman" w:cs="Times New Roman"/>
        </w:rPr>
        <w:t xml:space="preserve"> Daniel</w:t>
      </w:r>
      <w:r w:rsidRPr="00B740B4">
        <w:t xml:space="preserve"> is a prophet in all</w:t>
      </w:r>
      <w:r w:rsidR="00CF366E" w:rsidRPr="00B740B4">
        <w:t xml:space="preserve"> but name (Num 12:6). But he</w:t>
      </w:r>
      <w:r w:rsidRPr="00B740B4">
        <w:t xml:space="preserve"> is the recipient of revelation only in order that Nebuchadnezzar can be (v 28). The God who sends sun and rain to the wicked as well as the good does not stand off</w:t>
      </w:r>
      <w:r w:rsidR="00CF366E" w:rsidRPr="00B740B4">
        <w:t xml:space="preserve"> from the heathen powers that</w:t>
      </w:r>
      <w:r w:rsidRPr="00B740B4">
        <w:t xml:space="preserve"> control Israel’s destiny.</w:t>
      </w:r>
      <w:r w:rsidRPr="00B740B4">
        <w:rPr>
          <w:rStyle w:val="FootnoteReference"/>
        </w:rPr>
        <w:footnoteReference w:id="539"/>
      </w:r>
      <w:r w:rsidRPr="00B740B4">
        <w:t xml:space="preserve"> He reveals his purpose to them through a prophet, as he had once to Israel’s own kings.</w:t>
      </w:r>
      <w:r w:rsidRPr="00B740B4">
        <w:rPr>
          <w:rStyle w:val="FootnoteReference"/>
        </w:rPr>
        <w:footnoteReference w:id="540"/>
      </w:r>
    </w:p>
    <w:p w:rsidR="008C0D7A" w:rsidRPr="00B740B4" w:rsidRDefault="00C35D91" w:rsidP="008C0D7A">
      <w:r w:rsidRPr="00B740B4">
        <w:rPr>
          <w:b/>
        </w:rPr>
        <w:t>19</w:t>
      </w:r>
      <w:r w:rsidR="00C8708C" w:rsidRPr="00B740B4">
        <w:rPr>
          <w:b/>
        </w:rPr>
        <w:t>b</w:t>
      </w:r>
      <w:r w:rsidRPr="00B740B4">
        <w:rPr>
          <w:b/>
        </w:rPr>
        <w:t>–23</w:t>
      </w:r>
      <w:r w:rsidRPr="00B740B4">
        <w:t xml:space="preserve"> </w:t>
      </w:r>
      <w:r w:rsidR="00C61E0E" w:rsidRPr="00B740B4">
        <w:t>While we do praise God every day, “when God confers some wonderful blessing on his servants, they are the more</w:t>
      </w:r>
      <w:r w:rsidR="00F60A29">
        <w:t xml:space="preserve"> </w:t>
      </w:r>
      <w:r w:rsidR="00C61E0E" w:rsidRPr="00B740B4">
        <w:t>stirred up to praise him,” with a “new song (Ps. 40:3 [4]; Isa 42:9-10).</w:t>
      </w:r>
      <w:r w:rsidR="00C61E0E" w:rsidRPr="00B740B4">
        <w:rPr>
          <w:rStyle w:val="FootnoteReference"/>
        </w:rPr>
        <w:footnoteReference w:id="541"/>
      </w:r>
      <w:r w:rsidR="00C61E0E" w:rsidRPr="00B740B4">
        <w:t xml:space="preserve"> </w:t>
      </w:r>
      <w:r w:rsidRPr="00B740B4">
        <w:lastRenderedPageBreak/>
        <w:t>Havi</w:t>
      </w:r>
      <w:r w:rsidR="00C8708C" w:rsidRPr="00B740B4">
        <w:t>ng shown himself a man of insight</w:t>
      </w:r>
      <w:r w:rsidRPr="00B740B4">
        <w:t xml:space="preserve"> and a man of prayer, Daniel also models the response of praise. His praise, and his subsequent confession before the king (vv 27–30), affirm what the dream and its interpretation will later reflect, that the God of</w:t>
      </w:r>
      <w:r w:rsidR="00E025B5" w:rsidRPr="00B740B4">
        <w:t xml:space="preserve"> the</w:t>
      </w:r>
      <w:r w:rsidRPr="00B740B4">
        <w:t xml:space="preserve"> heaven</w:t>
      </w:r>
      <w:r w:rsidR="00E025B5" w:rsidRPr="00B740B4">
        <w:t>s</w:t>
      </w:r>
      <w:r w:rsidRPr="00B740B4">
        <w:t xml:space="preserve"> (v 19) who is the God of Israel (v 23) controls </w:t>
      </w:r>
      <w:r w:rsidR="00934A11" w:rsidRPr="00B740B4">
        <w:t>“</w:t>
      </w:r>
      <w:r w:rsidRPr="00B740B4">
        <w:t>times and eras</w:t>
      </w:r>
      <w:r w:rsidR="00934A11" w:rsidRPr="00B740B4">
        <w:t>”</w:t>
      </w:r>
      <w:r w:rsidRPr="00B740B4">
        <w:t>—the successive epochs ruled by one king or another, one empire or another. He has control of history, and (thus) has insight int</w:t>
      </w:r>
      <w:r w:rsidR="00C8708C" w:rsidRPr="00B740B4">
        <w:t xml:space="preserve">o history (vv 20–22). </w:t>
      </w:r>
      <w:r w:rsidR="00A90EA1">
        <w:t>The poetic section of the chapter</w:t>
      </w:r>
      <w:r w:rsidR="008C0D7A" w:rsidRPr="00B740B4">
        <w:t xml:space="preserve"> articulates the main themes of the narrative.</w:t>
      </w:r>
      <w:r w:rsidR="008C0D7A" w:rsidRPr="00B740B4">
        <w:rPr>
          <w:vertAlign w:val="superscript"/>
        </w:rPr>
        <w:footnoteReference w:id="542"/>
      </w:r>
    </w:p>
    <w:p w:rsidR="008C0D7A" w:rsidRPr="00B740B4" w:rsidRDefault="00C8708C" w:rsidP="008C0D7A">
      <w:r w:rsidRPr="00B740B4">
        <w:t>The insight</w:t>
      </w:r>
      <w:r w:rsidR="009D6492">
        <w:t xml:space="preserve"> described</w:t>
      </w:r>
      <w:r w:rsidR="00C35D91" w:rsidRPr="00B740B4">
        <w:t xml:space="preserve"> here </w:t>
      </w:r>
      <w:r w:rsidRPr="00B740B4">
        <w:t xml:space="preserve">is not </w:t>
      </w:r>
      <w:r w:rsidR="00CF366E" w:rsidRPr="00B740B4">
        <w:t xml:space="preserve">merely </w:t>
      </w:r>
      <w:r w:rsidRPr="00B740B4">
        <w:t>the quality of discernment but the possession</w:t>
      </w:r>
      <w:r w:rsidR="00CF366E" w:rsidRPr="00B740B4">
        <w:t xml:space="preserve"> of knowledge about history</w:t>
      </w:r>
      <w:r w:rsidR="00C35D91" w:rsidRPr="00B740B4">
        <w:t xml:space="preserve"> that stems </w:t>
      </w:r>
      <w:r w:rsidR="00CF366E" w:rsidRPr="00B740B4">
        <w:t>from being the deciding factor in history</w:t>
      </w:r>
      <w:r w:rsidR="00C35D91" w:rsidRPr="00B740B4">
        <w:t xml:space="preserve"> and issues in being</w:t>
      </w:r>
      <w:r w:rsidR="009D6492">
        <w:t xml:space="preserve"> solely</w:t>
      </w:r>
      <w:r w:rsidR="00CF366E" w:rsidRPr="00B740B4">
        <w:t xml:space="preserve"> able to grant knowledge </w:t>
      </w:r>
      <w:r w:rsidR="00C35D91" w:rsidRPr="00B740B4">
        <w:t xml:space="preserve">about history. </w:t>
      </w:r>
      <w:r w:rsidRPr="00B740B4">
        <w:t>God’</w:t>
      </w:r>
      <w:r w:rsidR="00C35D91" w:rsidRPr="00B740B4">
        <w:t>s ability to reveal the secrets of history proves that he does control histor</w:t>
      </w:r>
      <w:r w:rsidR="009D6492">
        <w:t>y. Like Isa 40–55, Daniel does not accept</w:t>
      </w:r>
      <w:r w:rsidR="00C35D91" w:rsidRPr="00B740B4">
        <w:t xml:space="preserve"> that history is determined by the planetary forces that the Babylonians studied (cf. Isa 40:25–26). History is under the control of God in his freedom. It is thus his secret. It cannot</w:t>
      </w:r>
      <w:r w:rsidR="009D6492">
        <w:t xml:space="preserve"> be predicted or </w:t>
      </w:r>
      <w:r w:rsidR="00C35D91" w:rsidRPr="00B740B4">
        <w:t xml:space="preserve">divined by means of techniques, as the </w:t>
      </w:r>
      <w:r w:rsidR="008673DA" w:rsidRPr="00B740B4">
        <w:t>expert</w:t>
      </w:r>
      <w:r w:rsidR="00C35D91" w:rsidRPr="00B740B4">
        <w:t>s have now acknowledged. It can only be revealed—hence, in part, the m</w:t>
      </w:r>
      <w:r w:rsidRPr="00B740B4">
        <w:t>otif of prayer and thanksgiving.</w:t>
      </w:r>
      <w:r w:rsidRPr="00B740B4">
        <w:rPr>
          <w:rStyle w:val="FootnoteReference"/>
        </w:rPr>
        <w:footnoteReference w:id="543"/>
      </w:r>
      <w:r w:rsidRPr="00B740B4">
        <w:t xml:space="preserve"> </w:t>
      </w:r>
      <w:r w:rsidR="00C35D91" w:rsidRPr="00B740B4">
        <w:t xml:space="preserve">The civil servants were supposed to know the times (Esth 1:13), but the idea is illusory. The times were fixed by a source to which they had no access. </w:t>
      </w:r>
      <w:r w:rsidR="009D6492" w:rsidRPr="00B740B4">
        <w:t>”No inexorable working out of fate here; God is personally in charge of events.”</w:t>
      </w:r>
      <w:r w:rsidR="009D6492" w:rsidRPr="00B740B4">
        <w:rPr>
          <w:rStyle w:val="FootnoteReference"/>
        </w:rPr>
        <w:footnoteReference w:id="544"/>
      </w:r>
      <w:r w:rsidR="009D6492" w:rsidRPr="00B740B4">
        <w:t xml:space="preserve"> </w:t>
      </w:r>
      <w:r w:rsidR="009D6492">
        <w:t>He</w:t>
      </w:r>
      <w:r w:rsidR="00C35D91" w:rsidRPr="00B740B4">
        <w:t xml:space="preserve"> controls times and eras</w:t>
      </w:r>
      <w:r w:rsidR="009D6492">
        <w:t>,</w:t>
      </w:r>
      <w:r w:rsidR="00C35D91" w:rsidRPr="00B740B4">
        <w:t xml:space="preserve"> and his name is blessed from age to age. The words for time that appeared earlier in nontheological contexts (vv 4, 8, 9, 16) now affirm that God alone is Lord of times and ages. Nebuchadnezzar, the </w:t>
      </w:r>
      <w:r w:rsidR="008673DA" w:rsidRPr="00B740B4">
        <w:t>expert</w:t>
      </w:r>
      <w:r w:rsidR="00C35D91" w:rsidRPr="00B740B4">
        <w:t>s, and also Daniel himself (v 30) are relativized by him</w:t>
      </w:r>
      <w:r w:rsidR="009D6492">
        <w:t>. The pretensions of human con</w:t>
      </w:r>
      <w:r w:rsidRPr="00B740B4">
        <w:t>juring</w:t>
      </w:r>
      <w:r w:rsidR="00C35D91" w:rsidRPr="00B740B4">
        <w:t>, of human</w:t>
      </w:r>
      <w:r w:rsidRPr="00B740B4">
        <w:t xml:space="preserve"> power, and of human insight</w:t>
      </w:r>
      <w:r w:rsidR="00C35D91" w:rsidRPr="00B740B4">
        <w:t>, are exposed</w:t>
      </w:r>
      <w:r w:rsidR="009D6492">
        <w:t xml:space="preserve">. </w:t>
      </w:r>
      <w:r w:rsidR="008C0D7A" w:rsidRPr="00B740B4">
        <w:t>“All the power and wisdom which are in the world are a witness to the power and wisdom of God.”</w:t>
      </w:r>
      <w:r w:rsidR="008C0D7A" w:rsidRPr="00B740B4">
        <w:rPr>
          <w:vertAlign w:val="superscript"/>
        </w:rPr>
        <w:t xml:space="preserve"> </w:t>
      </w:r>
      <w:r w:rsidR="008C0D7A" w:rsidRPr="00B740B4">
        <w:rPr>
          <w:vertAlign w:val="superscript"/>
        </w:rPr>
        <w:footnoteReference w:id="545"/>
      </w:r>
    </w:p>
    <w:p w:rsidR="00CF37A1" w:rsidRPr="00B740B4" w:rsidRDefault="008C0D7A" w:rsidP="008C0D7A">
      <w:r w:rsidRPr="00B740B4">
        <w:t xml:space="preserve">The light and darkness referred to similarly denote God’s capacity to perceive things when </w:t>
      </w:r>
      <w:r w:rsidR="009D6492">
        <w:t>all seesms dark to human beings</w:t>
      </w:r>
      <w:r w:rsidRPr="00B740B4">
        <w:t>. But God has a different relationship with light from the one he has with darkness; he stands over against darkness, knowing it from a distance, but light lives with him. There is an antithesis between light a</w:t>
      </w:r>
      <w:r w:rsidR="009D6492">
        <w:t xml:space="preserve">nd darkness, but not a </w:t>
      </w:r>
      <w:r w:rsidRPr="00B740B4">
        <w:t xml:space="preserve">dualism. </w:t>
      </w:r>
      <w:r w:rsidR="00CF37A1" w:rsidRPr="00B740B4">
        <w:t xml:space="preserve">“Theologically, what is important in this story is not so much that God gave wisdom to Daniel, but </w:t>
      </w:r>
      <w:r w:rsidR="00CF37A1" w:rsidRPr="00B740B4">
        <w:rPr>
          <w:i/>
        </w:rPr>
        <w:t>why</w:t>
      </w:r>
      <w:r w:rsidR="00CF37A1" w:rsidRPr="00B740B4">
        <w:t xml:space="preserve"> God could do so: the fact that he knows ‘what is in the darkness, and light dwells with him’” (</w:t>
      </w:r>
      <w:r w:rsidR="00AF422C">
        <w:t>v</w:t>
      </w:r>
      <w:r w:rsidR="00CF37A1" w:rsidRPr="00B740B4">
        <w:t xml:space="preserve"> 22).</w:t>
      </w:r>
      <w:r w:rsidR="00CF37A1" w:rsidRPr="00B740B4">
        <w:rPr>
          <w:rStyle w:val="FootnoteReference"/>
        </w:rPr>
        <w:footnoteReference w:id="546"/>
      </w:r>
    </w:p>
    <w:p w:rsidR="00C35D91" w:rsidRPr="00B740B4" w:rsidRDefault="008C0D7A" w:rsidP="00C35D91">
      <w:r w:rsidRPr="00B740B4">
        <w:t xml:space="preserve">Such convictions </w:t>
      </w:r>
      <w:r w:rsidR="00C35D91" w:rsidRPr="00B740B4">
        <w:t>are characteristic of the OT, though they are expressed here with a</w:t>
      </w:r>
      <w:r w:rsidR="00C506F3" w:rsidRPr="00B740B4">
        <w:t xml:space="preserve"> marked universality. They may be held to be implicit in the affirmation of</w:t>
      </w:r>
      <w:r w:rsidR="00C35D91" w:rsidRPr="00B740B4">
        <w:t xml:space="preserve"> Isa 41 that Yahweh alone is bringing about the victories of Cyrus over the Babylonians and that Yahweh alone is (thus) able to offer insight on the significance of these events. Yet those affirmations concern </w:t>
      </w:r>
      <w:r w:rsidR="009D6492">
        <w:t>only specific historical events, and</w:t>
      </w:r>
      <w:r w:rsidR="00C35D91" w:rsidRPr="00B740B4">
        <w:t xml:space="preserve"> Daniel </w:t>
      </w:r>
      <w:r w:rsidR="00C54EF6" w:rsidRPr="00B740B4">
        <w:t xml:space="preserve">himself </w:t>
      </w:r>
      <w:r w:rsidR="00C35D91" w:rsidRPr="00B740B4">
        <w:t xml:space="preserve">will later </w:t>
      </w:r>
      <w:r w:rsidR="00C54EF6" w:rsidRPr="00B740B4">
        <w:t xml:space="preserve">similarly </w:t>
      </w:r>
      <w:r w:rsidR="00C35D91" w:rsidRPr="00B740B4">
        <w:t>speak of par</w:t>
      </w:r>
      <w:r w:rsidR="009D6492">
        <w:t>ticular historical events. H</w:t>
      </w:r>
      <w:r w:rsidR="00C35D91" w:rsidRPr="00B740B4">
        <w:t xml:space="preserve">is testimony here goes behind those </w:t>
      </w:r>
      <w:r w:rsidR="009D6492">
        <w:t xml:space="preserve">specific events </w:t>
      </w:r>
      <w:r w:rsidR="00C35D91" w:rsidRPr="00B740B4">
        <w:t>to God’s control of and insight into history as a whole. When Amos speaks of God revealing his secret (3:7), he refers to the secret significance of particular events; when Daniel speaks of God revealing hi</w:t>
      </w:r>
      <w:r w:rsidR="009D6492">
        <w:t xml:space="preserve">s secret, his secret relates to future history </w:t>
      </w:r>
      <w:r w:rsidR="00C35D91" w:rsidRPr="00B740B4">
        <w:t>viewed as a whole and view</w:t>
      </w:r>
      <w:r w:rsidR="00C54EF6" w:rsidRPr="00B740B4">
        <w:t>ed from its destiny (cf. v 44)</w:t>
      </w:r>
      <w:r w:rsidR="00C35D91" w:rsidRPr="00B740B4">
        <w:t>.</w:t>
      </w:r>
      <w:r w:rsidR="00C54EF6" w:rsidRPr="00B740B4">
        <w:rPr>
          <w:rStyle w:val="FootnoteReference"/>
        </w:rPr>
        <w:footnoteReference w:id="547"/>
      </w:r>
      <w:r w:rsidR="00C35D91" w:rsidRPr="00B740B4">
        <w:t xml:space="preserve"> Nebuchadnezzar has been wondering about the future (v 29), and as so often the thoughts suggest the dream (as </w:t>
      </w:r>
      <w:r w:rsidR="00C35D91" w:rsidRPr="009D6492">
        <w:rPr>
          <w:i/>
        </w:rPr>
        <w:t>b. Berakot</w:t>
      </w:r>
      <w:r w:rsidR="00C35D91" w:rsidRPr="00B740B4">
        <w:t xml:space="preserve"> 55b notes). God reve</w:t>
      </w:r>
      <w:r w:rsidR="00100550" w:rsidRPr="00B740B4">
        <w:t xml:space="preserve">als that the wondering </w:t>
      </w:r>
      <w:r w:rsidR="00C35D91" w:rsidRPr="00B740B4">
        <w:t xml:space="preserve">relates to events at the end of the era (v 28), </w:t>
      </w:r>
      <w:r w:rsidR="00C54EF6" w:rsidRPr="00B740B4">
        <w:t xml:space="preserve">to </w:t>
      </w:r>
      <w:r w:rsidR="00C35D91" w:rsidRPr="00B740B4">
        <w:t xml:space="preserve">the time when God’s hand, long unseen, becomes visible </w:t>
      </w:r>
      <w:r w:rsidR="00C54EF6" w:rsidRPr="00B740B4">
        <w:t>as he brings about</w:t>
      </w:r>
      <w:r w:rsidR="00100550" w:rsidRPr="00B740B4">
        <w:t xml:space="preserve"> </w:t>
      </w:r>
      <w:r w:rsidR="00C35D91" w:rsidRPr="00B740B4">
        <w:t>the fulfillment of his promises. The range of Daniel’s vis</w:t>
      </w:r>
      <w:r w:rsidR="00100550" w:rsidRPr="00B740B4">
        <w:t xml:space="preserve">ion and his prophetic role </w:t>
      </w:r>
      <w:r w:rsidR="00C35D91" w:rsidRPr="00B740B4">
        <w:t xml:space="preserve">extend far beyond anything </w:t>
      </w:r>
      <w:r w:rsidR="008818B6" w:rsidRPr="00B740B4">
        <w:t>chap.</w:t>
      </w:r>
      <w:r w:rsidR="00C35D91" w:rsidRPr="00B740B4">
        <w:t xml:space="preserve"> 1 hinted or chaps. 4–5 parallel. The dream relates not just to a chapter in a man’s </w:t>
      </w:r>
      <w:r w:rsidR="00C35D91" w:rsidRPr="00B740B4">
        <w:lastRenderedPageBreak/>
        <w:t>life or a moment in an empire’s history but offers a perspective on the future as a whole.</w:t>
      </w:r>
      <w:r w:rsidR="00C54EF6" w:rsidRPr="00B740B4">
        <w:rPr>
          <w:rStyle w:val="FootnoteReference"/>
        </w:rPr>
        <w:footnoteReference w:id="548"/>
      </w:r>
      <w:r w:rsidR="00C54EF6" w:rsidRPr="00B740B4">
        <w:t xml:space="preserve"> </w:t>
      </w:r>
      <w:r w:rsidR="00100550" w:rsidRPr="00B740B4">
        <w:t>In this sense, t</w:t>
      </w:r>
      <w:r w:rsidR="00C54EF6" w:rsidRPr="00B740B4">
        <w:t>his apocalypse</w:t>
      </w:r>
      <w:r w:rsidR="00C35D91" w:rsidRPr="00B740B4">
        <w:t xml:space="preserve"> is one to which an eschatological perspective is integral.</w:t>
      </w:r>
    </w:p>
    <w:p w:rsidR="00100550" w:rsidRPr="00B740B4" w:rsidRDefault="00C35D91" w:rsidP="00C35D91">
      <w:r w:rsidRPr="00B740B4">
        <w:t>A dramatic effect is achieved by the way Daniel’s worship is recorded. First, the structure of his praise is other than one might have expected. Th</w:t>
      </w:r>
      <w:r w:rsidR="00C54EF6" w:rsidRPr="00B740B4">
        <w:t>e characteristic movement of a p</w:t>
      </w:r>
      <w:r w:rsidRPr="00B740B4">
        <w:t xml:space="preserve">salm would be from </w:t>
      </w:r>
      <w:r w:rsidR="00100550" w:rsidRPr="00B740B4">
        <w:t>a testimony</w:t>
      </w:r>
      <w:r w:rsidRPr="00B740B4">
        <w:t xml:space="preserve"> to God’s specific recent act of gra</w:t>
      </w:r>
      <w:r w:rsidR="00C54EF6" w:rsidRPr="00B740B4">
        <w:t>ce, via an acknowledgement of God’</w:t>
      </w:r>
      <w:r w:rsidRPr="00B740B4">
        <w:t xml:space="preserve">s characteristic activity as revealer and lord of history, to worship of him for his personal characteristics, which these activities reflect. The reverse movement here gives prominence to the particular experience of God’s power and wisdom that Daniel himself has been given. </w:t>
      </w:r>
    </w:p>
    <w:p w:rsidR="00C35D91" w:rsidRPr="00B740B4" w:rsidRDefault="00C35D91" w:rsidP="00C35D91">
      <w:r w:rsidRPr="00B740B4">
        <w:t xml:space="preserve">A further dramatic effect is achieved by recording this confession here, while reserving the content of the revelation for later. This </w:t>
      </w:r>
      <w:r w:rsidR="00C54EF6" w:rsidRPr="00B740B4">
        <w:t xml:space="preserve">arrangement </w:t>
      </w:r>
      <w:r w:rsidRPr="00B740B4">
        <w:t xml:space="preserve">also has a theological implication. Daniel is to reveal the destiny of Nebuchadnezzar’s empire, and that revelation will evidence the power and wisdom of the God of </w:t>
      </w:r>
      <w:r w:rsidR="00E025B5" w:rsidRPr="00B740B4">
        <w:t xml:space="preserve">the </w:t>
      </w:r>
      <w:r w:rsidRPr="00B740B4">
        <w:t>heaven</w:t>
      </w:r>
      <w:r w:rsidR="00E025B5" w:rsidRPr="00B740B4">
        <w:t>s</w:t>
      </w:r>
      <w:r w:rsidR="00C54EF6" w:rsidRPr="00B740B4">
        <w:t>. Most of the time</w:t>
      </w:r>
      <w:r w:rsidRPr="00B740B4">
        <w:t xml:space="preserve">, the people of God have to live without revelations of this kind, yet they are still called to affirm that power and wisdom with Daniel on the basis of a revelation </w:t>
      </w:r>
      <w:r w:rsidR="009D6492">
        <w:t xml:space="preserve">which is </w:t>
      </w:r>
      <w:r w:rsidRPr="00B740B4">
        <w:t>in prospect bu</w:t>
      </w:r>
      <w:r w:rsidR="00C54EF6" w:rsidRPr="00B740B4">
        <w:t xml:space="preserve">t </w:t>
      </w:r>
      <w:r w:rsidR="009D6492">
        <w:t xml:space="preserve">is </w:t>
      </w:r>
      <w:r w:rsidR="00C54EF6" w:rsidRPr="00B740B4">
        <w:t xml:space="preserve">yet unseen. We do not </w:t>
      </w:r>
      <w:r w:rsidRPr="00B740B4">
        <w:t>see much evidence of the might and wisdom of God in international affairs, but we are called to believe in that wisdom to be revealed.</w:t>
      </w:r>
    </w:p>
    <w:p w:rsidR="00C229C6" w:rsidRPr="00B740B4" w:rsidRDefault="00C229C6" w:rsidP="00C35D91">
      <w:r w:rsidRPr="00B740B4">
        <w:t>Daniel begins by talking about God but ends up talking to God</w:t>
      </w:r>
      <w:r w:rsidR="00100550" w:rsidRPr="00B740B4">
        <w:t xml:space="preserve"> (v 23)</w:t>
      </w:r>
      <w:r w:rsidRPr="00B740B4">
        <w:t>.</w:t>
      </w:r>
      <w:r w:rsidRPr="00B740B4">
        <w:rPr>
          <w:rStyle w:val="FootnoteReference"/>
        </w:rPr>
        <w:footnoteReference w:id="549"/>
      </w:r>
      <w:r w:rsidR="007D697A" w:rsidRPr="00B740B4">
        <w:t xml:space="preserve"> Specifically, he talks to </w:t>
      </w:r>
      <w:r w:rsidR="00F40B2A">
        <w:t>the God of his ancestors.</w:t>
      </w:r>
      <w:r w:rsidR="007D697A" w:rsidRPr="00B740B4">
        <w:t xml:space="preserve"> The expression has varous connotations in the OT</w:t>
      </w:r>
      <w:r w:rsidR="001E1E13" w:rsidRPr="00B740B4">
        <w:t>, but in thi</w:t>
      </w:r>
      <w:r w:rsidR="00F40B2A">
        <w:t xml:space="preserve">s context it </w:t>
      </w:r>
      <w:r w:rsidR="00100550" w:rsidRPr="00B740B4">
        <w:t>link</w:t>
      </w:r>
      <w:r w:rsidR="00F40B2A">
        <w:t>s</w:t>
      </w:r>
      <w:r w:rsidR="00100550" w:rsidRPr="00B740B4">
        <w:t xml:space="preserve"> with this</w:t>
      </w:r>
      <w:r w:rsidR="001E1E13" w:rsidRPr="00B740B4">
        <w:t xml:space="preserve"> move to direct address to the God who is not only high and lifted up but involved with his people.</w:t>
      </w:r>
      <w:r w:rsidR="001E1E13" w:rsidRPr="00B740B4">
        <w:rPr>
          <w:rStyle w:val="FootnoteReference"/>
        </w:rPr>
        <w:footnoteReference w:id="550"/>
      </w:r>
    </w:p>
    <w:p w:rsidR="00C35D91" w:rsidRPr="00B740B4" w:rsidRDefault="00C35D91" w:rsidP="00C35D91">
      <w:r w:rsidRPr="00B740B4">
        <w:rPr>
          <w:b/>
        </w:rPr>
        <w:t>24–30</w:t>
      </w:r>
      <w:r w:rsidRPr="00B740B4">
        <w:t xml:space="preserve"> So Daniel returns to offer his interpretation to the king</w:t>
      </w:r>
      <w:r w:rsidR="009B421E" w:rsidRPr="00B740B4">
        <w:t>, though first he gives him a theological lecture</w:t>
      </w:r>
      <w:r w:rsidRPr="00B740B4">
        <w:t>.</w:t>
      </w:r>
      <w:r w:rsidR="009B421E" w:rsidRPr="00B740B4">
        <w:rPr>
          <w:rStyle w:val="FootnoteReference"/>
        </w:rPr>
        <w:footnoteReference w:id="551"/>
      </w:r>
      <w:r w:rsidRPr="00B740B4">
        <w:t xml:space="preserve"> There is an ambiguity about his </w:t>
      </w:r>
      <w:r w:rsidR="00100550" w:rsidRPr="00B740B4">
        <w:t xml:space="preserve">own </w:t>
      </w:r>
      <w:r w:rsidRPr="00B740B4">
        <w:t>position. He is someo</w:t>
      </w:r>
      <w:r w:rsidR="00C54EF6" w:rsidRPr="00B740B4">
        <w:t>ne renamed Belteshazzar (v 26) after the king’s god</w:t>
      </w:r>
      <w:r w:rsidRPr="00B740B4">
        <w:t xml:space="preserve"> </w:t>
      </w:r>
      <w:r w:rsidR="00C54EF6" w:rsidRPr="00B740B4">
        <w:t>(</w:t>
      </w:r>
      <w:r w:rsidR="003F14FD" w:rsidRPr="00B740B4">
        <w:t>4:8 [5</w:t>
      </w:r>
      <w:r w:rsidRPr="00B740B4">
        <w:t xml:space="preserve">]) yet </w:t>
      </w:r>
      <w:r w:rsidR="001F5F04" w:rsidRPr="00B740B4">
        <w:t>he comes to the king as a Judahite</w:t>
      </w:r>
      <w:r w:rsidRPr="00B740B4">
        <w:t xml:space="preserve"> exile (v 25) who has received </w:t>
      </w:r>
      <w:r w:rsidR="00C54EF6" w:rsidRPr="00B740B4">
        <w:t>his revelation from his ancestors’</w:t>
      </w:r>
      <w:r w:rsidRPr="00B740B4">
        <w:t xml:space="preserve"> God (v 23). He is able to reveal the mystery to the king, not because he is a more skilled </w:t>
      </w:r>
      <w:r w:rsidR="008673DA" w:rsidRPr="00B740B4">
        <w:t>expert</w:t>
      </w:r>
      <w:r w:rsidRPr="00B740B4">
        <w:t xml:space="preserve"> (</w:t>
      </w:r>
      <w:r w:rsidR="008525DA" w:rsidRPr="00B740B4">
        <w:t xml:space="preserve">cf. </w:t>
      </w:r>
      <w:r w:rsidRPr="00B740B4">
        <w:t>v 30), but because he is granted access to supernatural sources of information (cf. Gen 41:16). As in Isa 41 and 47, th</w:t>
      </w:r>
      <w:r w:rsidR="00C54EF6" w:rsidRPr="00B740B4">
        <w:t>e reason why Babylonian expertise</w:t>
      </w:r>
      <w:r w:rsidRPr="00B740B4">
        <w:t xml:space="preserve"> can be scorned is that something that works is now available. The key assertion of the book is not that there is a God in </w:t>
      </w:r>
      <w:r w:rsidR="00E025B5" w:rsidRPr="00B740B4">
        <w:t xml:space="preserve">the </w:t>
      </w:r>
      <w:r w:rsidRPr="00B740B4">
        <w:t>heaven</w:t>
      </w:r>
      <w:r w:rsidR="00E025B5" w:rsidRPr="00B740B4">
        <w:t>s</w:t>
      </w:r>
      <w:r w:rsidRPr="00B740B4">
        <w:t>:</w:t>
      </w:r>
      <w:r w:rsidR="00C54EF6" w:rsidRPr="00B740B4">
        <w:rPr>
          <w:rStyle w:val="FootnoteReference"/>
        </w:rPr>
        <w:footnoteReference w:id="552"/>
      </w:r>
      <w:r w:rsidRPr="00B740B4">
        <w:t xml:space="preserve"> everyone believed as much. It is that, contrary to the despairing assumption of the </w:t>
      </w:r>
      <w:r w:rsidR="008673DA" w:rsidRPr="00B740B4">
        <w:t>expert</w:t>
      </w:r>
      <w:r w:rsidRPr="00B740B4">
        <w:t xml:space="preserve">s (v 11), this God reveals secrets. The </w:t>
      </w:r>
      <w:r w:rsidR="008673DA" w:rsidRPr="00B740B4">
        <w:t>expert</w:t>
      </w:r>
      <w:r w:rsidRPr="00B740B4">
        <w:t>s were right that a divine revelation would be needed to provide what the king asked for, wrong to</w:t>
      </w:r>
      <w:r w:rsidR="00F40B2A">
        <w:t xml:space="preserve"> assume that this was unavailable</w:t>
      </w:r>
      <w:r w:rsidRPr="00B740B4">
        <w:t>.</w:t>
      </w:r>
    </w:p>
    <w:p w:rsidR="00C35D91" w:rsidRPr="00B740B4" w:rsidRDefault="00C35D91" w:rsidP="00C35D91">
      <w:r w:rsidRPr="00B740B4">
        <w:rPr>
          <w:b/>
        </w:rPr>
        <w:t>31–35</w:t>
      </w:r>
      <w:r w:rsidRPr="00B740B4">
        <w:t xml:space="preserve"> The awesomeness of Nebucha</w:t>
      </w:r>
      <w:r w:rsidR="00F40B2A">
        <w:t xml:space="preserve">dnezzar’s dream-statue </w:t>
      </w:r>
      <w:r w:rsidRPr="00B740B4">
        <w:t>derive</w:t>
      </w:r>
      <w:r w:rsidR="00F40B2A">
        <w:t>s</w:t>
      </w:r>
      <w:r w:rsidRPr="00B740B4">
        <w:t xml:space="preserve"> chiefly from its size. It anticipates the statue in </w:t>
      </w:r>
      <w:r w:rsidR="008818B6" w:rsidRPr="00B740B4">
        <w:t>chap.</w:t>
      </w:r>
      <w:r w:rsidR="00C54EF6" w:rsidRPr="00B740B4">
        <w:t xml:space="preserve"> 3; like that statu</w:t>
      </w:r>
      <w:r w:rsidRPr="00B740B4">
        <w:t xml:space="preserve">e, it might </w:t>
      </w:r>
      <w:r w:rsidR="00F40B2A">
        <w:t xml:space="preserve">have </w:t>
      </w:r>
      <w:r w:rsidRPr="00B740B4">
        <w:t>represent</w:t>
      </w:r>
      <w:r w:rsidR="00F40B2A">
        <w:t>ed</w:t>
      </w:r>
      <w:r w:rsidRPr="00B740B4">
        <w:t xml:space="preserve"> a god or a man. The various metals suggest a combination of costliness and strength. Yet when our eyes reach the bottom of the statue a bizarre feature appears. </w:t>
      </w:r>
      <w:r w:rsidR="00583ACF" w:rsidRPr="00B740B4">
        <w:t>“In an appropriately surreal fashion,”</w:t>
      </w:r>
      <w:r w:rsidR="00583ACF" w:rsidRPr="00B740B4">
        <w:rPr>
          <w:rStyle w:val="FootnoteReference"/>
        </w:rPr>
        <w:footnoteReference w:id="553"/>
      </w:r>
      <w:r w:rsidR="00583ACF" w:rsidRPr="00B740B4">
        <w:t xml:space="preserve"> a</w:t>
      </w:r>
      <w:r w:rsidRPr="00B740B4">
        <w:t xml:space="preserve"> single rock is enough to exploit a fatal weakness that lies not in its head, like Goliath’s,</w:t>
      </w:r>
      <w:r w:rsidR="00C54EF6" w:rsidRPr="00B740B4">
        <w:rPr>
          <w:rStyle w:val="FootnoteReference"/>
        </w:rPr>
        <w:footnoteReference w:id="554"/>
      </w:r>
      <w:r w:rsidRPr="00B740B4">
        <w:t xml:space="preserve"> but in its feet.</w:t>
      </w:r>
      <w:r w:rsidR="009B421E" w:rsidRPr="00B740B4">
        <w:t xml:space="preserve"> No human action is involved.</w:t>
      </w:r>
    </w:p>
    <w:p w:rsidR="005720C9" w:rsidRPr="00B740B4" w:rsidRDefault="00C35D91" w:rsidP="005720C9">
      <w:r w:rsidRPr="00B740B4">
        <w:rPr>
          <w:b/>
        </w:rPr>
        <w:t>36–45</w:t>
      </w:r>
      <w:r w:rsidRPr="00B740B4">
        <w:t xml:space="preserve"> The statue represents the empire led by Nebuchadnezzar. It is a single statue, a single empire, passed on from one king to anoth</w:t>
      </w:r>
      <w:r w:rsidR="00F40B2A">
        <w:t>er. Daniel’s</w:t>
      </w:r>
      <w:r w:rsidRPr="00B740B4">
        <w:t xml:space="preserve"> vision focuses not on Isra</w:t>
      </w:r>
      <w:r w:rsidR="00C54EF6" w:rsidRPr="00B740B4">
        <w:t>el’s history, like the prophets</w:t>
      </w:r>
      <w:r w:rsidRPr="00B740B4">
        <w:t xml:space="preserve">, but on world history, and </w:t>
      </w:r>
      <w:r w:rsidR="00C54EF6" w:rsidRPr="00B740B4">
        <w:t xml:space="preserve">it </w:t>
      </w:r>
      <w:r w:rsidR="00100550" w:rsidRPr="00B740B4">
        <w:t>offers a theology of worldly</w:t>
      </w:r>
      <w:r w:rsidRPr="00B740B4">
        <w:t xml:space="preserve"> history, not one confined to salvation history.</w:t>
      </w:r>
      <w:r w:rsidR="00C54EF6" w:rsidRPr="00B740B4">
        <w:rPr>
          <w:rStyle w:val="FootnoteReference"/>
        </w:rPr>
        <w:footnoteReference w:id="555"/>
      </w:r>
      <w:r w:rsidRPr="00B740B4">
        <w:t xml:space="preserve"> Yet it does not stand for the whole of history seen as a </w:t>
      </w:r>
      <w:r w:rsidR="00934A11" w:rsidRPr="00B740B4">
        <w:t>“</w:t>
      </w:r>
      <w:r w:rsidRPr="00B740B4">
        <w:t>single compact phenomenon.</w:t>
      </w:r>
      <w:r w:rsidR="005720C9" w:rsidRPr="00B740B4">
        <w:t>”</w:t>
      </w:r>
      <w:r w:rsidR="00F641B8" w:rsidRPr="00B740B4">
        <w:rPr>
          <w:rStyle w:val="FootnoteReference"/>
        </w:rPr>
        <w:footnoteReference w:id="556"/>
      </w:r>
      <w:r w:rsidRPr="00B740B4">
        <w:t xml:space="preserve"> If </w:t>
      </w:r>
      <w:r w:rsidRPr="00B740B4">
        <w:lastRenderedPageBreak/>
        <w:t>Daniel knows a scheme that suggests a theology of universal history, such as features</w:t>
      </w:r>
      <w:r w:rsidR="00A21BD0">
        <w:t xml:space="preserve"> in some extrabiblical texts, the vision</w:t>
      </w:r>
      <w:r w:rsidRPr="00B740B4">
        <w:t xml:space="preserve"> turns this </w:t>
      </w:r>
      <w:r w:rsidR="00F641B8" w:rsidRPr="00B740B4">
        <w:t>scheme into a means of interpreting</w:t>
      </w:r>
      <w:r w:rsidR="00EA383F">
        <w:t xml:space="preserve"> a particular segment of h</w:t>
      </w:r>
      <w:r w:rsidRPr="00B740B4">
        <w:t>i</w:t>
      </w:r>
      <w:r w:rsidR="00EA383F">
        <w:t>s</w:t>
      </w:r>
      <w:r w:rsidRPr="00B740B4">
        <w:t>tory, that which begins with Nebuchadnezzar.</w:t>
      </w:r>
      <w:r w:rsidR="00F641B8" w:rsidRPr="00B740B4">
        <w:rPr>
          <w:rStyle w:val="FootnoteReference"/>
        </w:rPr>
        <w:footnoteReference w:id="557"/>
      </w:r>
      <w:r w:rsidR="00100550" w:rsidRPr="00B740B4">
        <w:t xml:space="preserve"> </w:t>
      </w:r>
      <w:r w:rsidR="00EA383F">
        <w:t>Daniel relates only a “limited apocalyptic history.”</w:t>
      </w:r>
      <w:r w:rsidR="00EA383F">
        <w:rPr>
          <w:rStyle w:val="FootnoteReference"/>
        </w:rPr>
        <w:footnoteReference w:id="558"/>
      </w:r>
      <w:r w:rsidR="00EA383F">
        <w:t xml:space="preserve"> </w:t>
      </w:r>
      <w:r w:rsidR="00100550" w:rsidRPr="00B740B4">
        <w:t>Yet</w:t>
      </w:r>
      <w:r w:rsidRPr="00B740B4">
        <w:t xml:space="preserve"> picturing an empire headed by Nebuchadnezzar is not fortuitous, for he had brought the rule of Davidic kings in Jerusalem to an end. He ruled the first gentile empire </w:t>
      </w:r>
      <w:r w:rsidR="00A21BD0">
        <w:t>to exercise directl</w:t>
      </w:r>
      <w:r w:rsidR="00F641B8" w:rsidRPr="00B740B4">
        <w:t xml:space="preserve"> control </w:t>
      </w:r>
      <w:r w:rsidR="00A21BD0">
        <w:t>of Jerusalem’s destiny</w:t>
      </w:r>
      <w:r w:rsidR="001F5F04" w:rsidRPr="00B740B4">
        <w:t>. Beginning in his day the Judahite</w:t>
      </w:r>
      <w:r w:rsidRPr="00B740B4">
        <w:t xml:space="preserve">s are part </w:t>
      </w:r>
      <w:r w:rsidR="00100550" w:rsidRPr="00B740B4">
        <w:t>of worldly</w:t>
      </w:r>
      <w:r w:rsidRPr="00B740B4">
        <w:t xml:space="preserve"> history. This </w:t>
      </w:r>
      <w:r w:rsidR="00CD46B6" w:rsidRPr="00B740B4">
        <w:t xml:space="preserve">development </w:t>
      </w:r>
      <w:r w:rsidR="00A21BD0">
        <w:t>does not mean</w:t>
      </w:r>
      <w:r w:rsidRPr="00B740B4">
        <w:t xml:space="preserve"> that history is working against God and his purpose for Israel. The Middle </w:t>
      </w:r>
      <w:r w:rsidR="001F5F04" w:rsidRPr="00B740B4">
        <w:t xml:space="preserve">Eastern kings under whom the </w:t>
      </w:r>
      <w:r w:rsidR="00A21BD0">
        <w:t>Judahite</w:t>
      </w:r>
      <w:r w:rsidRPr="00B740B4">
        <w:t>s will henceforth live are under God’s sovereignty in the same real, though indirect, way as the kings of preexilic Judah had been. He sets their story in motion; he terminates it.</w:t>
      </w:r>
      <w:r w:rsidR="00F641B8" w:rsidRPr="00B740B4">
        <w:rPr>
          <w:rStyle w:val="FootnoteReference"/>
        </w:rPr>
        <w:footnoteReference w:id="559"/>
      </w:r>
      <w:r w:rsidRPr="00B740B4">
        <w:t xml:space="preserve"> The history of the world (Gen 1–11) had narrowed to become the history of Israel (from Abraham to the exile), but it now broadens to become the history of the nations, on the way to becoming the history of God’s rule.</w:t>
      </w:r>
    </w:p>
    <w:p w:rsidR="00CD46B6" w:rsidRDefault="005720C9" w:rsidP="00C35D91">
      <w:pPr>
        <w:rPr>
          <w:rFonts w:eastAsia="Times New Roman" w:cs="Times New Roman"/>
        </w:rPr>
      </w:pPr>
      <w:r w:rsidRPr="00B740B4">
        <w:rPr>
          <w:rFonts w:eastAsia="Times New Roman" w:cs="Times New Roman"/>
        </w:rPr>
        <w:t>Addressing Nebuchadnezzar as “king among kings” (</w:t>
      </w:r>
      <w:r w:rsidR="00AF422C">
        <w:rPr>
          <w:rFonts w:eastAsia="Times New Roman" w:cs="Times New Roman"/>
        </w:rPr>
        <w:t>v</w:t>
      </w:r>
      <w:r w:rsidRPr="00B740B4">
        <w:rPr>
          <w:rFonts w:eastAsia="Times New Roman" w:cs="Times New Roman"/>
        </w:rPr>
        <w:t xml:space="preserve"> 37) will turn out to contain an irony. Nebuchadnezzar’s kingship is derived (v 38), and that from one who is Lord over the earthly king among kings (v 47).</w:t>
      </w:r>
      <w:r w:rsidR="00DC2F26" w:rsidRPr="00B740B4">
        <w:rPr>
          <w:rStyle w:val="FootnoteReference"/>
          <w:rFonts w:eastAsia="Times New Roman" w:cs="Times New Roman"/>
        </w:rPr>
        <w:footnoteReference w:id="560"/>
      </w:r>
      <w:r w:rsidR="000D1157" w:rsidRPr="00B740B4">
        <w:rPr>
          <w:rFonts w:eastAsia="Times New Roman" w:cs="Times New Roman"/>
        </w:rPr>
        <w:t xml:space="preserve"> “Kings are enthroned on high…. But: the same eminences can be dethroned, brought low with astonishing ease.”</w:t>
      </w:r>
      <w:r w:rsidR="000D1157" w:rsidRPr="00B740B4">
        <w:rPr>
          <w:rStyle w:val="FootnoteReference"/>
          <w:rFonts w:eastAsia="Times New Roman" w:cs="Times New Roman"/>
        </w:rPr>
        <w:footnoteReference w:id="561"/>
      </w:r>
    </w:p>
    <w:p w:rsidR="009B6C37" w:rsidRPr="00B740B4" w:rsidRDefault="00282ABD" w:rsidP="00C35D91">
      <w:r>
        <w:rPr>
          <w:rFonts w:eastAsia="Times New Roman" w:cs="Times New Roman"/>
        </w:rPr>
        <w:t>Daniel’s “You are the head made of gold” recalls Nathan’s “You are the man” and offers the first hint that Daniel is a prophet as well as a court adviser—or rather, that as a court adviser he is bound to become a prophet.</w:t>
      </w:r>
      <w:r>
        <w:rPr>
          <w:rStyle w:val="FootnoteReference"/>
          <w:rFonts w:eastAsia="Times New Roman" w:cs="Times New Roman"/>
        </w:rPr>
        <w:footnoteReference w:id="562"/>
      </w:r>
      <w:r w:rsidR="00A21BD0">
        <w:rPr>
          <w:rFonts w:eastAsia="Times New Roman" w:cs="Times New Roman"/>
        </w:rPr>
        <w:t xml:space="preserve"> H</w:t>
      </w:r>
      <w:r w:rsidR="00A21BD0">
        <w:t>e declares that</w:t>
      </w:r>
      <w:r w:rsidR="00C35D91" w:rsidRPr="00B740B4">
        <w:t xml:space="preserve"> the golden splendor of Nebuchadnezzar’s empire is God-given. God gave Nebuchadnezzar not only Jerusalem (1:2) but all his royal might and power (v 37, cf. 5:18), indeed </w:t>
      </w:r>
      <w:r w:rsidR="00F641B8" w:rsidRPr="00B740B4">
        <w:t xml:space="preserve">gave him </w:t>
      </w:r>
      <w:r w:rsidR="00C35D91" w:rsidRPr="00B740B4">
        <w:t>autho</w:t>
      </w:r>
      <w:r w:rsidR="00CA34AD" w:rsidRPr="00B740B4">
        <w:t>rity over all creation (v 38). B</w:t>
      </w:r>
      <w:r w:rsidR="00C35D91" w:rsidRPr="00B740B4">
        <w:t>ased as it is on Jer 27:5–7, Daniel’s claim represe</w:t>
      </w:r>
      <w:r w:rsidR="00CD46B6" w:rsidRPr="00B740B4">
        <w:t>nts the same theology of worldly</w:t>
      </w:r>
      <w:r w:rsidR="00C35D91" w:rsidRPr="00B740B4">
        <w:t xml:space="preserve"> powers as the prophets’ (cf. also Isa 10), though it takes that theology further. There a theology of world history was a marginal concern, here it becomes central. </w:t>
      </w:r>
      <w:r w:rsidR="009B6C37" w:rsidRPr="00B740B4">
        <w:t xml:space="preserve">Further, while there is an implicit moral aspect to Jer 27:5-7 (and Isa 10) in that Nebuchadnezzar is given </w:t>
      </w:r>
      <w:r w:rsidR="00A21BD0">
        <w:t>his power in order to exercise it</w:t>
      </w:r>
      <w:r w:rsidR="009B6C37" w:rsidRPr="00B740B4">
        <w:t xml:space="preserve"> in ac</w:t>
      </w:r>
      <w:r w:rsidR="00A21BD0">
        <w:t>cordance with Yahweh’s judgment</w:t>
      </w:r>
      <w:r w:rsidR="009B6C37" w:rsidRPr="00B740B4">
        <w:t xml:space="preserve"> </w:t>
      </w:r>
      <w:r w:rsidR="00A21BD0">
        <w:t>(</w:t>
      </w:r>
      <w:r w:rsidR="00CD46B6" w:rsidRPr="00B740B4">
        <w:t xml:space="preserve">even </w:t>
      </w:r>
      <w:r w:rsidR="009B6C37" w:rsidRPr="00B740B4">
        <w:t>though Nebuchadnezzar does not realize it</w:t>
      </w:r>
      <w:r w:rsidR="00A21BD0">
        <w:t>)</w:t>
      </w:r>
      <w:r w:rsidR="009B6C37" w:rsidRPr="00B740B4">
        <w:t>, here the royal ideology is “amoral.”</w:t>
      </w:r>
      <w:r w:rsidR="009B6C37" w:rsidRPr="00B740B4">
        <w:rPr>
          <w:rStyle w:val="FootnoteReference"/>
        </w:rPr>
        <w:footnoteReference w:id="563"/>
      </w:r>
    </w:p>
    <w:p w:rsidR="00C35D91" w:rsidRPr="00B740B4" w:rsidRDefault="00C35D91" w:rsidP="00C35D91">
      <w:r w:rsidRPr="00B740B4">
        <w:t xml:space="preserve">Were Nebuchadnezzar himself to claim to be </w:t>
      </w:r>
      <w:r w:rsidR="00934A11" w:rsidRPr="00B740B4">
        <w:t>“</w:t>
      </w:r>
      <w:r w:rsidRPr="00B740B4">
        <w:t>king among</w:t>
      </w:r>
      <w:r w:rsidR="00F832D2" w:rsidRPr="00B740B4">
        <w:t xml:space="preserve"> kings</w:t>
      </w:r>
      <w:r w:rsidR="00934A11" w:rsidRPr="00B740B4">
        <w:t>”</w:t>
      </w:r>
      <w:r w:rsidR="00F832D2" w:rsidRPr="00B740B4">
        <w:t xml:space="preserve"> and to </w:t>
      </w:r>
      <w:r w:rsidR="00F832D2" w:rsidRPr="00A21BD0">
        <w:t xml:space="preserve">hold </w:t>
      </w:r>
      <w:r w:rsidR="00934A11" w:rsidRPr="00A21BD0">
        <w:t>“</w:t>
      </w:r>
      <w:r w:rsidR="00A21BD0" w:rsidRPr="00A21BD0">
        <w:t>kingship, sovereignty, power, and honor</w:t>
      </w:r>
      <w:r w:rsidR="00934A11" w:rsidRPr="00A21BD0">
        <w:t>”</w:t>
      </w:r>
      <w:r w:rsidRPr="00A21BD0">
        <w:t xml:space="preserve"> we would take it as an arrogant appropriation of Go</w:t>
      </w:r>
      <w:r w:rsidRPr="00B740B4">
        <w:t xml:space="preserve">d’s own splendor (cf. v 47; I Chr 29:10–11; and the traditional ending to the Lord’s Prayer). But it is God’s revelation that gives </w:t>
      </w:r>
      <w:r w:rsidR="00F641B8" w:rsidRPr="00B740B4">
        <w:t>Nebuchadnezzar</w:t>
      </w:r>
      <w:r w:rsidR="00244F6A" w:rsidRPr="00B740B4">
        <w:t xml:space="preserve"> the “charisms” which will subsequently be given to the human-like figure in 7:13-14</w:t>
      </w:r>
      <w:r w:rsidR="00244F6A" w:rsidRPr="00B740B4">
        <w:rPr>
          <w:rStyle w:val="FootnoteReference"/>
        </w:rPr>
        <w:footnoteReference w:id="564"/>
      </w:r>
      <w:r w:rsidR="00244F6A" w:rsidRPr="00B740B4">
        <w:t xml:space="preserve"> and that gives hi</w:t>
      </w:r>
      <w:r w:rsidR="00CD46B6" w:rsidRPr="00B740B4">
        <w:t>s rule its</w:t>
      </w:r>
      <w:r w:rsidR="00F641B8" w:rsidRPr="00B740B4">
        <w:t xml:space="preserve"> major</w:t>
      </w:r>
      <w:r w:rsidRPr="00B740B4">
        <w:t xml:space="preserve"> </w:t>
      </w:r>
      <w:r w:rsidR="00CD46B6" w:rsidRPr="00B740B4">
        <w:t>theological significance. The book of Daniel</w:t>
      </w:r>
      <w:r w:rsidRPr="00B740B4">
        <w:t xml:space="preserve"> makes its affirmations in the context of the domination </w:t>
      </w:r>
      <w:r w:rsidR="001F5F04" w:rsidRPr="00B740B4">
        <w:t>of gentile peoples over Judahite</w:t>
      </w:r>
      <w:r w:rsidR="006A7AB0" w:rsidRPr="00B740B4">
        <w:t>s</w:t>
      </w:r>
      <w:r w:rsidR="00CD46B6" w:rsidRPr="00B740B4">
        <w:t>,</w:t>
      </w:r>
      <w:r w:rsidR="006A7AB0" w:rsidRPr="00B740B4">
        <w:t xml:space="preserve"> and</w:t>
      </w:r>
      <w:r w:rsidRPr="00B740B4">
        <w:t xml:space="preserve"> asserts t</w:t>
      </w:r>
      <w:r w:rsidR="006A7AB0" w:rsidRPr="00B740B4">
        <w:t>hat this domination comes about by the will of God. Yet it</w:t>
      </w:r>
      <w:r w:rsidRPr="00B740B4">
        <w:t xml:space="preserve"> is ultimately destined to be brought to an end and replaced by God’s implementing of his kingship. Bowing down to Babylon will not be for ever, but it is necessary now theologically, not merely pragmatically (as in Jer 27; 29).</w:t>
      </w:r>
    </w:p>
    <w:p w:rsidR="00CD46B6" w:rsidRPr="00B740B4" w:rsidRDefault="00C35D91" w:rsidP="00CD46B6">
      <w:r w:rsidRPr="00B740B4">
        <w:t xml:space="preserve">The regimes that follow Nebuchadnezzar are not identified, nor are the reasons for the transitions discussed. Subsequent chapters may make it possible to infer their identity (see </w:t>
      </w:r>
      <w:r w:rsidRPr="00B740B4">
        <w:rPr>
          <w:i/>
        </w:rPr>
        <w:t>Comment</w:t>
      </w:r>
      <w:r w:rsidRPr="00B740B4">
        <w:t xml:space="preserve">), </w:t>
      </w:r>
      <w:r w:rsidRPr="00B740B4">
        <w:lastRenderedPageBreak/>
        <w:t>but in the drama of the story the description has to be a</w:t>
      </w:r>
      <w:r w:rsidR="006A7AB0" w:rsidRPr="00B740B4">
        <w:t>llowed to remain allusive. We miss the point when we</w:t>
      </w:r>
      <w:r w:rsidRPr="00B740B4">
        <w:t xml:space="preserve"> spend time arguing over who the empires were. For the recipients of the book what mattered was that they lived during the fourth regime, and when successiv</w:t>
      </w:r>
      <w:r w:rsidR="00CA34AD" w:rsidRPr="00B740B4">
        <w:t xml:space="preserve">e generations have reapplied </w:t>
      </w:r>
      <w:r w:rsidRPr="00B740B4">
        <w:t>the scheme of empires to the history of their day, in principle they have responded to the vision in the way it sought. If for them the fourth empire is Britain or America or Israel or some other, then the vision applies to it.</w:t>
      </w:r>
      <w:r w:rsidR="00CD46B6" w:rsidRPr="00B740B4">
        <w:t xml:space="preserve"> Lüthi nicely comments that he isn’t sure whom the four metals denote but he doesn’t think it matters too much because he couldn’t think of a regime to which the passage didn’t apply.</w:t>
      </w:r>
      <w:r w:rsidR="00CD46B6" w:rsidRPr="00B740B4">
        <w:rPr>
          <w:vertAlign w:val="superscript"/>
        </w:rPr>
        <w:footnoteReference w:id="565"/>
      </w:r>
    </w:p>
    <w:p w:rsidR="00C35D91" w:rsidRPr="00B740B4" w:rsidRDefault="00C35D91" w:rsidP="00C35D91">
      <w:r w:rsidRPr="00B740B4">
        <w:t>The vision looks on from Nebuchadnezzar himself to that</w:t>
      </w:r>
      <w:r w:rsidR="006A7AB0" w:rsidRPr="00B740B4">
        <w:t xml:space="preserve"> final denouement</w:t>
      </w:r>
      <w:r w:rsidRPr="00B740B4">
        <w:t>; the inferior s</w:t>
      </w:r>
      <w:r w:rsidR="006A7AB0" w:rsidRPr="00B740B4">
        <w:t xml:space="preserve">econd and strong third are </w:t>
      </w:r>
      <w:r w:rsidRPr="00B740B4">
        <w:t xml:space="preserve">relatively unimportant. It may be that a </w:t>
      </w:r>
      <w:r w:rsidR="006A7AB0" w:rsidRPr="00B740B4">
        <w:t xml:space="preserve">further theological point is </w:t>
      </w:r>
      <w:r w:rsidRPr="00B740B4">
        <w:t>implied. Daniel’s understanding of Nebuchadnezzar as Yahweh’</w:t>
      </w:r>
      <w:r w:rsidR="00D807E6">
        <w:t>s agent (1:1–2; 2:37–39) corresponds to</w:t>
      </w:r>
      <w:r w:rsidRPr="00B740B4">
        <w:t xml:space="preserve"> the prophetic perception of specific international events suc</w:t>
      </w:r>
      <w:r w:rsidR="006A7AB0" w:rsidRPr="00B740B4">
        <w:t>h as foreign invasions of Ephraim</w:t>
      </w:r>
      <w:r w:rsidRPr="00B740B4">
        <w:t xml:space="preserve"> or Judah as a fulfilling of God’s purpose. Yet when Daniel goes on to describe the development of imperial history after Nebuchadnezzar, no further events of this th</w:t>
      </w:r>
      <w:r w:rsidR="006A7AB0" w:rsidRPr="00B740B4">
        <w:t>eological significance are envision</w:t>
      </w:r>
      <w:r w:rsidRPr="00B740B4">
        <w:t xml:space="preserve">ed. Theologically nothing happens, as (or is it </w:t>
      </w:r>
      <w:r w:rsidR="00934A11" w:rsidRPr="00B740B4">
        <w:t>“</w:t>
      </w:r>
      <w:r w:rsidRPr="00B740B4">
        <w:t>therefore</w:t>
      </w:r>
      <w:r w:rsidR="00934A11" w:rsidRPr="00B740B4">
        <w:t>”</w:t>
      </w:r>
      <w:r w:rsidRPr="00B740B4">
        <w:t xml:space="preserve">?) historically nothing happens—though </w:t>
      </w:r>
      <w:r w:rsidR="006A7AB0" w:rsidRPr="00B740B4">
        <w:t>the book</w:t>
      </w:r>
      <w:r w:rsidRPr="00B740B4">
        <w:t xml:space="preserve">’s context in the fourth regime </w:t>
      </w:r>
      <w:r w:rsidR="006A7AB0" w:rsidRPr="00B740B4">
        <w:t xml:space="preserve">may be the consideration </w:t>
      </w:r>
      <w:r w:rsidRPr="00B740B4">
        <w:t>that explains the feeling of nonengagement with re</w:t>
      </w:r>
      <w:r w:rsidR="006A7AB0" w:rsidRPr="00B740B4">
        <w:t>al events in the Daniel stories</w:t>
      </w:r>
      <w:r w:rsidRPr="00B740B4">
        <w:t xml:space="preserve"> despite th</w:t>
      </w:r>
      <w:r w:rsidR="006A7AB0" w:rsidRPr="00B740B4">
        <w:t>e vision’s concern with history.</w:t>
      </w:r>
      <w:r w:rsidR="006A7AB0" w:rsidRPr="00B740B4">
        <w:rPr>
          <w:rStyle w:val="FootnoteReference"/>
        </w:rPr>
        <w:footnoteReference w:id="566"/>
      </w:r>
      <w:r w:rsidR="006A7AB0" w:rsidRPr="00B740B4">
        <w:t xml:space="preserve"> </w:t>
      </w:r>
      <w:r w:rsidR="00CD46B6" w:rsidRPr="00B740B4">
        <w:t>Nevertheless it is noteworthy</w:t>
      </w:r>
      <w:r w:rsidRPr="00B740B4">
        <w:t xml:space="preserve"> that there is no </w:t>
      </w:r>
      <w:r w:rsidR="00934A11" w:rsidRPr="00B740B4">
        <w:t>“</w:t>
      </w:r>
      <w:r w:rsidRPr="00B740B4">
        <w:t>is given</w:t>
      </w:r>
      <w:r w:rsidR="00934A11" w:rsidRPr="00B740B4">
        <w:t>”</w:t>
      </w:r>
      <w:r w:rsidRPr="00B740B4">
        <w:t xml:space="preserve"> in vv 39–40, and the message may be that God is not in this history.</w:t>
      </w:r>
      <w:r w:rsidR="006A7AB0" w:rsidRPr="00B740B4">
        <w:rPr>
          <w:rStyle w:val="FootnoteReference"/>
        </w:rPr>
        <w:footnoteReference w:id="567"/>
      </w:r>
      <w:r w:rsidR="00D807E6">
        <w:t xml:space="preserve"> If the fourth regime is that of Cyrus, it is a striking judgment in light of the historical significance of Cyrus </w:t>
      </w:r>
      <w:r w:rsidR="008F0AAC">
        <w:t>for Judah and his theological significance in Isa 40—55.</w:t>
      </w:r>
    </w:p>
    <w:p w:rsidR="00694CCC" w:rsidRPr="00B740B4" w:rsidRDefault="00C35D91" w:rsidP="00694CCC">
      <w:r w:rsidRPr="00B740B4">
        <w:t xml:space="preserve">If the Vohuman Vasht-i pictures the iron-mixed age as the period of domination by </w:t>
      </w:r>
      <w:r w:rsidR="006A7AB0" w:rsidRPr="00B740B4">
        <w:t>demons,</w:t>
      </w:r>
      <w:r w:rsidR="00127B67" w:rsidRPr="00B740B4">
        <w:rPr>
          <w:vertAlign w:val="superscript"/>
        </w:rPr>
        <w:footnoteReference w:id="568"/>
      </w:r>
      <w:r w:rsidR="006A7AB0" w:rsidRPr="00B740B4">
        <w:t xml:space="preserve"> </w:t>
      </w:r>
      <w:r w:rsidRPr="00B740B4">
        <w:t xml:space="preserve">Daniel’s message contrastingly continues on the human plane; it suggests no cosmic dualism. The fourth regime has a remarkable strength. Evidently the readers know that they live under a power capable of awesome violence and destructiveness. Yet the capacity to crush and shatter is not wicked in itself (God’s rule has the same capacity: v 44). The description of the empire’s downfall </w:t>
      </w:r>
      <w:r w:rsidR="008F0AAC">
        <w:t>apparently</w:t>
      </w:r>
      <w:r w:rsidR="00127B67" w:rsidRPr="00B740B4">
        <w:t xml:space="preserve"> follow</w:t>
      </w:r>
      <w:r w:rsidR="008F0AAC">
        <w:t xml:space="preserve">s </w:t>
      </w:r>
      <w:r w:rsidRPr="00B740B4">
        <w:t>attempts to mend its inherent fragility by intermarria</w:t>
      </w:r>
      <w:r w:rsidR="00127B67" w:rsidRPr="00B740B4">
        <w:t>ge. The readers</w:t>
      </w:r>
      <w:r w:rsidRPr="00B740B4">
        <w:t xml:space="preserve"> are assured that these attempts will fail. Yet there is no explicit condemnation of the fourth regime, any more than of the others, nor does the vision imply that history has reached such a low point that divine intervention is inevitable (or imminent). History, it hints, is proceeding according to </w:t>
      </w:r>
      <w:r w:rsidR="00934A11" w:rsidRPr="00B740B4">
        <w:t>“</w:t>
      </w:r>
      <w:r w:rsidRPr="00B740B4">
        <w:t>laws</w:t>
      </w:r>
      <w:r w:rsidR="00934A11" w:rsidRPr="00B740B4">
        <w:t>”</w:t>
      </w:r>
      <w:r w:rsidRPr="00B740B4">
        <w:t xml:space="preserve"> of its own, neither progressing nor degenerating, but simply taking its changing course, by Go</w:t>
      </w:r>
      <w:r w:rsidR="00694CCC" w:rsidRPr="00B740B4">
        <w:t>d’s permissive will. History does not proceed as a series of acts of divine acts of grace, nor as a sequence comprising blessing, disobedience, punishment, repentance, and restoration. But “God remains the ultimate power over history even in the absence of God’s salvific nearness.”</w:t>
      </w:r>
      <w:r w:rsidR="00694CCC" w:rsidRPr="00B740B4">
        <w:rPr>
          <w:vertAlign w:val="superscript"/>
        </w:rPr>
        <w:footnoteReference w:id="569"/>
      </w:r>
      <w:r w:rsidR="00694CCC" w:rsidRPr="00B740B4">
        <w:t xml:space="preserve">  </w:t>
      </w:r>
    </w:p>
    <w:p w:rsidR="00694CCC" w:rsidRPr="00B740B4" w:rsidRDefault="00694CCC" w:rsidP="00473549">
      <w:r w:rsidRPr="00B740B4">
        <w:t>But then God</w:t>
      </w:r>
      <w:r w:rsidR="00C35D91" w:rsidRPr="00B740B4">
        <w:t xml:space="preserve"> acts, for reasons we are not given, though apparently not because history has manifestly reached the appropriate point for this</w:t>
      </w:r>
      <w:r w:rsidRPr="00B740B4">
        <w:t xml:space="preserve"> intervention</w:t>
      </w:r>
      <w:r w:rsidR="00C35D91" w:rsidRPr="00B740B4">
        <w:t xml:space="preserve"> or because a necessary sequence of events has taken place. It is no</w:t>
      </w:r>
      <w:r w:rsidRPr="00B740B4">
        <w:t>t possible to work out when the act must come. H</w:t>
      </w:r>
      <w:r w:rsidR="00C35D91" w:rsidRPr="00B740B4">
        <w:t>uman history always stands b</w:t>
      </w:r>
      <w:r w:rsidRPr="00B740B4">
        <w:t>efore the possibility of God’</w:t>
      </w:r>
      <w:r w:rsidR="00C35D91" w:rsidRPr="00B740B4">
        <w:t>s acting</w:t>
      </w:r>
      <w:r w:rsidR="00127B67" w:rsidRPr="00B740B4">
        <w:t>.</w:t>
      </w:r>
      <w:r w:rsidR="00127B67" w:rsidRPr="00B740B4">
        <w:rPr>
          <w:rStyle w:val="FootnoteReference"/>
        </w:rPr>
        <w:footnoteReference w:id="570"/>
      </w:r>
      <w:r w:rsidR="00C35D91" w:rsidRPr="00B740B4">
        <w:t xml:space="preserve"> His act emerges from his own freedom. But wh</w:t>
      </w:r>
      <w:r w:rsidR="00F832D2" w:rsidRPr="00B740B4">
        <w:t>en God’s time comes, his reign</w:t>
      </w:r>
      <w:r w:rsidR="00C35D91" w:rsidRPr="00B740B4">
        <w:t xml:space="preserve"> requires th</w:t>
      </w:r>
      <w:r w:rsidR="00F832D2" w:rsidRPr="00B740B4">
        <w:t>e destruction of earthly regime</w:t>
      </w:r>
      <w:r w:rsidR="00C35D91" w:rsidRPr="00B740B4">
        <w:t xml:space="preserve">s rather than his working through them. </w:t>
      </w:r>
      <w:r w:rsidR="00C35D91" w:rsidRPr="00B740B4">
        <w:lastRenderedPageBreak/>
        <w:t>They are God’s will for now, but not for ever; and when</w:t>
      </w:r>
      <w:r w:rsidR="00F832D2" w:rsidRPr="00B740B4">
        <w:t xml:space="preserve"> his moment arrives, his reign</w:t>
      </w:r>
      <w:r w:rsidR="00C35D91" w:rsidRPr="00B740B4">
        <w:t xml:space="preserve"> comes by catastrophe, not by development.</w:t>
      </w:r>
      <w:r w:rsidR="00127B67" w:rsidRPr="00B740B4">
        <w:rPr>
          <w:rStyle w:val="FootnoteReference"/>
        </w:rPr>
        <w:footnoteReference w:id="571"/>
      </w:r>
      <w:r w:rsidRPr="00B740B4">
        <w:t xml:space="preserve"> </w:t>
      </w:r>
    </w:p>
    <w:p w:rsidR="00473549" w:rsidRPr="00B740B4" w:rsidRDefault="00694CCC" w:rsidP="00473549">
      <w:r w:rsidRPr="00B740B4">
        <w:t>So t</w:t>
      </w:r>
      <w:r w:rsidR="00C35D91" w:rsidRPr="00B740B4">
        <w:t>here is no hint of timing in Daniel’s revelation. Wheth</w:t>
      </w:r>
      <w:r w:rsidRPr="00B740B4">
        <w:t>er the revelation</w:t>
      </w:r>
      <w:r w:rsidR="00CA34AD" w:rsidRPr="00B740B4">
        <w:t xml:space="preserve"> </w:t>
      </w:r>
      <w:r w:rsidR="00C35D91" w:rsidRPr="00B740B4">
        <w:t>comes from the Babylonian period, the Persian period, or the Greek period, it implies that history can be divinely foreknown, but not that it is di</w:t>
      </w:r>
      <w:r w:rsidRPr="00B740B4">
        <w:t>vinely foreordained. It</w:t>
      </w:r>
      <w:r w:rsidR="00C35D91" w:rsidRPr="00B740B4">
        <w:t xml:space="preserve"> does not speak of final events fixed since time’s beginning, of the whole world under evil’s power, of a dualism of this world and the righteous world to come, of judgment in the form of an immutable fate, or of a division of world history into periods det</w:t>
      </w:r>
      <w:r w:rsidR="00127B67" w:rsidRPr="00B740B4">
        <w:t>ermined by God—M</w:t>
      </w:r>
      <w:r w:rsidR="00C35D91" w:rsidRPr="00B740B4">
        <w:t>oltmann’s characterization of apocalyptic</w:t>
      </w:r>
      <w:r w:rsidR="00127B67" w:rsidRPr="00B740B4">
        <w:t>.</w:t>
      </w:r>
      <w:r w:rsidR="00127B67" w:rsidRPr="00B740B4">
        <w:rPr>
          <w:rStyle w:val="FootnoteReference"/>
        </w:rPr>
        <w:footnoteReference w:id="572"/>
      </w:r>
      <w:r w:rsidR="00C35D91" w:rsidRPr="00B740B4">
        <w:t xml:space="preserve"> Indeed, it satisfies von Rad’s characterizat</w:t>
      </w:r>
      <w:r w:rsidR="00127B67" w:rsidRPr="00B740B4">
        <w:t>ion of Israelite historiography.</w:t>
      </w:r>
      <w:r w:rsidR="00127B67" w:rsidRPr="00B740B4">
        <w:rPr>
          <w:rStyle w:val="FootnoteReference"/>
        </w:rPr>
        <w:footnoteReference w:id="573"/>
      </w:r>
      <w:r w:rsidR="00127B67" w:rsidRPr="00B740B4">
        <w:t xml:space="preserve"> </w:t>
      </w:r>
      <w:r w:rsidR="00C35D91" w:rsidRPr="00B740B4">
        <w:t>It assumes that human beings make real decisions that do shape history, yet that human decision-making does not necessarily have the last word. It affirms the sovereignty of God in history, working sometimes via the process of human decision-making, sometimes despite it.</w:t>
      </w:r>
      <w:r w:rsidR="00473549" w:rsidRPr="00B740B4">
        <w:t xml:space="preserve"> </w:t>
      </w:r>
      <w:r w:rsidR="00934A11" w:rsidRPr="00B740B4">
        <w:rPr>
          <w:rFonts w:eastAsiaTheme="minorHAnsi" w:cs="Times New Roman"/>
          <w:bCs/>
        </w:rPr>
        <w:t>“</w:t>
      </w:r>
      <w:r w:rsidR="00473549" w:rsidRPr="00B740B4">
        <w:rPr>
          <w:rFonts w:eastAsiaTheme="minorHAnsi" w:cs="Times New Roman"/>
          <w:bCs/>
        </w:rPr>
        <w:t>History moves on the border of chaos like a [path] winding along a cliff... At one particular time, however, history will turn over the edge.</w:t>
      </w:r>
      <w:r w:rsidR="00934A11" w:rsidRPr="00B740B4">
        <w:rPr>
          <w:rFonts w:eastAsiaTheme="minorHAnsi" w:cs="Times New Roman"/>
          <w:bCs/>
        </w:rPr>
        <w:t>”</w:t>
      </w:r>
      <w:r w:rsidR="00473549" w:rsidRPr="00B740B4">
        <w:rPr>
          <w:rStyle w:val="FootnoteReference"/>
          <w:rFonts w:eastAsiaTheme="minorHAnsi" w:cs="Times New Roman"/>
          <w:bCs/>
        </w:rPr>
        <w:footnoteReference w:id="574"/>
      </w:r>
    </w:p>
    <w:p w:rsidR="00C35D91" w:rsidRPr="00B740B4" w:rsidRDefault="00C35D91" w:rsidP="00C35D91">
      <w:r w:rsidRPr="00B740B4">
        <w:t xml:space="preserve">The end of history promised here is not history coming </w:t>
      </w:r>
      <w:r w:rsidR="0067733D" w:rsidRPr="00B740B4">
        <w:t>to its goal</w:t>
      </w:r>
      <w:r w:rsidRPr="00B740B4">
        <w:t>.</w:t>
      </w:r>
      <w:r w:rsidR="0067733D" w:rsidRPr="00B740B4">
        <w:rPr>
          <w:rStyle w:val="FootnoteReference"/>
        </w:rPr>
        <w:footnoteReference w:id="575"/>
      </w:r>
      <w:r w:rsidRPr="00B740B4">
        <w:t xml:space="preserve"> Nor, however</w:t>
      </w:r>
      <w:r w:rsidR="001B31D0" w:rsidRPr="00B740B4">
        <w:t>, is it history being broken off</w:t>
      </w:r>
      <w:r w:rsidRPr="00B740B4">
        <w:t>.</w:t>
      </w:r>
      <w:r w:rsidR="001B31D0" w:rsidRPr="00B740B4">
        <w:rPr>
          <w:rStyle w:val="FootnoteReference"/>
        </w:rPr>
        <w:footnoteReference w:id="576"/>
      </w:r>
      <w:r w:rsidRPr="00B740B4">
        <w:t xml:space="preserve"> Nor are the four empires succeeded by a further, fifth empire, but by something wholly other. Daniel promises a new future, one which is not merely an extension of the present.</w:t>
      </w:r>
      <w:r w:rsidR="001B31D0" w:rsidRPr="00B740B4">
        <w:rPr>
          <w:rStyle w:val="FootnoteReference"/>
        </w:rPr>
        <w:footnoteReference w:id="577"/>
      </w:r>
      <w:r w:rsidRPr="00B740B4">
        <w:t xml:space="preserve"> It is of supernatural origin. But it is located on earth, not in </w:t>
      </w:r>
      <w:r w:rsidR="00E025B5" w:rsidRPr="00B740B4">
        <w:t xml:space="preserve">the </w:t>
      </w:r>
      <w:r w:rsidRPr="00B740B4">
        <w:t>heaven</w:t>
      </w:r>
      <w:r w:rsidR="00E025B5" w:rsidRPr="00B740B4">
        <w:t>s</w:t>
      </w:r>
      <w:r w:rsidRPr="00B740B4">
        <w:t>. Daniel envisages no dissolution of the cosmos or creation of a different world. H</w:t>
      </w:r>
      <w:r w:rsidR="00F832D2" w:rsidRPr="00B740B4">
        <w:t>is understanding of this reign</w:t>
      </w:r>
      <w:r w:rsidRPr="00B740B4">
        <w:t xml:space="preserve"> is more like the prophetic idea of the Day of Yahweh than that of some later apocalypses. The problems o</w:t>
      </w:r>
      <w:r w:rsidR="008F0AAC">
        <w:t xml:space="preserve">f politics and history can </w:t>
      </w:r>
      <w:r w:rsidRPr="00B740B4">
        <w:t xml:space="preserve">be resolved </w:t>
      </w:r>
      <w:r w:rsidR="008F0AAC">
        <w:t xml:space="preserve">only </w:t>
      </w:r>
      <w:r w:rsidRPr="00B740B4">
        <w:t>by a supernatural interventio</w:t>
      </w:r>
      <w:r w:rsidR="00F832D2" w:rsidRPr="00B740B4">
        <w:t>n that inaugurates a new regime</w:t>
      </w:r>
      <w:r w:rsidRPr="00B740B4">
        <w:t xml:space="preserve">, but this </w:t>
      </w:r>
      <w:r w:rsidR="00694CCC" w:rsidRPr="00B740B4">
        <w:t xml:space="preserve">intervention </w:t>
      </w:r>
      <w:r w:rsidRPr="00B740B4">
        <w:t>involves changing the lor</w:t>
      </w:r>
      <w:r w:rsidR="001B31D0" w:rsidRPr="00B740B4">
        <w:t>dsh</w:t>
      </w:r>
      <w:r w:rsidRPr="00B740B4">
        <w:t>ip of this world, not aban</w:t>
      </w:r>
      <w:r w:rsidR="00F832D2" w:rsidRPr="00B740B4">
        <w:t xml:space="preserve">doning this world. The new regime </w:t>
      </w:r>
      <w:r w:rsidRPr="00B740B4">
        <w:t>fills the earth. History is not destroyed; other sovereignties are.</w:t>
      </w:r>
      <w:r w:rsidR="001B31D0" w:rsidRPr="00B740B4">
        <w:rPr>
          <w:rStyle w:val="FootnoteReference"/>
        </w:rPr>
        <w:footnoteReference w:id="578"/>
      </w:r>
      <w:r w:rsidRPr="00B740B4">
        <w:t xml:space="preserve"> The qualities of this new rule are not described except by saying that it is God’s and that it lasts, both of which qualities contrast with those of its predecessors.</w:t>
      </w:r>
    </w:p>
    <w:p w:rsidR="00C35D91" w:rsidRPr="00B740B4" w:rsidRDefault="00F832D2" w:rsidP="00C35D91">
      <w:r w:rsidRPr="00B740B4">
        <w:t>The rule</w:t>
      </w:r>
      <w:r w:rsidR="00C35D91" w:rsidRPr="00B740B4">
        <w:t xml:space="preserve">, the power, and the glory had belonged to Nebuchadnezzar for a while by God’s gift, but now they are manifested elsewhere </w:t>
      </w:r>
      <w:r w:rsidR="00934A11" w:rsidRPr="00B740B4">
        <w:t>“</w:t>
      </w:r>
      <w:r w:rsidR="00C35D91" w:rsidRPr="00B740B4">
        <w:t>for ever and ev</w:t>
      </w:r>
      <w:r w:rsidR="00E80EAC" w:rsidRPr="00B740B4">
        <w:t>er</w:t>
      </w:r>
      <w:r w:rsidR="00934A11" w:rsidRPr="00B740B4">
        <w:t>”</w:t>
      </w:r>
      <w:r w:rsidR="00C35D91" w:rsidRPr="00B740B4">
        <w:t xml:space="preserve"> </w:t>
      </w:r>
      <w:r w:rsidR="00E80EAC" w:rsidRPr="00B740B4">
        <w:t>(</w:t>
      </w:r>
      <w:r w:rsidR="00AF422C">
        <w:t>v</w:t>
      </w:r>
      <w:r w:rsidR="00E80EAC" w:rsidRPr="00B740B4">
        <w:t xml:space="preserve"> 44). </w:t>
      </w:r>
      <w:r w:rsidR="00C35D91" w:rsidRPr="00B740B4">
        <w:t>The motif of time recurs once more: Nebuchadnezzar’s kingship cannot last for ever (contrast v 4), but God’s regime will</w:t>
      </w:r>
      <w:r w:rsidR="00E80EAC" w:rsidRPr="00B740B4">
        <w:t xml:space="preserve"> do so</w:t>
      </w:r>
      <w:r w:rsidR="00C35D91" w:rsidRPr="00B740B4">
        <w:t>, because he himself</w:t>
      </w:r>
      <w:r w:rsidR="008F0AAC">
        <w:t xml:space="preserve"> does (cf. v 20). Whereas the insight and power of Israel and its God seemed </w:t>
      </w:r>
      <w:r w:rsidR="00C35D91" w:rsidRPr="00B740B4">
        <w:t>unimp</w:t>
      </w:r>
      <w:r w:rsidR="001B31D0" w:rsidRPr="00B740B4">
        <w:t>ressive (as they di</w:t>
      </w:r>
      <w:r w:rsidR="00C35D91" w:rsidRPr="00B740B4">
        <w:t>d to the exiles to whom Isa 40–55 is addressed), in fact God hold</w:t>
      </w:r>
      <w:r w:rsidR="008F0AAC">
        <w:t>s and shares resources of insight</w:t>
      </w:r>
      <w:r w:rsidR="00C35D91" w:rsidRPr="00B740B4">
        <w:t xml:space="preserve"> and power beyond Nebuchadnezzar’s dreaming (as Isa 40–55, too, asserts in rel</w:t>
      </w:r>
      <w:r w:rsidR="00CA34AD" w:rsidRPr="00B740B4">
        <w:t>a</w:t>
      </w:r>
      <w:r w:rsidR="00C35D91" w:rsidRPr="00B740B4">
        <w:t>tion to Babylon and Cyrus). Not that Daniel sees the rock as representing an Israelite empire. His e</w:t>
      </w:r>
      <w:r w:rsidR="008F0AAC">
        <w:t>mphasis is that power and insight</w:t>
      </w:r>
      <w:r w:rsidR="00C35D91" w:rsidRPr="00B740B4">
        <w:t xml:space="preserve"> belong to God. </w:t>
      </w:r>
      <w:r w:rsidR="002508E2">
        <w:t xml:space="preserve">Nebuchadnezzar’s dream “reveals that the traditional Israelite ways of narrating divine power and presence in history are no longer able to account for the experience and also what it </w:t>
      </w:r>
      <w:r w:rsidR="002508E2">
        <w:rPr>
          <w:i/>
        </w:rPr>
        <w:lastRenderedPageBreak/>
        <w:t>does</w:t>
      </w:r>
      <w:r w:rsidR="002508E2">
        <w:t xml:space="preserve"> for its… readers.”</w:t>
      </w:r>
      <w:r w:rsidR="002508E2">
        <w:rPr>
          <w:rStyle w:val="FootnoteReference"/>
        </w:rPr>
        <w:footnoteReference w:id="579"/>
      </w:r>
      <w:r w:rsidR="002508E2">
        <w:t xml:space="preserve"> </w:t>
      </w:r>
      <w:r w:rsidR="00376799">
        <w:t>I</w:t>
      </w:r>
      <w:r w:rsidR="002508E2">
        <w:t>n those circumstances, i</w:t>
      </w:r>
      <w:r w:rsidR="00376799">
        <w:t>f encouragement is the first aim of a piece of apocalyptic literature</w:t>
      </w:r>
      <w:r w:rsidR="00376799" w:rsidRPr="00376799">
        <w:t xml:space="preserve"> such as this one,</w:t>
      </w:r>
      <w:r w:rsidR="00376799">
        <w:rPr>
          <w:rStyle w:val="FootnoteReference"/>
        </w:rPr>
        <w:footnoteReference w:id="580"/>
      </w:r>
      <w:r w:rsidR="00376799" w:rsidRPr="00376799">
        <w:t xml:space="preserve"> </w:t>
      </w:r>
      <w:r w:rsidR="00376799">
        <w:t xml:space="preserve"> it is that</w:t>
      </w:r>
      <w:r w:rsidR="008F0AAC">
        <w:t xml:space="preserve"> fact </w:t>
      </w:r>
      <w:r w:rsidR="002508E2">
        <w:t>ab</w:t>
      </w:r>
      <w:r w:rsidR="00376799">
        <w:t>out God</w:t>
      </w:r>
      <w:r w:rsidR="002508E2">
        <w:t>’s power and insight</w:t>
      </w:r>
      <w:r w:rsidR="00376799">
        <w:t xml:space="preserve"> </w:t>
      </w:r>
      <w:r w:rsidR="008F0AAC">
        <w:t>rather than their own status</w:t>
      </w:r>
      <w:r w:rsidR="00376799">
        <w:t xml:space="preserve"> that </w:t>
      </w:r>
      <w:r w:rsidR="002508E2">
        <w:t>Daniel</w:t>
      </w:r>
      <w:r w:rsidR="00376799">
        <w:t xml:space="preserve"> offers</w:t>
      </w:r>
      <w:r w:rsidR="00C35D91" w:rsidRPr="00B740B4">
        <w:t xml:space="preserve"> a</w:t>
      </w:r>
      <w:r w:rsidR="001F5F04" w:rsidRPr="00B740B4">
        <w:t>s an encouragement to his Judahite</w:t>
      </w:r>
      <w:r w:rsidR="00C35D91" w:rsidRPr="00B740B4">
        <w:t xml:space="preserve"> readers. Indeed, Dan 2 has no reference to the people of God, the messiah, the eternal destiny of humanity, the remnant, or the temple</w:t>
      </w:r>
      <w:r w:rsidR="001B31D0" w:rsidRPr="00B740B4">
        <w:t>.</w:t>
      </w:r>
      <w:r w:rsidR="001B31D0" w:rsidRPr="00B740B4">
        <w:rPr>
          <w:rStyle w:val="FootnoteReference"/>
        </w:rPr>
        <w:footnoteReference w:id="581"/>
      </w:r>
      <w:r w:rsidR="00C35D91" w:rsidRPr="00B740B4">
        <w:t xml:space="preserve"> God’s rule has sole focus. This </w:t>
      </w:r>
      <w:r w:rsidR="00E80EAC" w:rsidRPr="00B740B4">
        <w:t xml:space="preserve">focus </w:t>
      </w:r>
      <w:r w:rsidR="00C35D91" w:rsidRPr="00B740B4">
        <w:t>gives a context to subsequent chapters’ references to these other motifs.</w:t>
      </w:r>
    </w:p>
    <w:p w:rsidR="00C35D91" w:rsidRPr="00B740B4" w:rsidRDefault="00C35D91" w:rsidP="00C35D91">
      <w:r w:rsidRPr="00B740B4">
        <w:t>Daniel’s vision was not fulfilled in the historical periods to which the book refers. In this it para</w:t>
      </w:r>
      <w:r w:rsidR="00753C08">
        <w:t>llels the many prophecies</w:t>
      </w:r>
      <w:r w:rsidRPr="00B740B4">
        <w:t xml:space="preserve"> that give the impression that the Day of Yahweh is about to dawn, but after which things conti</w:t>
      </w:r>
      <w:r w:rsidR="001B31D0" w:rsidRPr="00B740B4">
        <w:t>nue as they have done before. It</w:t>
      </w:r>
      <w:r w:rsidR="00376799">
        <w:t xml:space="preserve"> happens again after</w:t>
      </w:r>
      <w:r w:rsidR="00E80EAC" w:rsidRPr="00B740B4">
        <w:t xml:space="preserve"> Jesus</w:t>
      </w:r>
      <w:r w:rsidR="00376799">
        <w:t xml:space="preserve"> came declaring </w:t>
      </w:r>
      <w:r w:rsidRPr="00B740B4">
        <w:t xml:space="preserve">the </w:t>
      </w:r>
      <w:r w:rsidR="00376799">
        <w:t xml:space="preserve">present or </w:t>
      </w:r>
      <w:r w:rsidRPr="00B740B4">
        <w:t>imm</w:t>
      </w:r>
      <w:r w:rsidR="00376799">
        <w:t>inent establishing of God’s reign</w:t>
      </w:r>
      <w:r w:rsidR="00E46DCA">
        <w:t xml:space="preserve"> (see 2 Pet</w:t>
      </w:r>
      <w:r w:rsidRPr="00B740B4">
        <w:t xml:space="preserve"> 3:4). Yet each prophet’s words </w:t>
      </w:r>
      <w:r w:rsidR="00173D8D">
        <w:t xml:space="preserve">(and Jesus’ words) </w:t>
      </w:r>
      <w:r w:rsidRPr="00B740B4">
        <w:t>were received as from God, partly in the conviction that they would find their fulfillment in time, partly in the awareness that they had seen some</w:t>
      </w:r>
      <w:r w:rsidR="00E80EAC" w:rsidRPr="00B740B4">
        <w:t xml:space="preserve"> </w:t>
      </w:r>
      <w:r w:rsidR="00173D8D">
        <w:t>measure of fulfillment already which encouraged</w:t>
      </w:r>
      <w:r w:rsidRPr="00B740B4">
        <w:t xml:space="preserve"> the conviction that</w:t>
      </w:r>
      <w:r w:rsidR="00173D8D">
        <w:t xml:space="preserve"> further fulfillment would </w:t>
      </w:r>
      <w:r w:rsidRPr="00B740B4">
        <w:t>f</w:t>
      </w:r>
      <w:r w:rsidR="00E80EAC" w:rsidRPr="00B740B4">
        <w:t>ollow</w:t>
      </w:r>
      <w:r w:rsidRPr="00B740B4">
        <w:t xml:space="preserve">. So </w:t>
      </w:r>
      <w:r w:rsidR="001B31D0" w:rsidRPr="00B740B4">
        <w:t xml:space="preserve">it is </w:t>
      </w:r>
      <w:r w:rsidRPr="00B740B4">
        <w:t>w</w:t>
      </w:r>
      <w:r w:rsidR="00E80EAC" w:rsidRPr="00B740B4">
        <w:t>ith Daniel’s vision. The regimes</w:t>
      </w:r>
      <w:r w:rsidRPr="00B740B4">
        <w:t xml:space="preserve"> that Daniel and the read</w:t>
      </w:r>
      <w:r w:rsidR="00173D8D">
        <w:t>ers knew did disappear; the reign</w:t>
      </w:r>
      <w:r w:rsidRPr="00B740B4">
        <w:t xml:space="preserve"> of the God of </w:t>
      </w:r>
      <w:r w:rsidR="00E025B5" w:rsidRPr="00B740B4">
        <w:t xml:space="preserve">the </w:t>
      </w:r>
      <w:r w:rsidRPr="00B740B4">
        <w:t>heaven</w:t>
      </w:r>
      <w:r w:rsidR="00E025B5" w:rsidRPr="00B740B4">
        <w:t>s</w:t>
      </w:r>
      <w:r w:rsidRPr="00B740B4">
        <w:t xml:space="preserve"> was reestablished in Jerusalem.</w:t>
      </w:r>
    </w:p>
    <w:p w:rsidR="00C35D91" w:rsidRPr="00B740B4" w:rsidRDefault="00C35D91" w:rsidP="00C35D91">
      <w:r w:rsidRPr="00B740B4">
        <w:t xml:space="preserve">By NT times, the rock in Daniel had become associated with other </w:t>
      </w:r>
      <w:r w:rsidR="00934A11" w:rsidRPr="00B740B4">
        <w:t>“</w:t>
      </w:r>
      <w:r w:rsidRPr="00B740B4">
        <w:t>rock</w:t>
      </w:r>
      <w:r w:rsidR="00934A11" w:rsidRPr="00B740B4">
        <w:t>”</w:t>
      </w:r>
      <w:r w:rsidRPr="00B740B4">
        <w:t xml:space="preserve"> passages, Isa 8:14 (see also 28:16) a</w:t>
      </w:r>
      <w:r w:rsidR="002C2044" w:rsidRPr="00B740B4">
        <w:t>nd Ps 118:22 (see Luke 20:17–18</w:t>
      </w:r>
      <w:r w:rsidRPr="00B740B4">
        <w:t>).</w:t>
      </w:r>
      <w:r w:rsidR="002C2044" w:rsidRPr="00B740B4">
        <w:rPr>
          <w:rStyle w:val="FootnoteReference"/>
        </w:rPr>
        <w:footnoteReference w:id="582"/>
      </w:r>
      <w:r w:rsidRPr="00B740B4">
        <w:t xml:space="preserve"> </w:t>
      </w:r>
      <w:r w:rsidR="00D521FC" w:rsidRPr="00B740B4">
        <w:t>While “Daniel 1—6 has no interest in the Davidic line”</w:t>
      </w:r>
      <w:r w:rsidR="00D521FC" w:rsidRPr="00B740B4">
        <w:rPr>
          <w:rStyle w:val="FootnoteReference"/>
        </w:rPr>
        <w:footnoteReference w:id="583"/>
      </w:r>
      <w:r w:rsidR="00D521FC" w:rsidRPr="00B740B4">
        <w:t xml:space="preserve"> and t</w:t>
      </w:r>
      <w:r w:rsidRPr="00B740B4">
        <w:t>here is no indication that Daniel understood</w:t>
      </w:r>
      <w:r w:rsidR="00BD2166">
        <w:t xml:space="preserve"> the rock to denote a </w:t>
      </w:r>
      <w:r w:rsidR="002C2044" w:rsidRPr="00B740B4">
        <w:t>M</w:t>
      </w:r>
      <w:r w:rsidR="00E80EAC" w:rsidRPr="00B740B4">
        <w:t xml:space="preserve">essiah, </w:t>
      </w:r>
      <w:r w:rsidRPr="00B740B4">
        <w:t>it tur</w:t>
      </w:r>
      <w:r w:rsidR="00E80EAC" w:rsidRPr="00B740B4">
        <w:t>ned</w:t>
      </w:r>
      <w:r w:rsidR="002C2044" w:rsidRPr="00B740B4">
        <w:t xml:space="preserve"> out that </w:t>
      </w:r>
      <w:r w:rsidRPr="00B740B4">
        <w:t>the one who initiated the ultimate downfall of worldly empires and the establishment o</w:t>
      </w:r>
      <w:r w:rsidR="00BD2166">
        <w:t>f God’s reign</w:t>
      </w:r>
      <w:r w:rsidRPr="00B740B4">
        <w:t xml:space="preserve"> was the man Jesus.</w:t>
      </w:r>
      <w:r w:rsidR="002C2044" w:rsidRPr="00B740B4">
        <w:rPr>
          <w:rStyle w:val="FootnoteReference"/>
        </w:rPr>
        <w:footnoteReference w:id="584"/>
      </w:r>
      <w:r w:rsidRPr="00B740B4">
        <w:t xml:space="preserve"> His virgin birth makes a parallel point to the picture of the rock breaking off without human involvement</w:t>
      </w:r>
      <w:r w:rsidR="00E80EAC" w:rsidRPr="00B740B4">
        <w:t>.</w:t>
      </w:r>
      <w:r w:rsidRPr="00B740B4">
        <w:t xml:space="preserve"> He came to</w:t>
      </w:r>
      <w:r w:rsidR="00BD2166">
        <w:t xml:space="preserve"> a people looking for God’s reign</w:t>
      </w:r>
      <w:r w:rsidRPr="00B740B4">
        <w:t xml:space="preserve">, and </w:t>
      </w:r>
      <w:r w:rsidR="00E80EAC" w:rsidRPr="00B740B4">
        <w:t xml:space="preserve">he </w:t>
      </w:r>
      <w:r w:rsidRPr="00B740B4">
        <w:t xml:space="preserve">proclaimed that it was </w:t>
      </w:r>
      <w:r w:rsidR="00E80EAC" w:rsidRPr="00B740B4">
        <w:t>now arriving (Mark 15:43; 1:15), though it transpired that the King among kings could</w:t>
      </w:r>
      <w:r w:rsidRPr="00B740B4">
        <w:t xml:space="preserve"> also be described as a lamb with the marks of slaughter upon him (Rev 5:6; 17:14), which excludes any triumphalistic understanding of this kingship</w:t>
      </w:r>
      <w:r w:rsidR="002C2044" w:rsidRPr="00B740B4">
        <w:t>.</w:t>
      </w:r>
      <w:r w:rsidR="002C2044" w:rsidRPr="00B740B4">
        <w:rPr>
          <w:rStyle w:val="FootnoteReference"/>
        </w:rPr>
        <w:footnoteReference w:id="585"/>
      </w:r>
      <w:r w:rsidRPr="00B740B4">
        <w:t xml:space="preserve"> </w:t>
      </w:r>
    </w:p>
    <w:p w:rsidR="00C35D91" w:rsidRPr="00B740B4" w:rsidRDefault="002C2044" w:rsidP="00C35D91">
      <w:r w:rsidRPr="00B740B4">
        <w:t xml:space="preserve">Christians living much later </w:t>
      </w:r>
      <w:r w:rsidR="00E80EAC" w:rsidRPr="00B740B4">
        <w:t xml:space="preserve">than </w:t>
      </w:r>
      <w:r w:rsidR="00E45228">
        <w:t>Jesus’</w:t>
      </w:r>
      <w:r w:rsidR="00E80EAC" w:rsidRPr="00B740B4">
        <w:t xml:space="preserve"> day </w:t>
      </w:r>
      <w:r w:rsidRPr="00B740B4">
        <w:t>have</w:t>
      </w:r>
      <w:r w:rsidR="00C35D91" w:rsidRPr="00B740B4">
        <w:t xml:space="preserve"> to</w:t>
      </w:r>
      <w:r w:rsidRPr="00B740B4">
        <w:t xml:space="preserve"> face the difficulties</w:t>
      </w:r>
      <w:r w:rsidR="00E80EAC" w:rsidRPr="00B740B4">
        <w:t xml:space="preserve"> of their conviction about him</w:t>
      </w:r>
      <w:r w:rsidR="00C35D91" w:rsidRPr="00B740B4">
        <w:t>. Calvin attempts to demolis</w:t>
      </w:r>
      <w:r w:rsidR="00E80EAC" w:rsidRPr="00B740B4">
        <w:t>h Avravanel’s exposition of these difficulties</w:t>
      </w:r>
      <w:r w:rsidR="00C35D91" w:rsidRPr="00B740B4">
        <w:t>, but he is not entirely successful.</w:t>
      </w:r>
      <w:r w:rsidRPr="00B740B4">
        <w:rPr>
          <w:rStyle w:val="FootnoteReference"/>
        </w:rPr>
        <w:footnoteReference w:id="586"/>
      </w:r>
      <w:r w:rsidR="00C35D91" w:rsidRPr="00B740B4">
        <w:t xml:space="preserve"> </w:t>
      </w:r>
      <w:r w:rsidR="00E80EAC" w:rsidRPr="00B740B4">
        <w:t xml:space="preserve">The book of </w:t>
      </w:r>
      <w:r w:rsidR="00C35D91" w:rsidRPr="00B740B4">
        <w:t>Daniel’s own response to the fact that the exile did not bring the ultimate realization o</w:t>
      </w:r>
      <w:r w:rsidR="00BD2166">
        <w:t>f Yahweh’s kingship, in keeping with the proclamation in Isa 40–55</w:t>
      </w:r>
      <w:r w:rsidR="000B7E36">
        <w:t>, i</w:t>
      </w:r>
      <w:r w:rsidR="00C35D91" w:rsidRPr="00B740B4">
        <w:t>s not to turn that kingship into something n</w:t>
      </w:r>
      <w:r w:rsidR="000B7E36">
        <w:t xml:space="preserve">ationalistic (Yahweh is </w:t>
      </w:r>
      <w:r w:rsidR="00C35D91" w:rsidRPr="00B740B4">
        <w:t>Israel</w:t>
      </w:r>
      <w:r w:rsidR="000B7E36">
        <w:t xml:space="preserve">’s king) or individualistic (Yahweh’s kingship is </w:t>
      </w:r>
      <w:r w:rsidR="00C35D91" w:rsidRPr="00B740B4">
        <w:t xml:space="preserve">realized in the individual believer’s life) or </w:t>
      </w:r>
      <w:r w:rsidRPr="00B740B4">
        <w:t xml:space="preserve">inward (it is realized in a person’s inner being) or </w:t>
      </w:r>
      <w:r w:rsidR="000B7E36">
        <w:t xml:space="preserve">otherworldly (it is </w:t>
      </w:r>
      <w:r w:rsidR="00C35D91" w:rsidRPr="00B740B4">
        <w:t>realized in heaven).</w:t>
      </w:r>
      <w:r w:rsidRPr="00B740B4">
        <w:rPr>
          <w:rStyle w:val="FootnoteReference"/>
        </w:rPr>
        <w:footnoteReference w:id="587"/>
      </w:r>
      <w:r w:rsidR="000B7E36">
        <w:t xml:space="preserve"> It reaffirms</w:t>
      </w:r>
      <w:r w:rsidR="00C35D91" w:rsidRPr="00B740B4">
        <w:t xml:space="preserve"> the universal, this worldly, </w:t>
      </w:r>
      <w:r w:rsidR="000B7E36">
        <w:t>materi</w:t>
      </w:r>
      <w:r w:rsidRPr="00B740B4">
        <w:t xml:space="preserve">al, </w:t>
      </w:r>
      <w:r w:rsidR="00C35D91" w:rsidRPr="00B740B4">
        <w:t xml:space="preserve">corporate </w:t>
      </w:r>
      <w:r w:rsidR="000B7E36">
        <w:t>persepctive of Isa 40–55. It i</w:t>
      </w:r>
      <w:r w:rsidR="00E80EAC" w:rsidRPr="00B740B4">
        <w:t>s</w:t>
      </w:r>
      <w:r w:rsidR="00C35D91" w:rsidRPr="00B740B4">
        <w:t xml:space="preserve"> talking about a</w:t>
      </w:r>
      <w:r w:rsidRPr="00B740B4">
        <w:t xml:space="preserve"> re</w:t>
      </w:r>
      <w:r w:rsidR="00E80EAC" w:rsidRPr="00B740B4">
        <w:t xml:space="preserve">ign of God on earth, which </w:t>
      </w:r>
      <w:r w:rsidRPr="00B740B4">
        <w:t>continue</w:t>
      </w:r>
      <w:r w:rsidR="00E80EAC" w:rsidRPr="00B740B4">
        <w:t>s</w:t>
      </w:r>
      <w:r w:rsidR="00C35D91" w:rsidRPr="00B740B4">
        <w:t xml:space="preserve"> to be more an object of hope than of sight. We still pray </w:t>
      </w:r>
      <w:r w:rsidR="00934A11" w:rsidRPr="00B740B4">
        <w:t>“</w:t>
      </w:r>
      <w:r w:rsidR="000B7E36">
        <w:t>may your reign</w:t>
      </w:r>
      <w:r w:rsidR="00C35D91" w:rsidRPr="00B740B4">
        <w:t xml:space="preserve"> come</w:t>
      </w:r>
      <w:r w:rsidR="00934A11" w:rsidRPr="00B740B4">
        <w:t>”</w:t>
      </w:r>
      <w:r w:rsidR="00C35D91" w:rsidRPr="00B740B4">
        <w:t xml:space="preserve"> (Luke 11:2), and—</w:t>
      </w:r>
      <w:r w:rsidR="00330C0F">
        <w:t>in light</w:t>
      </w:r>
      <w:r w:rsidR="00C35D91" w:rsidRPr="00B740B4">
        <w:t xml:space="preserve"> of Daniel’s revelation—</w:t>
      </w:r>
      <w:r w:rsidR="000B7E36">
        <w:t>we have to be referring to a reign</w:t>
      </w:r>
      <w:r w:rsidR="00C35D91" w:rsidRPr="00B740B4">
        <w:t xml:space="preserve"> which is temporal, worldly, </w:t>
      </w:r>
      <w:r w:rsidR="000B7E36">
        <w:t>materi</w:t>
      </w:r>
      <w:r w:rsidR="008B29E8" w:rsidRPr="00B740B4">
        <w:t xml:space="preserve">al, </w:t>
      </w:r>
      <w:r w:rsidR="00C35D91" w:rsidRPr="00B740B4">
        <w:t>and social. Precisely at moments when such a vision is difficult to believe, Daniel’s readers are urged, via his final declaration to the king (v 45b), to take it with utmost seriousness (cf. 8:26; 10:21; Rev 19:9; 21:5; 22:6).</w:t>
      </w:r>
    </w:p>
    <w:p w:rsidR="000840C6" w:rsidRPr="00B740B4" w:rsidRDefault="00C35D91" w:rsidP="000840C6">
      <w:r w:rsidRPr="00B740B4">
        <w:rPr>
          <w:b/>
        </w:rPr>
        <w:lastRenderedPageBreak/>
        <w:t>46–49</w:t>
      </w:r>
      <w:r w:rsidRPr="00B740B4">
        <w:t xml:space="preserve"> </w:t>
      </w:r>
      <w:r w:rsidR="009955B8" w:rsidRPr="00B740B4">
        <w:t>Giving Nebuchadnezzar the vision brings glory to G</w:t>
      </w:r>
      <w:r w:rsidR="001F5F04" w:rsidRPr="00B740B4">
        <w:t>od and comfort to dispersion Judahite</w:t>
      </w:r>
      <w:r w:rsidR="009955B8" w:rsidRPr="00B740B4">
        <w:t>s,</w:t>
      </w:r>
      <w:r w:rsidR="009955B8" w:rsidRPr="00B740B4">
        <w:rPr>
          <w:rStyle w:val="FootnoteReference"/>
        </w:rPr>
        <w:footnoteReference w:id="588"/>
      </w:r>
      <w:r w:rsidR="009955B8" w:rsidRPr="00B740B4">
        <w:t xml:space="preserve"> and withholding the vision and its interpretation for a while from Nebuchadnezzar has brought recognition to Daniel as a prophet.</w:t>
      </w:r>
      <w:r w:rsidR="009955B8" w:rsidRPr="00B740B4">
        <w:rPr>
          <w:rStyle w:val="FootnoteReference"/>
        </w:rPr>
        <w:footnoteReference w:id="589"/>
      </w:r>
      <w:r w:rsidR="009955B8" w:rsidRPr="00B740B4">
        <w:t xml:space="preserve"> </w:t>
      </w:r>
      <w:r w:rsidRPr="00B740B4">
        <w:t xml:space="preserve">Nebuchadnezzar is not </w:t>
      </w:r>
      <w:r w:rsidR="009955B8" w:rsidRPr="00B740B4">
        <w:t xml:space="preserve">now </w:t>
      </w:r>
      <w:r w:rsidRPr="00B740B4">
        <w:t xml:space="preserve">expected to take any action </w:t>
      </w:r>
      <w:r w:rsidR="00330C0F">
        <w:t>in light</w:t>
      </w:r>
      <w:r w:rsidRPr="00B740B4">
        <w:t xml:space="preserve"> of this fo</w:t>
      </w:r>
      <w:r w:rsidR="003F14FD" w:rsidRPr="00B740B4">
        <w:t>reshadowed future (contrast 4:27 [24</w:t>
      </w:r>
      <w:r w:rsidRPr="00B740B4">
        <w:t>]). He offers the only possible response, an acknowledgment of the revealer—</w:t>
      </w:r>
      <w:r w:rsidR="008B29E8" w:rsidRPr="00B740B4">
        <w:t xml:space="preserve">of </w:t>
      </w:r>
      <w:r w:rsidRPr="00B740B4">
        <w:t xml:space="preserve">God and </w:t>
      </w:r>
      <w:r w:rsidR="008B29E8" w:rsidRPr="00B740B4">
        <w:t xml:space="preserve">of </w:t>
      </w:r>
      <w:r w:rsidRPr="00B740B4">
        <w:t>his human agent. The experience of God at work leads to an awareness of wh</w:t>
      </w:r>
      <w:r w:rsidR="00A563C0" w:rsidRPr="00B740B4">
        <w:t xml:space="preserve">o God is </w:t>
      </w:r>
      <w:r w:rsidR="00A72553" w:rsidRPr="00B740B4">
        <w:t xml:space="preserve">and who is God </w:t>
      </w:r>
      <w:r w:rsidR="00A563C0" w:rsidRPr="00B740B4">
        <w:t xml:space="preserve">(v 47). </w:t>
      </w:r>
      <w:r w:rsidR="000840C6" w:rsidRPr="00B740B4">
        <w:t>Arguably it is the goal of the stor</w:t>
      </w:r>
      <w:r w:rsidR="000B7E36">
        <w:t>y and its point is</w:t>
      </w:r>
      <w:r w:rsidR="009955B8" w:rsidRPr="00B740B4">
        <w:t xml:space="preserve"> the main one. P</w:t>
      </w:r>
      <w:r w:rsidR="000840C6" w:rsidRPr="00B740B4">
        <w:t>erhaps one may infer that “God loves Nebuchanezzar, too, and has a role for him to play in the fabric of his history.”</w:t>
      </w:r>
      <w:r w:rsidR="000840C6" w:rsidRPr="00B740B4">
        <w:rPr>
          <w:vertAlign w:val="superscript"/>
        </w:rPr>
        <w:footnoteReference w:id="590"/>
      </w:r>
      <w:r w:rsidR="000840C6" w:rsidRPr="00B740B4">
        <w:t xml:space="preserve"> Its point would then parallel that of Jonah: not just that Yahweh is concerned for all nations, as the OT often affirms, but that God reaches out to oppressors.</w:t>
      </w:r>
    </w:p>
    <w:p w:rsidR="00C35D91" w:rsidRPr="00B740B4" w:rsidRDefault="00A563C0" w:rsidP="00C35D91">
      <w:r w:rsidRPr="00B740B4">
        <w:t xml:space="preserve">Acknowledging God as Master among kings </w:t>
      </w:r>
      <w:r w:rsidR="000840C6" w:rsidRPr="00B740B4">
        <w:t>does mean Nebuchadnezzar implicitly</w:t>
      </w:r>
      <w:r w:rsidR="00C35D91" w:rsidRPr="00B740B4">
        <w:t xml:space="preserve"> qualify</w:t>
      </w:r>
      <w:r w:rsidRPr="00B740B4">
        <w:t>ing</w:t>
      </w:r>
      <w:r w:rsidR="00C35D91" w:rsidRPr="00B740B4">
        <w:t xml:space="preserve"> the meaning of his own kingshi</w:t>
      </w:r>
      <w:r w:rsidR="006474A7" w:rsidRPr="00B740B4">
        <w:t>p in a revolutionary way. A</w:t>
      </w:r>
      <w:r w:rsidRPr="00B740B4">
        <w:t xml:space="preserve">cknowledging him as God among gods </w:t>
      </w:r>
      <w:r w:rsidR="006474A7" w:rsidRPr="00B740B4">
        <w:t>is not technically a monotheistic statement</w:t>
      </w:r>
      <w:r w:rsidR="006474A7" w:rsidRPr="00B740B4">
        <w:rPr>
          <w:vertAlign w:val="superscript"/>
        </w:rPr>
        <w:footnoteReference w:id="591"/>
      </w:r>
      <w:r w:rsidRPr="00B740B4">
        <w:t xml:space="preserve"> </w:t>
      </w:r>
      <w:r w:rsidR="00E80EAC" w:rsidRPr="00B740B4">
        <w:t>but it means such a</w:t>
      </w:r>
      <w:r w:rsidR="006474A7" w:rsidRPr="00B740B4">
        <w:t xml:space="preserve"> </w:t>
      </w:r>
      <w:r w:rsidR="00E80EAC" w:rsidRPr="00B740B4">
        <w:t>radical</w:t>
      </w:r>
      <w:r w:rsidRPr="00B740B4">
        <w:t xml:space="preserve"> </w:t>
      </w:r>
      <w:r w:rsidR="00C35D91" w:rsidRPr="00B740B4">
        <w:t>qualify</w:t>
      </w:r>
      <w:r w:rsidRPr="00B740B4">
        <w:t>ing</w:t>
      </w:r>
      <w:r w:rsidR="00C35D91" w:rsidRPr="00B740B4">
        <w:t xml:space="preserve"> </w:t>
      </w:r>
      <w:r w:rsidR="00E80EAC" w:rsidRPr="00B740B4">
        <w:t xml:space="preserve">of </w:t>
      </w:r>
      <w:r w:rsidR="00C35D91" w:rsidRPr="00B740B4">
        <w:t>the ascription of divinity to other deities</w:t>
      </w:r>
      <w:r w:rsidR="006474A7" w:rsidRPr="00B740B4">
        <w:t xml:space="preserve"> that when “monotheism or polytheism” becomes the qu</w:t>
      </w:r>
      <w:r w:rsidR="00C7077F" w:rsidRPr="00B740B4">
        <w:t>estion in the context of later Greek</w:t>
      </w:r>
      <w:r w:rsidR="006474A7" w:rsidRPr="00B740B4">
        <w:t xml:space="preserve"> thinking, monotheism is what it implies.</w:t>
      </w:r>
      <w:r w:rsidR="00C35D91" w:rsidRPr="00B740B4">
        <w:t xml:space="preserve"> The story’s envisaging of such a response by the heathen king corresponds to the earlier affirmation of his position (vv 37–39); indeed it works out the demand implicit in that affirmation. Both affirmation and</w:t>
      </w:r>
      <w:r w:rsidR="008B29E8" w:rsidRPr="00B740B4">
        <w:t xml:space="preserve"> expectation correspond to ones</w:t>
      </w:r>
      <w:r w:rsidR="00C35D91" w:rsidRPr="00B740B4">
        <w:t xml:space="preserve"> regarding Cyrus in Isa 40–55 (e.g., 45:1–7). The two belong together. The affirmation (cf. Rom 13) presupposes the expectation that the gentile authority submits its power to God; where this expectation is not fulfilled, the affirmation is withdrawn (cf. Revelation).</w:t>
      </w:r>
    </w:p>
    <w:p w:rsidR="0084151E" w:rsidRPr="00B740B4" w:rsidRDefault="00A563C0" w:rsidP="00C35D91">
      <w:r w:rsidRPr="00B740B4">
        <w:t>Yet t</w:t>
      </w:r>
      <w:r w:rsidR="00C35D91" w:rsidRPr="00B740B4">
        <w:t>he idea of an Israe</w:t>
      </w:r>
      <w:r w:rsidRPr="00B740B4">
        <w:t>lite</w:t>
      </w:r>
      <w:r w:rsidR="00C35D91" w:rsidRPr="00B740B4">
        <w:t xml:space="preserve"> being the head of the Babylonian </w:t>
      </w:r>
      <w:r w:rsidR="008673DA" w:rsidRPr="00B740B4">
        <w:t>expert</w:t>
      </w:r>
      <w:r w:rsidRPr="00B740B4">
        <w:t xml:space="preserve">s </w:t>
      </w:r>
      <w:r w:rsidR="00C35D91" w:rsidRPr="00B740B4">
        <w:t>again suggests a less exclusive attitude to their worldly wisdom than that of Isa 40–55.</w:t>
      </w:r>
      <w:r w:rsidRPr="00B740B4">
        <w:rPr>
          <w:rStyle w:val="FootnoteReference"/>
        </w:rPr>
        <w:footnoteReference w:id="592"/>
      </w:r>
      <w:r w:rsidR="0055111D" w:rsidRPr="00B740B4">
        <w:t xml:space="preserve"> Vv</w:t>
      </w:r>
      <w:r w:rsidR="00C35D91" w:rsidRPr="00B740B4">
        <w:t xml:space="preserve"> 46–48 may seem to confuse the testimony of vv 1–30 that Babylonian wisdom is worthless and that Daniel is nothing except by God’s power,</w:t>
      </w:r>
      <w:r w:rsidRPr="00B740B4">
        <w:rPr>
          <w:rStyle w:val="FootnoteReference"/>
        </w:rPr>
        <w:footnoteReference w:id="593"/>
      </w:r>
      <w:r w:rsidR="00C35D91" w:rsidRPr="00B740B4">
        <w:t xml:space="preserve"> but we are invited to sense no conflict between this insistence and Nebuchadnezzar’s instinct to honor Dan</w:t>
      </w:r>
      <w:r w:rsidR="000B7E36">
        <w:t xml:space="preserve">iel as God’s representative, </w:t>
      </w:r>
      <w:r w:rsidR="00C35D91" w:rsidRPr="00B740B4">
        <w:t xml:space="preserve">the prophetic </w:t>
      </w:r>
      <w:r w:rsidR="008673DA" w:rsidRPr="00B740B4">
        <w:t>expert</w:t>
      </w:r>
      <w:r w:rsidR="00872E20" w:rsidRPr="00B740B4">
        <w:t xml:space="preserve"> par excellence.</w:t>
      </w:r>
      <w:r w:rsidR="00872E20" w:rsidRPr="00B740B4">
        <w:rPr>
          <w:rStyle w:val="FootnoteReference"/>
        </w:rPr>
        <w:footnoteReference w:id="594"/>
      </w:r>
      <w:r w:rsidR="0055111D" w:rsidRPr="00B740B4">
        <w:t xml:space="preserve"> </w:t>
      </w:r>
      <w:r w:rsidR="00CA34AD" w:rsidRPr="00B740B4">
        <w:t>Daniel’s reve</w:t>
      </w:r>
      <w:r w:rsidR="00C35D91" w:rsidRPr="00B740B4">
        <w:t>l</w:t>
      </w:r>
      <w:r w:rsidR="00CA34AD" w:rsidRPr="00B740B4">
        <w:t>a</w:t>
      </w:r>
      <w:r w:rsidR="0055111D" w:rsidRPr="00B740B4">
        <w:t>tion has</w:t>
      </w:r>
      <w:r w:rsidR="00C35D91" w:rsidRPr="00B740B4">
        <w:t xml:space="preserve"> referred to a future assertion of God’s r</w:t>
      </w:r>
      <w:r w:rsidR="000B7E36">
        <w:t>eign</w:t>
      </w:r>
      <w:r w:rsidR="00872E20" w:rsidRPr="00B740B4">
        <w:t xml:space="preserve">. Paradoxically, it </w:t>
      </w:r>
      <w:r w:rsidR="0055111D" w:rsidRPr="00B740B4">
        <w:t>effects</w:t>
      </w:r>
      <w:r w:rsidR="00C35D91" w:rsidRPr="00B740B4">
        <w:t xml:space="preserve"> a reali</w:t>
      </w:r>
      <w:r w:rsidR="000B7E36">
        <w:t>zation of God’s reign</w:t>
      </w:r>
      <w:r w:rsidR="00C35D91" w:rsidRPr="00B740B4">
        <w:t xml:space="preserve"> even now. Nebuchadnezzar acknowledges that God already rules, </w:t>
      </w:r>
      <w:r w:rsidR="00934A11" w:rsidRPr="00B740B4">
        <w:t>“</w:t>
      </w:r>
      <w:r w:rsidR="00C35D91" w:rsidRPr="00B740B4">
        <w:t xml:space="preserve">on earth as in </w:t>
      </w:r>
      <w:r w:rsidR="00E025B5" w:rsidRPr="00B740B4">
        <w:t xml:space="preserve">the </w:t>
      </w:r>
      <w:r w:rsidR="00C35D91" w:rsidRPr="00B740B4">
        <w:t>heaven</w:t>
      </w:r>
      <w:r w:rsidR="00E025B5" w:rsidRPr="00B740B4">
        <w:t>s</w:t>
      </w:r>
      <w:r w:rsidR="00C35D91" w:rsidRPr="00B740B4">
        <w:t>,</w:t>
      </w:r>
      <w:r w:rsidR="00934A11" w:rsidRPr="00B740B4">
        <w:t>”</w:t>
      </w:r>
      <w:r w:rsidR="00C35D91" w:rsidRPr="00B740B4">
        <w:t xml:space="preserve"> and by giving God’s servants authority over the </w:t>
      </w:r>
      <w:r w:rsidR="008673DA" w:rsidRPr="00B740B4">
        <w:t>expert</w:t>
      </w:r>
      <w:r w:rsidR="00872E20" w:rsidRPr="00B740B4">
        <w:t xml:space="preserve">s and over </w:t>
      </w:r>
      <w:r w:rsidR="00C35D91" w:rsidRPr="00B740B4">
        <w:t xml:space="preserve">Babylonian political affairs he institutes another indirect form of divine rule in Babylon itself, </w:t>
      </w:r>
      <w:r w:rsidR="00934A11" w:rsidRPr="00B740B4">
        <w:t>“</w:t>
      </w:r>
      <w:r w:rsidR="00C35D91" w:rsidRPr="00B740B4">
        <w:t xml:space="preserve">on earth as in </w:t>
      </w:r>
      <w:r w:rsidR="00E025B5" w:rsidRPr="00B740B4">
        <w:t xml:space="preserve">the </w:t>
      </w:r>
      <w:r w:rsidR="00C35D91" w:rsidRPr="00B740B4">
        <w:t>heaven</w:t>
      </w:r>
      <w:r w:rsidR="00E025B5" w:rsidRPr="00B740B4">
        <w:t>s</w:t>
      </w:r>
      <w:r w:rsidR="00C35D91" w:rsidRPr="00B740B4">
        <w:t>.</w:t>
      </w:r>
      <w:r w:rsidR="00934A11" w:rsidRPr="00B740B4">
        <w:t>”</w:t>
      </w:r>
      <w:r w:rsidR="00C35D91" w:rsidRPr="00B740B4">
        <w:t xml:space="preserve"> The fact that there is to be a new future makes it possi</w:t>
      </w:r>
      <w:r w:rsidR="00872E20" w:rsidRPr="00B740B4">
        <w:t>ble to hope for a new present; it does not mean ceasing</w:t>
      </w:r>
      <w:r w:rsidR="00C35D91" w:rsidRPr="00B740B4">
        <w:t xml:space="preserve"> to have any hopes for the present.</w:t>
      </w:r>
      <w:r w:rsidR="0084151E" w:rsidRPr="00B740B4">
        <w:t xml:space="preserve"> It does imply that any hopes that Judahites have for the present need to bear in mind the interim, temporary, and doomed nature of that system with which they seek to work. The dream “destabilizes the ideological compromise between an affirmation of YHWH’s sovereignty and the reality of Gentile rule” because it speaks of “action by God to bring to an end the delegation of divine rule to Gentile powers…. It challenges the compromise that the plot of the stories had made with Gentile rule.”</w:t>
      </w:r>
      <w:r w:rsidR="0084151E" w:rsidRPr="00B740B4">
        <w:rPr>
          <w:rStyle w:val="FootnoteReference"/>
        </w:rPr>
        <w:footnoteReference w:id="595"/>
      </w:r>
    </w:p>
    <w:p w:rsidR="00C35D91" w:rsidRDefault="00C35D91" w:rsidP="00C35D91">
      <w:r w:rsidRPr="00B740B4">
        <w:t>The book’s implied readers under the fourth regime (or its actual readers later) are invited to join Nebuch</w:t>
      </w:r>
      <w:r w:rsidR="00A72553" w:rsidRPr="00B740B4">
        <w:t xml:space="preserve">adnezzar in acknowledging the </w:t>
      </w:r>
      <w:r w:rsidR="003A2F0E">
        <w:t>insight</w:t>
      </w:r>
      <w:r w:rsidRPr="00B740B4">
        <w:t xml:space="preserve"> </w:t>
      </w:r>
      <w:r w:rsidR="00A72553" w:rsidRPr="00B740B4">
        <w:t xml:space="preserve">of Daniel’s God </w:t>
      </w:r>
      <w:r w:rsidRPr="00B740B4">
        <w:t xml:space="preserve">as revealer and his sovereignty as lord </w:t>
      </w:r>
      <w:r w:rsidRPr="00B740B4">
        <w:lastRenderedPageBreak/>
        <w:t>of history, the more convincedly now that they have seen regimes passing as Daniel described, and to look with expec</w:t>
      </w:r>
      <w:r w:rsidR="00872E20" w:rsidRPr="00B740B4">
        <w:t>tation for the rock breaking off</w:t>
      </w:r>
      <w:r w:rsidRPr="00B740B4">
        <w:t xml:space="preserve"> from a crag and destined to dominate the world. Whether they are tested by persecution or by success, such testing is designed to draw them to acknowledge that God is Lord. He is lord of history, whether or not at present he seems to be acting as such. History is going somewhere, even if </w:t>
      </w:r>
      <w:r w:rsidR="00872E20" w:rsidRPr="00B740B4">
        <w:t xml:space="preserve">not by its own energy or design, and even if its movement can </w:t>
      </w:r>
      <w:r w:rsidRPr="00B740B4">
        <w:t xml:space="preserve">be perceived </w:t>
      </w:r>
      <w:r w:rsidR="00872E20" w:rsidRPr="00B740B4">
        <w:t>only by divine revelation,</w:t>
      </w:r>
      <w:r w:rsidRPr="00B740B4">
        <w:t xml:space="preserve"> not r</w:t>
      </w:r>
      <w:r w:rsidR="00872E20" w:rsidRPr="00B740B4">
        <w:t>ead off from events</w:t>
      </w:r>
      <w:r w:rsidRPr="00B740B4">
        <w:t>.</w:t>
      </w:r>
      <w:r w:rsidR="00872E20" w:rsidRPr="00B740B4">
        <w:rPr>
          <w:rStyle w:val="FootnoteReference"/>
        </w:rPr>
        <w:footnoteReference w:id="596"/>
      </w:r>
      <w:r w:rsidR="0055111D" w:rsidRPr="00B740B4">
        <w:t xml:space="preserve"> While t</w:t>
      </w:r>
      <w:r w:rsidRPr="00B740B4">
        <w:t>he vision offers no hint regarding the chronology</w:t>
      </w:r>
      <w:r w:rsidR="0055111D" w:rsidRPr="00B740B4">
        <w:t xml:space="preserve"> whereby God’s rule will arrive,</w:t>
      </w:r>
      <w:r w:rsidRPr="00B740B4">
        <w:t xml:space="preserve"> it does invite its recipients to live as people who expect it as </w:t>
      </w:r>
      <w:r w:rsidR="00872E20" w:rsidRPr="00B740B4">
        <w:t>a living reality.</w:t>
      </w:r>
      <w:r w:rsidR="00872E20" w:rsidRPr="00B740B4">
        <w:rPr>
          <w:rStyle w:val="FootnoteReference"/>
        </w:rPr>
        <w:footnoteReference w:id="597"/>
      </w:r>
    </w:p>
    <w:p w:rsidR="00DB144B" w:rsidRPr="00B740B4" w:rsidRDefault="002508E2" w:rsidP="003F0A15">
      <w:r w:rsidRPr="00B740B4">
        <w:t xml:space="preserve"> </w:t>
      </w:r>
      <w:r w:rsidR="000840C6" w:rsidRPr="00B740B4">
        <w:t>“The story from beginning to end portrays the nature of the reign of the God of Heaven, as it is manifested on earth.”</w:t>
      </w:r>
      <w:r w:rsidR="000840C6" w:rsidRPr="00B740B4">
        <w:rPr>
          <w:vertAlign w:val="superscript"/>
        </w:rPr>
        <w:footnoteReference w:id="598"/>
      </w:r>
      <w:r w:rsidR="000840C6" w:rsidRPr="00B740B4">
        <w:t xml:space="preserve"> </w:t>
      </w:r>
      <w:r w:rsidR="00C35D91" w:rsidRPr="00B740B4">
        <w:t xml:space="preserve">The world rulers are under God’s control, and when he chooses he can make them acknowledge it. The shape of human history is under his control, and the coming of God’s rule is certain. People in exposed positions such as Daniel’s prove God’s wisdom before gentile masters; how much more can ordinary people </w:t>
      </w:r>
      <w:r w:rsidR="00872E20" w:rsidRPr="00B740B4">
        <w:t xml:space="preserve">do so, </w:t>
      </w:r>
      <w:r w:rsidR="00C35D91" w:rsidRPr="00B740B4">
        <w:t xml:space="preserve">in the context of their ordinary </w:t>
      </w:r>
      <w:r w:rsidR="0056687F">
        <w:t xml:space="preserve">pressures. </w:t>
      </w:r>
      <w:r w:rsidR="0056687F" w:rsidRPr="00DB144B">
        <w:t>Only God controls history, and</w:t>
      </w:r>
      <w:r w:rsidR="0056687F">
        <w:t xml:space="preserve"> only he reveals what it holds.T</w:t>
      </w:r>
      <w:r w:rsidR="00DB144B" w:rsidRPr="00DB144B">
        <w:t>he unique sover</w:t>
      </w:r>
      <w:r w:rsidR="0056687F">
        <w:t>eign power of the God of Israel has been</w:t>
      </w:r>
      <w:r w:rsidR="00DB144B" w:rsidRPr="00DB144B">
        <w:t xml:space="preserve"> simultaneously unveiled to and concealed from Nebuchadnezzar, relied on by Daniel, revealed through and in the dream/vision, and recognized by Nebuchadnezzar</w:t>
      </w:r>
      <w:r w:rsidR="0056687F">
        <w:t>.</w:t>
      </w:r>
    </w:p>
    <w:p w:rsidR="0056687F" w:rsidRDefault="0056687F">
      <w:pPr>
        <w:spacing w:after="200" w:line="276" w:lineRule="auto"/>
        <w:ind w:firstLine="0"/>
        <w:rPr>
          <w:rFonts w:eastAsiaTheme="minorHAnsi" w:cstheme="majorBidi"/>
          <w:b/>
          <w:bCs/>
          <w:iCs/>
          <w:sz w:val="28"/>
        </w:rPr>
      </w:pPr>
      <w:r>
        <w:br w:type="page"/>
      </w:r>
    </w:p>
    <w:p w:rsidR="009955B8" w:rsidRPr="00B740B4" w:rsidRDefault="009955B8" w:rsidP="00096F8C">
      <w:pPr>
        <w:pStyle w:val="Heading1"/>
      </w:pPr>
      <w:r w:rsidRPr="00B740B4">
        <w:lastRenderedPageBreak/>
        <w:t>God Vindicates Hi</w:t>
      </w:r>
      <w:r w:rsidR="006C16DE" w:rsidRPr="00B740B4">
        <w:t>s Power When Three Judahite</w:t>
      </w:r>
      <w:r w:rsidRPr="00B740B4">
        <w:t xml:space="preserve">s Choose Burning Rather Than </w:t>
      </w:r>
      <w:r w:rsidR="00FD7E5B">
        <w:t>Compromise</w:t>
      </w:r>
      <w:r w:rsidRPr="00B740B4">
        <w:t xml:space="preserve"> (3:1–30)</w:t>
      </w:r>
    </w:p>
    <w:p w:rsidR="009955B8" w:rsidRPr="00B740B4" w:rsidRDefault="009955B8" w:rsidP="009479B1">
      <w:pPr>
        <w:pStyle w:val="Heading2"/>
      </w:pPr>
      <w:r w:rsidRPr="00B740B4">
        <w:t>Pericope Bibliography</w:t>
      </w:r>
    </w:p>
    <w:p w:rsidR="009955B8" w:rsidRPr="00F958DB" w:rsidRDefault="009955B8" w:rsidP="009A0C59">
      <w:pPr>
        <w:ind w:firstLine="0"/>
        <w:rPr>
          <w:rFonts w:eastAsia="Times New Roman"/>
          <w:noProof/>
        </w:rPr>
      </w:pPr>
      <w:r w:rsidRPr="00B740B4">
        <w:rPr>
          <w:rFonts w:eastAsia="Times New Roman"/>
          <w:b/>
          <w:noProof/>
        </w:rPr>
        <w:t>Alexander, J. B.</w:t>
      </w:r>
      <w:r w:rsidRPr="00B740B4">
        <w:rPr>
          <w:rFonts w:eastAsia="Times New Roman"/>
          <w:noProof/>
        </w:rPr>
        <w:t xml:space="preserve"> “N</w:t>
      </w:r>
      <w:r w:rsidR="00584710" w:rsidRPr="00B740B4">
        <w:rPr>
          <w:rFonts w:eastAsia="Times New Roman"/>
          <w:noProof/>
        </w:rPr>
        <w:t>ew Light on the Fiery Furnace.”</w:t>
      </w:r>
      <w:r w:rsidRPr="00B740B4">
        <w:rPr>
          <w:rFonts w:eastAsia="Times New Roman"/>
          <w:noProof/>
        </w:rPr>
        <w:t xml:space="preserve"> </w:t>
      </w:r>
      <w:r w:rsidRPr="00B740B4">
        <w:rPr>
          <w:rFonts w:eastAsia="Times New Roman"/>
          <w:b/>
          <w:noProof/>
        </w:rPr>
        <w:t>Astour, M. C.</w:t>
      </w:r>
      <w:r w:rsidRPr="00B740B4">
        <w:rPr>
          <w:rFonts w:eastAsia="Times New Roman"/>
          <w:noProof/>
        </w:rPr>
        <w:t xml:space="preserve"> “Greek Names in the Semitic World and Semitic Names in th</w:t>
      </w:r>
      <w:r w:rsidR="00584710" w:rsidRPr="00B740B4">
        <w:rPr>
          <w:rFonts w:eastAsia="Times New Roman"/>
          <w:noProof/>
        </w:rPr>
        <w:t>e Greek World.”</w:t>
      </w:r>
      <w:r w:rsidRPr="00B740B4">
        <w:rPr>
          <w:rFonts w:eastAsia="Times New Roman"/>
          <w:noProof/>
        </w:rPr>
        <w:t xml:space="preserve"> </w:t>
      </w:r>
      <w:r w:rsidRPr="00B740B4">
        <w:rPr>
          <w:rFonts w:eastAsia="Times New Roman"/>
          <w:b/>
          <w:noProof/>
        </w:rPr>
        <w:t>Auscher, D.</w:t>
      </w:r>
      <w:r w:rsidRPr="00B740B4">
        <w:rPr>
          <w:rFonts w:eastAsia="Times New Roman"/>
          <w:noProof/>
        </w:rPr>
        <w:t xml:space="preserve"> “Les relations entre la Grèce et la Palestine avant la conquête d’Alexandre.” </w:t>
      </w:r>
      <w:r w:rsidR="000413D2" w:rsidRPr="00B740B4">
        <w:rPr>
          <w:rFonts w:eastAsiaTheme="minorHAnsi" w:cs="OJGFIJ+TimesNewRomanPSMT"/>
          <w:b/>
          <w:iCs/>
        </w:rPr>
        <w:t xml:space="preserve">Avalos, H. I. </w:t>
      </w:r>
      <w:r w:rsidR="000413D2" w:rsidRPr="00B740B4">
        <w:rPr>
          <w:rFonts w:eastAsiaTheme="minorHAnsi" w:cs="OJGFIJ+TimesNewRomanPSMT"/>
          <w:iCs/>
        </w:rPr>
        <w:t xml:space="preserve">“The Comedic Function of the Enumerations of the Officials and Instruments in Daniel 3.” </w:t>
      </w:r>
      <w:r w:rsidR="009E4796" w:rsidRPr="00B740B4">
        <w:rPr>
          <w:rFonts w:eastAsia="Times New Roman"/>
          <w:b/>
          <w:noProof/>
        </w:rPr>
        <w:t>Beaulieu, P.-A.</w:t>
      </w:r>
      <w:r w:rsidR="009E4796" w:rsidRPr="00B740B4">
        <w:rPr>
          <w:rFonts w:eastAsia="Times New Roman"/>
          <w:noProof/>
        </w:rPr>
        <w:t xml:space="preserve"> “The Babylonian Background of the Motif of the Fiery Furnace.” </w:t>
      </w:r>
      <w:r w:rsidR="007440FA" w:rsidRPr="00B740B4">
        <w:rPr>
          <w:rFonts w:eastAsiaTheme="minorHAnsi" w:cs="OJGFIJ+TimesNewRomanPSMT"/>
          <w:b/>
        </w:rPr>
        <w:t xml:space="preserve">Brensinger, T. L. </w:t>
      </w:r>
      <w:r w:rsidR="007440FA" w:rsidRPr="00B740B4">
        <w:rPr>
          <w:rFonts w:eastAsiaTheme="minorHAnsi" w:cs="OJGFIJ+TimesNewRomanPSMT"/>
        </w:rPr>
        <w:t xml:space="preserve">“Compliance, Dissonance and Amazement in Daniel 3.” </w:t>
      </w:r>
      <w:r w:rsidR="007F0B50" w:rsidRPr="00B740B4">
        <w:rPr>
          <w:rFonts w:eastAsia="Times New Roman"/>
          <w:b/>
          <w:noProof/>
        </w:rPr>
        <w:t>Cook, E. M.</w:t>
      </w:r>
      <w:r w:rsidR="007F0B50" w:rsidRPr="00B740B4">
        <w:rPr>
          <w:rFonts w:eastAsia="Times New Roman"/>
          <w:noProof/>
        </w:rPr>
        <w:t xml:space="preserve"> “In the Plain of the Wall.” </w:t>
      </w:r>
      <w:r w:rsidRPr="00B740B4">
        <w:rPr>
          <w:rFonts w:eastAsia="Times New Roman"/>
          <w:b/>
          <w:noProof/>
        </w:rPr>
        <w:t>Cook, S. A.</w:t>
      </w:r>
      <w:r w:rsidRPr="00B740B4">
        <w:rPr>
          <w:rFonts w:eastAsia="Times New Roman"/>
          <w:noProof/>
        </w:rPr>
        <w:t xml:space="preserve"> “The Articles of Dress in Dan. iii, 21.” </w:t>
      </w:r>
      <w:r w:rsidRPr="00B740B4">
        <w:rPr>
          <w:rFonts w:eastAsia="Times New Roman"/>
          <w:b/>
          <w:noProof/>
        </w:rPr>
        <w:t>Coxon, P. W.</w:t>
      </w:r>
      <w:r w:rsidRPr="00B740B4">
        <w:rPr>
          <w:rFonts w:eastAsia="Times New Roman"/>
          <w:noProof/>
        </w:rPr>
        <w:t xml:space="preserve"> </w:t>
      </w:r>
      <w:r w:rsidR="00C541D5" w:rsidRPr="00B740B4">
        <w:rPr>
          <w:rFonts w:eastAsia="Times New Roman"/>
          <w:noProof/>
        </w:rPr>
        <w:t>“Greek Loan-words and Alleged Greek Loan Translations</w:t>
      </w:r>
      <w:r w:rsidRPr="00B740B4">
        <w:rPr>
          <w:rFonts w:eastAsia="Times New Roman"/>
          <w:noProof/>
        </w:rPr>
        <w:t>.</w:t>
      </w:r>
      <w:r w:rsidR="00C541D5" w:rsidRPr="00B740B4">
        <w:rPr>
          <w:rFonts w:eastAsia="Times New Roman"/>
          <w:noProof/>
        </w:rPr>
        <w:t>” ———. “Daniel iii 17</w:t>
      </w:r>
      <w:r w:rsidRPr="00B740B4">
        <w:rPr>
          <w:rFonts w:eastAsia="Times New Roman"/>
          <w:noProof/>
        </w:rPr>
        <w:t>.</w:t>
      </w:r>
      <w:r w:rsidR="00C541D5" w:rsidRPr="00B740B4">
        <w:rPr>
          <w:rFonts w:eastAsia="Times New Roman"/>
          <w:noProof/>
        </w:rPr>
        <w:t>”</w:t>
      </w:r>
      <w:r w:rsidRPr="00B740B4">
        <w:rPr>
          <w:rFonts w:eastAsia="Times New Roman"/>
          <w:noProof/>
        </w:rPr>
        <w:t xml:space="preserve"> </w:t>
      </w:r>
      <w:r w:rsidRPr="00B740B4">
        <w:rPr>
          <w:rFonts w:eastAsia="Times New Roman"/>
          <w:b/>
          <w:noProof/>
        </w:rPr>
        <w:t>Delcor, M.</w:t>
      </w:r>
      <w:r w:rsidRPr="00B740B4">
        <w:rPr>
          <w:rFonts w:eastAsia="Times New Roman"/>
          <w:noProof/>
        </w:rPr>
        <w:t xml:space="preserve"> “Un cas de tradu</w:t>
      </w:r>
      <w:r w:rsidR="00C541D5" w:rsidRPr="00B740B4">
        <w:rPr>
          <w:rFonts w:eastAsia="Times New Roman"/>
          <w:noProof/>
        </w:rPr>
        <w:t>ction ‘targoumique’ de la LXX.”</w:t>
      </w:r>
      <w:r w:rsidRPr="00B740B4">
        <w:rPr>
          <w:rFonts w:eastAsia="Times New Roman"/>
          <w:noProof/>
        </w:rPr>
        <w:t xml:space="preserve"> </w:t>
      </w:r>
      <w:r w:rsidR="009A0C59" w:rsidRPr="00B740B4">
        <w:rPr>
          <w:rFonts w:eastAsia="Times-Roman"/>
          <w:b/>
          <w:bCs/>
          <w:iCs/>
        </w:rPr>
        <w:t xml:space="preserve">Dulaey, M. </w:t>
      </w:r>
      <w:r w:rsidR="009A0C59" w:rsidRPr="00B740B4">
        <w:rPr>
          <w:rFonts w:eastAsia="Times-Roman"/>
          <w:bCs/>
          <w:iCs/>
        </w:rPr>
        <w:t>“Les trois Hébreux</w:t>
      </w:r>
      <w:r w:rsidR="009A0C59" w:rsidRPr="00B740B4">
        <w:rPr>
          <w:rFonts w:eastAsia="Times-Roman"/>
          <w:b/>
          <w:bCs/>
          <w:iCs/>
        </w:rPr>
        <w:t xml:space="preserve"> </w:t>
      </w:r>
      <w:r w:rsidR="009A0C59" w:rsidRPr="00B740B4">
        <w:rPr>
          <w:rFonts w:eastAsia="Times-Roman"/>
          <w:bCs/>
          <w:iCs/>
        </w:rPr>
        <w:t>dans la fournaise</w:t>
      </w:r>
      <w:r w:rsidR="009A0C59">
        <w:rPr>
          <w:rFonts w:eastAsia="Times-Roman"/>
          <w:bCs/>
          <w:iCs/>
        </w:rPr>
        <w:t>.”</w:t>
      </w:r>
      <w:r w:rsidR="009A0C59" w:rsidRPr="00B740B4">
        <w:rPr>
          <w:rFonts w:eastAsiaTheme="minorHAnsi"/>
          <w:b/>
        </w:rPr>
        <w:t xml:space="preserve"> </w:t>
      </w:r>
      <w:r w:rsidR="009622BF" w:rsidRPr="00B740B4">
        <w:rPr>
          <w:rFonts w:eastAsiaTheme="minorHAnsi"/>
          <w:b/>
        </w:rPr>
        <w:t>Dyer, C. H.</w:t>
      </w:r>
      <w:r w:rsidR="009622BF" w:rsidRPr="00B740B4">
        <w:rPr>
          <w:rFonts w:eastAsiaTheme="minorHAnsi"/>
        </w:rPr>
        <w:t xml:space="preserve"> "The Musical Instruments in Daniel 3." </w:t>
      </w:r>
      <w:r w:rsidRPr="00B740B4">
        <w:rPr>
          <w:rFonts w:eastAsia="Times New Roman"/>
          <w:b/>
          <w:noProof/>
        </w:rPr>
        <w:t>Eichhorn, D. E.</w:t>
      </w:r>
      <w:r w:rsidRPr="00B740B4">
        <w:rPr>
          <w:rFonts w:eastAsia="Times New Roman"/>
          <w:noProof/>
        </w:rPr>
        <w:t xml:space="preserve"> “Sanhedrin 93a and the Third Chapter of Daniel.” </w:t>
      </w:r>
      <w:r w:rsidRPr="00B740B4">
        <w:rPr>
          <w:rFonts w:eastAsia="Times New Roman"/>
          <w:b/>
          <w:noProof/>
        </w:rPr>
        <w:t>Finesinger, S. B.</w:t>
      </w:r>
      <w:r w:rsidRPr="00B740B4">
        <w:rPr>
          <w:rFonts w:eastAsia="Times New Roman"/>
          <w:noProof/>
        </w:rPr>
        <w:t xml:space="preserve"> “Musical Instruments in </w:t>
      </w:r>
      <w:r w:rsidR="006B7D2E" w:rsidRPr="00B740B4">
        <w:rPr>
          <w:rFonts w:eastAsia="Times New Roman"/>
          <w:noProof/>
        </w:rPr>
        <w:t xml:space="preserve">the </w:t>
      </w:r>
      <w:r w:rsidRPr="00B740B4">
        <w:rPr>
          <w:rFonts w:eastAsia="Times New Roman"/>
          <w:noProof/>
        </w:rPr>
        <w:t>OT</w:t>
      </w:r>
      <w:r w:rsidR="00C541D5" w:rsidRPr="00B740B4">
        <w:rPr>
          <w:rFonts w:eastAsia="Times New Roman"/>
          <w:noProof/>
        </w:rPr>
        <w:t>.</w:t>
      </w:r>
      <w:r w:rsidRPr="00B740B4">
        <w:rPr>
          <w:rFonts w:eastAsia="Times New Roman"/>
          <w:noProof/>
        </w:rPr>
        <w:t xml:space="preserve">” </w:t>
      </w:r>
      <w:r w:rsidRPr="00B740B4">
        <w:rPr>
          <w:rFonts w:eastAsia="Times New Roman"/>
          <w:b/>
          <w:noProof/>
        </w:rPr>
        <w:t>Gevaryahu, H. M. Y.</w:t>
      </w:r>
      <w:r w:rsidR="006B3C26" w:rsidRPr="00B740B4">
        <w:rPr>
          <w:rFonts w:eastAsia="Times New Roman"/>
          <w:noProof/>
        </w:rPr>
        <w:t xml:space="preserve"> </w:t>
      </w:r>
      <w:r w:rsidR="000F5F17" w:rsidRPr="00B740B4">
        <w:rPr>
          <w:rFonts w:eastAsia="Times New Roman"/>
          <w:noProof/>
        </w:rPr>
        <w:t>“</w:t>
      </w:r>
      <w:r w:rsidR="000F5F17" w:rsidRPr="00B740B4">
        <w:rPr>
          <w:rFonts w:ascii="Arial" w:eastAsia="Times New Roman" w:hAnsi="Arial" w:cs="Arial"/>
          <w:noProof/>
        </w:rPr>
        <w:t>דניאל</w:t>
      </w:r>
      <w:r w:rsidR="000F5F17" w:rsidRPr="00B740B4">
        <w:rPr>
          <w:rFonts w:eastAsia="Times New Roman"/>
          <w:noProof/>
        </w:rPr>
        <w:t xml:space="preserve"> </w:t>
      </w:r>
      <w:r w:rsidR="000F5F17" w:rsidRPr="00B740B4">
        <w:rPr>
          <w:rFonts w:ascii="Arial" w:eastAsia="Times New Roman" w:hAnsi="Arial" w:cs="Arial"/>
          <w:noProof/>
        </w:rPr>
        <w:t>בספר</w:t>
      </w:r>
      <w:r w:rsidR="000F5F17" w:rsidRPr="00B740B4">
        <w:rPr>
          <w:rFonts w:eastAsia="Times New Roman"/>
          <w:noProof/>
        </w:rPr>
        <w:t xml:space="preserve"> </w:t>
      </w:r>
      <w:r w:rsidR="000F5F17" w:rsidRPr="00B740B4">
        <w:rPr>
          <w:rFonts w:ascii="Arial" w:eastAsia="Times New Roman" w:hAnsi="Arial" w:cs="Arial"/>
          <w:noProof/>
        </w:rPr>
        <w:t>עיונים</w:t>
      </w:r>
      <w:r w:rsidR="000F5F17" w:rsidRPr="00B740B4">
        <w:rPr>
          <w:rFonts w:eastAsia="Times New Roman"/>
          <w:noProof/>
        </w:rPr>
        <w:t xml:space="preserve">.” </w:t>
      </w:r>
      <w:r w:rsidRPr="00B740B4">
        <w:rPr>
          <w:rFonts w:eastAsia="Times New Roman"/>
          <w:b/>
          <w:noProof/>
        </w:rPr>
        <w:t>Grelot, P.</w:t>
      </w:r>
      <w:r w:rsidRPr="00B740B4">
        <w:rPr>
          <w:rFonts w:eastAsia="Times New Roman"/>
          <w:noProof/>
        </w:rPr>
        <w:t xml:space="preserve"> “L’orche</w:t>
      </w:r>
      <w:r w:rsidR="00E30984">
        <w:rPr>
          <w:rFonts w:eastAsia="Times New Roman"/>
          <w:noProof/>
        </w:rPr>
        <w:t>stre de Daniel iii</w:t>
      </w:r>
      <w:r w:rsidRPr="00B740B4">
        <w:rPr>
          <w:rFonts w:eastAsia="Times New Roman"/>
          <w:noProof/>
        </w:rPr>
        <w:t xml:space="preserve">.” </w:t>
      </w:r>
      <w:r w:rsidR="005C5531" w:rsidRPr="00B740B4">
        <w:rPr>
          <w:rStyle w:val="b"/>
          <w:color w:val="auto"/>
          <w:sz w:val="22"/>
          <w:szCs w:val="22"/>
        </w:rPr>
        <w:t xml:space="preserve">Gunn, D. M., </w:t>
      </w:r>
      <w:r w:rsidR="005C5531" w:rsidRPr="00E30984">
        <w:rPr>
          <w:rStyle w:val="b"/>
          <w:b w:val="0"/>
          <w:color w:val="auto"/>
          <w:sz w:val="22"/>
          <w:szCs w:val="22"/>
        </w:rPr>
        <w:t>and</w:t>
      </w:r>
      <w:r w:rsidR="005C5531" w:rsidRPr="00B740B4">
        <w:rPr>
          <w:rStyle w:val="b"/>
          <w:color w:val="auto"/>
          <w:sz w:val="22"/>
          <w:szCs w:val="22"/>
        </w:rPr>
        <w:t xml:space="preserve"> Nolan Fewell, D. </w:t>
      </w:r>
      <w:r w:rsidR="005C5531" w:rsidRPr="00B740B4">
        <w:rPr>
          <w:rStyle w:val="b"/>
          <w:b w:val="0"/>
          <w:color w:val="auto"/>
          <w:sz w:val="22"/>
          <w:szCs w:val="22"/>
        </w:rPr>
        <w:t xml:space="preserve"> “Nebuchadnezzar and Three Jews.” </w:t>
      </w:r>
      <w:r w:rsidRPr="00B740B4">
        <w:rPr>
          <w:rFonts w:eastAsia="Times New Roman"/>
          <w:b/>
          <w:noProof/>
        </w:rPr>
        <w:t>Haag, E.</w:t>
      </w:r>
      <w:r w:rsidRPr="00B740B4">
        <w:rPr>
          <w:rFonts w:eastAsia="Times New Roman"/>
          <w:noProof/>
        </w:rPr>
        <w:t xml:space="preserve"> “Die drei </w:t>
      </w:r>
      <w:r w:rsidR="00C74AFA" w:rsidRPr="00B740B4">
        <w:rPr>
          <w:rFonts w:eastAsia="Times New Roman"/>
          <w:noProof/>
        </w:rPr>
        <w:t>Männer im Feuer</w:t>
      </w:r>
      <w:r w:rsidRPr="00B740B4">
        <w:rPr>
          <w:rFonts w:eastAsia="Times New Roman"/>
          <w:noProof/>
        </w:rPr>
        <w:t xml:space="preserve">.” </w:t>
      </w:r>
      <w:r w:rsidR="00F817E9">
        <w:rPr>
          <w:b/>
        </w:rPr>
        <w:t>Heller, R.</w:t>
      </w:r>
      <w:r w:rsidR="00E30984">
        <w:t xml:space="preserve"> L. “</w:t>
      </w:r>
      <w:r w:rsidR="00F817E9">
        <w:t xml:space="preserve">‘But if not…’ </w:t>
      </w:r>
      <w:r w:rsidR="00F817E9">
        <w:rPr>
          <w:i/>
        </w:rPr>
        <w:t>What?</w:t>
      </w:r>
      <w:r w:rsidR="00F817E9">
        <w:t xml:space="preserve">” </w:t>
      </w:r>
      <w:r w:rsidR="0048420C" w:rsidRPr="00B740B4">
        <w:rPr>
          <w:rFonts w:eastAsia="Times-Roman"/>
          <w:b/>
        </w:rPr>
        <w:t xml:space="preserve">Holm, T. L. </w:t>
      </w:r>
      <w:r w:rsidR="0048420C" w:rsidRPr="00B740B4">
        <w:rPr>
          <w:rFonts w:eastAsia="Times-Roman"/>
        </w:rPr>
        <w:t>“The Fiery Furnace in the Book of Daniel and the Ancient Near East</w:t>
      </w:r>
      <w:r w:rsidR="0048420C">
        <w:rPr>
          <w:rFonts w:eastAsia="Times-Roman"/>
        </w:rPr>
        <w:t>.</w:t>
      </w:r>
      <w:r w:rsidR="0048420C" w:rsidRPr="00B740B4">
        <w:rPr>
          <w:rFonts w:eastAsia="Times-Roman"/>
          <w:i/>
          <w:iCs/>
        </w:rPr>
        <w:t xml:space="preserve">” </w:t>
      </w:r>
      <w:r w:rsidR="0048420C" w:rsidRPr="009A0C59">
        <w:rPr>
          <w:b/>
          <w:bCs/>
          <w:iCs/>
        </w:rPr>
        <w:t xml:space="preserve"> </w:t>
      </w:r>
      <w:r w:rsidRPr="00B740B4">
        <w:rPr>
          <w:rFonts w:eastAsia="Times New Roman"/>
          <w:b/>
          <w:noProof/>
        </w:rPr>
        <w:t>Kuhl, C.</w:t>
      </w:r>
      <w:r w:rsidRPr="00B740B4">
        <w:rPr>
          <w:rFonts w:eastAsia="Times New Roman"/>
          <w:noProof/>
        </w:rPr>
        <w:t xml:space="preserve"> </w:t>
      </w:r>
      <w:r w:rsidRPr="00B740B4">
        <w:rPr>
          <w:rFonts w:eastAsia="Times New Roman"/>
          <w:i/>
          <w:noProof/>
        </w:rPr>
        <w:t>Die drei Männer im Feuer</w:t>
      </w:r>
      <w:r w:rsidR="006B7D2E" w:rsidRPr="00B740B4">
        <w:rPr>
          <w:rFonts w:eastAsia="Times New Roman"/>
          <w:noProof/>
        </w:rPr>
        <w:t xml:space="preserve">. </w:t>
      </w:r>
      <w:r w:rsidRPr="00B740B4">
        <w:rPr>
          <w:rFonts w:eastAsia="Times New Roman"/>
          <w:b/>
          <w:noProof/>
        </w:rPr>
        <w:t>Margoliouth, D. S.</w:t>
      </w:r>
      <w:r w:rsidRPr="00B740B4">
        <w:rPr>
          <w:rFonts w:eastAsia="Times New Roman"/>
          <w:noProof/>
        </w:rPr>
        <w:t xml:space="preserve"> “The Greek Words in Daniel.” </w:t>
      </w:r>
      <w:r w:rsidR="005239D6" w:rsidRPr="005239D6">
        <w:rPr>
          <w:rFonts w:eastAsia="Times New Roman"/>
          <w:b/>
          <w:noProof/>
        </w:rPr>
        <w:t>Mastin, B. A.</w:t>
      </w:r>
      <w:r w:rsidR="005239D6">
        <w:rPr>
          <w:rFonts w:eastAsia="Times New Roman"/>
          <w:noProof/>
        </w:rPr>
        <w:t xml:space="preserve"> </w:t>
      </w:r>
      <w:r w:rsidR="005239D6">
        <w:t xml:space="preserve">“The Text of Daniel 3:16.” </w:t>
      </w:r>
      <w:r w:rsidR="00CD7B1E" w:rsidRPr="00B740B4">
        <w:rPr>
          <w:rFonts w:eastAsia="Times New Roman"/>
          <w:b/>
          <w:noProof/>
        </w:rPr>
        <w:t xml:space="preserve">Mitchell, T. C. </w:t>
      </w:r>
      <w:r w:rsidR="009622BF" w:rsidRPr="00B740B4">
        <w:rPr>
          <w:noProof/>
        </w:rPr>
        <w:t xml:space="preserve">“And the Band Played On.” </w:t>
      </w:r>
      <w:r w:rsidR="009622BF" w:rsidRPr="00B740B4">
        <w:rPr>
          <w:b/>
          <w:noProof/>
        </w:rPr>
        <w:t xml:space="preserve">——. </w:t>
      </w:r>
      <w:r w:rsidR="00CD7B1E" w:rsidRPr="00B740B4">
        <w:rPr>
          <w:rFonts w:eastAsia="Times New Roman"/>
          <w:noProof/>
        </w:rPr>
        <w:t xml:space="preserve">“The Music of the OT Reconsidered.” </w:t>
      </w:r>
      <w:r w:rsidR="00E30984" w:rsidRPr="00E30984">
        <w:rPr>
          <w:rFonts w:eastAsia="Times New Roman"/>
          <w:b/>
          <w:noProof/>
        </w:rPr>
        <w:t>Mitchell, T. C.</w:t>
      </w:r>
      <w:r w:rsidR="00E30984">
        <w:rPr>
          <w:rFonts w:eastAsia="Times New Roman"/>
          <w:b/>
          <w:noProof/>
        </w:rPr>
        <w:t>,</w:t>
      </w:r>
      <w:r w:rsidR="00E30984" w:rsidRPr="00E30984">
        <w:rPr>
          <w:rFonts w:eastAsia="Times New Roman"/>
          <w:b/>
          <w:noProof/>
        </w:rPr>
        <w:t xml:space="preserve"> </w:t>
      </w:r>
      <w:r w:rsidR="00CD7B1E" w:rsidRPr="00B740B4">
        <w:rPr>
          <w:rFonts w:eastAsia="Times New Roman"/>
          <w:b/>
          <w:noProof/>
        </w:rPr>
        <w:t xml:space="preserve"> </w:t>
      </w:r>
      <w:r w:rsidRPr="00E30984">
        <w:rPr>
          <w:rFonts w:eastAsia="Times New Roman"/>
          <w:noProof/>
        </w:rPr>
        <w:t>and</w:t>
      </w:r>
      <w:r w:rsidRPr="00B740B4">
        <w:rPr>
          <w:rFonts w:eastAsia="Times New Roman"/>
          <w:noProof/>
        </w:rPr>
        <w:t xml:space="preserve"> </w:t>
      </w:r>
      <w:r w:rsidRPr="00B740B4">
        <w:rPr>
          <w:rFonts w:eastAsia="Times New Roman"/>
          <w:b/>
          <w:noProof/>
        </w:rPr>
        <w:t>Joyce, R.</w:t>
      </w:r>
      <w:r w:rsidRPr="00B740B4">
        <w:rPr>
          <w:rFonts w:eastAsia="Times New Roman"/>
          <w:noProof/>
        </w:rPr>
        <w:t xml:space="preserve"> “The Musical Instruments in Nebuchadrezzar’s Orche</w:t>
      </w:r>
      <w:r w:rsidR="006B7D2E" w:rsidRPr="00B740B4">
        <w:rPr>
          <w:rFonts w:eastAsia="Times New Roman"/>
          <w:noProof/>
        </w:rPr>
        <w:t xml:space="preserve">stra.” </w:t>
      </w:r>
      <w:r w:rsidRPr="00B740B4">
        <w:rPr>
          <w:rFonts w:eastAsia="Times New Roman"/>
          <w:b/>
          <w:noProof/>
        </w:rPr>
        <w:t>Nyberg, H. S.</w:t>
      </w:r>
      <w:r w:rsidRPr="00B740B4">
        <w:rPr>
          <w:rFonts w:eastAsia="Times New Roman"/>
          <w:noProof/>
        </w:rPr>
        <w:t xml:space="preserve"> “Ein iranisches Wort im Buche Daniel.” </w:t>
      </w:r>
      <w:r w:rsidRPr="00B740B4">
        <w:rPr>
          <w:rFonts w:eastAsia="Times New Roman"/>
          <w:b/>
          <w:noProof/>
        </w:rPr>
        <w:t>Paul, S. M.</w:t>
      </w:r>
      <w:r w:rsidRPr="00B740B4">
        <w:rPr>
          <w:rFonts w:eastAsia="Times New Roman"/>
          <w:noProof/>
        </w:rPr>
        <w:t xml:space="preserve"> “Dan 3:29.” </w:t>
      </w:r>
      <w:r w:rsidRPr="00B740B4">
        <w:rPr>
          <w:rFonts w:eastAsia="Times New Roman"/>
          <w:b/>
          <w:noProof/>
        </w:rPr>
        <w:t>Peters,</w:t>
      </w:r>
      <w:r w:rsidR="006B7D2E" w:rsidRPr="00B740B4">
        <w:rPr>
          <w:rFonts w:eastAsia="Times New Roman"/>
          <w:b/>
          <w:noProof/>
        </w:rPr>
        <w:t xml:space="preserve"> </w:t>
      </w:r>
      <w:r w:rsidRPr="00B740B4">
        <w:rPr>
          <w:rFonts w:eastAsia="Times New Roman"/>
          <w:b/>
          <w:noProof/>
        </w:rPr>
        <w:t>J. P.</w:t>
      </w:r>
      <w:r w:rsidRPr="00B740B4">
        <w:rPr>
          <w:rFonts w:eastAsia="Times New Roman"/>
          <w:noProof/>
        </w:rPr>
        <w:t xml:space="preserve"> “The Three Children i</w:t>
      </w:r>
      <w:r w:rsidR="006B7D2E" w:rsidRPr="00B740B4">
        <w:rPr>
          <w:rFonts w:eastAsia="Times New Roman"/>
          <w:noProof/>
        </w:rPr>
        <w:t>n the Fiery Furnace,” in“Notes on the OT,”</w:t>
      </w:r>
      <w:r w:rsidRPr="00B740B4">
        <w:rPr>
          <w:rFonts w:eastAsia="Times New Roman"/>
          <w:noProof/>
        </w:rPr>
        <w:t xml:space="preserve"> 109–11. </w:t>
      </w:r>
      <w:r w:rsidRPr="00B740B4">
        <w:rPr>
          <w:rFonts w:eastAsia="Times New Roman"/>
          <w:b/>
          <w:noProof/>
        </w:rPr>
        <w:t>Polin, C. C. J.</w:t>
      </w:r>
      <w:r w:rsidRPr="00B740B4">
        <w:rPr>
          <w:rFonts w:eastAsia="Times New Roman"/>
          <w:noProof/>
        </w:rPr>
        <w:t xml:space="preserve"> </w:t>
      </w:r>
      <w:r w:rsidRPr="00B740B4">
        <w:rPr>
          <w:rFonts w:eastAsia="Times New Roman"/>
          <w:i/>
          <w:noProof/>
        </w:rPr>
        <w:t>Music of the Ancient Near East</w:t>
      </w:r>
      <w:r w:rsidR="006B7D2E" w:rsidRPr="00B740B4">
        <w:rPr>
          <w:rFonts w:eastAsia="Times New Roman"/>
          <w:noProof/>
        </w:rPr>
        <w:t xml:space="preserve">. </w:t>
      </w:r>
      <w:r w:rsidR="007050F2" w:rsidRPr="00B740B4">
        <w:rPr>
          <w:rFonts w:eastAsiaTheme="minorHAnsi" w:cs="TimesNewRomanPS-BoldMT"/>
          <w:b/>
          <w:bCs/>
        </w:rPr>
        <w:t xml:space="preserve">Prinsloo, G. T. M. </w:t>
      </w:r>
      <w:r w:rsidR="007050F2" w:rsidRPr="00B740B4">
        <w:rPr>
          <w:rFonts w:eastAsiaTheme="minorHAnsi" w:cs="TimesNewRomanPS-BoldMT"/>
          <w:bCs/>
        </w:rPr>
        <w:t xml:space="preserve">“Daniel 3.” </w:t>
      </w:r>
      <w:r w:rsidR="00850D45" w:rsidRPr="00B740B4">
        <w:rPr>
          <w:rFonts w:eastAsia="Times New Roman"/>
          <w:b/>
          <w:noProof/>
        </w:rPr>
        <w:t>Ron, Z.</w:t>
      </w:r>
      <w:r w:rsidR="00850D45" w:rsidRPr="00B740B4">
        <w:rPr>
          <w:rFonts w:eastAsia="Times New Roman"/>
          <w:noProof/>
        </w:rPr>
        <w:t xml:space="preserve"> “Rescue from Fiery Death.”</w:t>
      </w:r>
      <w:r w:rsidR="00850D45" w:rsidRPr="00B740B4">
        <w:rPr>
          <w:rFonts w:eastAsia="Times New Roman"/>
          <w:b/>
          <w:noProof/>
        </w:rPr>
        <w:t xml:space="preserve"> </w:t>
      </w:r>
      <w:r w:rsidRPr="00B740B4">
        <w:rPr>
          <w:rFonts w:eastAsia="Times New Roman"/>
          <w:b/>
          <w:noProof/>
        </w:rPr>
        <w:t>Sanders, B. G.</w:t>
      </w:r>
      <w:r w:rsidRPr="00B740B4">
        <w:rPr>
          <w:rFonts w:eastAsia="Times New Roman"/>
          <w:noProof/>
        </w:rPr>
        <w:t xml:space="preserve"> “The Burning Fiery Furnace.” </w:t>
      </w:r>
      <w:r w:rsidRPr="00B740B4">
        <w:rPr>
          <w:rFonts w:eastAsia="Times New Roman"/>
          <w:b/>
          <w:noProof/>
        </w:rPr>
        <w:t>Shea, W. H.</w:t>
      </w:r>
      <w:r w:rsidR="00E047FC" w:rsidRPr="00B740B4">
        <w:rPr>
          <w:rFonts w:eastAsia="Times New Roman"/>
          <w:noProof/>
        </w:rPr>
        <w:t xml:space="preserve"> “Daniel 3.”</w:t>
      </w:r>
      <w:r w:rsidRPr="00B740B4">
        <w:rPr>
          <w:rFonts w:eastAsia="Times New Roman"/>
          <w:noProof/>
        </w:rPr>
        <w:t xml:space="preserve"> </w:t>
      </w:r>
      <w:r w:rsidR="00D85859" w:rsidRPr="00B740B4">
        <w:rPr>
          <w:rFonts w:eastAsia="Times New Roman"/>
          <w:b/>
          <w:noProof/>
        </w:rPr>
        <w:t xml:space="preserve">Van Deventer, H. J. M.  </w:t>
      </w:r>
      <w:r w:rsidR="00D85859" w:rsidRPr="00B740B4">
        <w:rPr>
          <w:rFonts w:eastAsia="Times New Roman"/>
          <w:noProof/>
        </w:rPr>
        <w:t xml:space="preserve">“‘We Did Not Hear the Bagpipe.’” </w:t>
      </w:r>
      <w:r w:rsidR="00D85859" w:rsidRPr="00B740B4">
        <w:rPr>
          <w:rFonts w:eastAsia="Times New Roman"/>
          <w:i/>
          <w:noProof/>
        </w:rPr>
        <w:t xml:space="preserve">OTE </w:t>
      </w:r>
      <w:r w:rsidR="00D85859" w:rsidRPr="00B740B4">
        <w:rPr>
          <w:rFonts w:eastAsia="Times New Roman"/>
          <w:noProof/>
        </w:rPr>
        <w:t xml:space="preserve">11 (1998): 340-49. </w:t>
      </w:r>
      <w:r w:rsidR="00B01BAC" w:rsidRPr="00B740B4">
        <w:rPr>
          <w:rFonts w:eastAsia="Times New Roman"/>
          <w:b/>
          <w:noProof/>
        </w:rPr>
        <w:t>V</w:t>
      </w:r>
      <w:r w:rsidR="00B01BAC" w:rsidRPr="00B740B4">
        <w:rPr>
          <w:rFonts w:eastAsia="Times New Roman"/>
          <w:b/>
          <w:bCs/>
          <w:noProof/>
        </w:rPr>
        <w:t xml:space="preserve">an Henten , J. W. </w:t>
      </w:r>
      <w:r w:rsidR="00B01BAC" w:rsidRPr="00B740B4">
        <w:rPr>
          <w:rFonts w:eastAsia="Times New Roman"/>
          <w:bCs/>
          <w:noProof/>
        </w:rPr>
        <w:t xml:space="preserve">“Daniel 3 and </w:t>
      </w:r>
      <w:r w:rsidR="004B11BC">
        <w:rPr>
          <w:rFonts w:eastAsia="Times New Roman"/>
          <w:bCs/>
          <w:noProof/>
        </w:rPr>
        <w:t>6 in Early Christian Literature,” i</w:t>
      </w:r>
      <w:r w:rsidR="00B01BAC" w:rsidRPr="00B740B4">
        <w:rPr>
          <w:rFonts w:eastAsia="Times New Roman"/>
          <w:bCs/>
          <w:noProof/>
        </w:rPr>
        <w:t xml:space="preserve">n Collins/Flint (eds.), </w:t>
      </w:r>
      <w:r w:rsidR="00B01BAC" w:rsidRPr="00B740B4">
        <w:rPr>
          <w:rFonts w:eastAsia="Times New Roman"/>
          <w:bCs/>
          <w:i/>
          <w:noProof/>
        </w:rPr>
        <w:t>The Book of Daniel</w:t>
      </w:r>
      <w:r w:rsidR="00B01BAC" w:rsidRPr="00B740B4">
        <w:rPr>
          <w:rFonts w:eastAsia="Times New Roman"/>
          <w:bCs/>
          <w:noProof/>
        </w:rPr>
        <w:t xml:space="preserve"> 1:149-69. </w:t>
      </w:r>
      <w:r w:rsidR="00754F32" w:rsidRPr="00754F32">
        <w:rPr>
          <w:rFonts w:eastAsia="Times New Roman"/>
          <w:b/>
          <w:bCs/>
          <w:noProof/>
        </w:rPr>
        <w:t xml:space="preserve">——— </w:t>
      </w:r>
      <w:r w:rsidR="00754F32" w:rsidRPr="00754F32">
        <w:rPr>
          <w:rFonts w:eastAsia="Times New Roman"/>
          <w:bCs/>
          <w:noProof/>
        </w:rPr>
        <w:t xml:space="preserve">. “The Reception of Daniel 3 and 6 and the Maccabean Martyrdoms in Hebrews 11:33-38.” </w:t>
      </w:r>
      <w:r w:rsidRPr="00B740B4">
        <w:rPr>
          <w:rFonts w:eastAsia="Times New Roman"/>
          <w:b/>
          <w:noProof/>
        </w:rPr>
        <w:t>Wegner, M.</w:t>
      </w:r>
      <w:r w:rsidR="00E047FC" w:rsidRPr="00B740B4">
        <w:rPr>
          <w:rFonts w:eastAsia="Times New Roman"/>
          <w:noProof/>
        </w:rPr>
        <w:t xml:space="preserve"> “Das Nabuchodonosor-Bild.” </w:t>
      </w:r>
      <w:r w:rsidRPr="00B740B4">
        <w:rPr>
          <w:rFonts w:eastAsia="Times New Roman"/>
          <w:b/>
          <w:noProof/>
        </w:rPr>
        <w:t>Werner, E.</w:t>
      </w:r>
      <w:r w:rsidRPr="00B740B4">
        <w:rPr>
          <w:rFonts w:eastAsia="Times New Roman"/>
          <w:noProof/>
        </w:rPr>
        <w:t xml:space="preserve"> “Musical Instruments.” </w:t>
      </w:r>
      <w:r w:rsidRPr="00B740B4">
        <w:rPr>
          <w:rFonts w:eastAsia="Times New Roman"/>
          <w:b/>
          <w:noProof/>
        </w:rPr>
        <w:t>Wharton, J. A.</w:t>
      </w:r>
      <w:r w:rsidRPr="00B740B4">
        <w:rPr>
          <w:rFonts w:eastAsia="Times New Roman"/>
          <w:noProof/>
        </w:rPr>
        <w:t xml:space="preserve"> “Daniel 3:16–18.” </w:t>
      </w:r>
      <w:r w:rsidRPr="00B740B4">
        <w:rPr>
          <w:rFonts w:eastAsia="Times New Roman"/>
          <w:b/>
          <w:noProof/>
        </w:rPr>
        <w:t>Yamauchi, E. M.</w:t>
      </w:r>
      <w:r w:rsidRPr="00B740B4">
        <w:rPr>
          <w:rFonts w:eastAsia="Times New Roman"/>
          <w:noProof/>
        </w:rPr>
        <w:t xml:space="preserve"> “Greek Words</w:t>
      </w:r>
      <w:r w:rsidR="00E047FC" w:rsidRPr="00B740B4">
        <w:rPr>
          <w:rFonts w:eastAsia="Times New Roman"/>
          <w:noProof/>
        </w:rPr>
        <w:t xml:space="preserve"> in Daniel.” </w:t>
      </w:r>
      <w:r w:rsidRPr="00B740B4">
        <w:rPr>
          <w:rFonts w:eastAsia="Times New Roman"/>
          <w:noProof/>
        </w:rPr>
        <w:t xml:space="preserve"> ———. “Daniel and Contacts between the Aegean and the Near East before Alexander.” </w:t>
      </w:r>
      <w:r w:rsidR="00EA383F">
        <w:rPr>
          <w:rFonts w:eastAsia="Times New Roman"/>
          <w:noProof/>
        </w:rPr>
        <w:t xml:space="preserve"> </w:t>
      </w:r>
      <w:r w:rsidR="00EA383F" w:rsidRPr="00EA383F">
        <w:rPr>
          <w:rFonts w:eastAsia="Times New Roman"/>
          <w:noProof/>
        </w:rPr>
        <w:t xml:space="preserve">———. </w:t>
      </w:r>
      <w:r w:rsidR="00F958DB">
        <w:rPr>
          <w:rFonts w:eastAsia="Times New Roman"/>
          <w:noProof/>
        </w:rPr>
        <w:t xml:space="preserve">“Greece and Babylon Revisited,” in Merling, </w:t>
      </w:r>
      <w:r w:rsidR="00F958DB">
        <w:rPr>
          <w:rFonts w:eastAsia="Times New Roman"/>
          <w:i/>
          <w:noProof/>
        </w:rPr>
        <w:t>To Understand the Scriptures</w:t>
      </w:r>
      <w:r w:rsidR="00F958DB">
        <w:rPr>
          <w:rFonts w:eastAsia="Times New Roman"/>
          <w:noProof/>
        </w:rPr>
        <w:t>, 127-36.</w:t>
      </w:r>
    </w:p>
    <w:p w:rsidR="00124267" w:rsidRPr="00B740B4" w:rsidRDefault="00124267" w:rsidP="009479B1">
      <w:pPr>
        <w:pStyle w:val="Heading2"/>
      </w:pPr>
      <w:r w:rsidRPr="00B740B4">
        <w:t>Translation</w:t>
      </w:r>
    </w:p>
    <w:p w:rsidR="00124267" w:rsidRPr="00B740B4" w:rsidRDefault="00124267" w:rsidP="00124267">
      <w:r w:rsidRPr="00B740B4">
        <w:rPr>
          <w:rStyle w:val="ver"/>
        </w:rPr>
        <w:t>1</w:t>
      </w:r>
      <w:r w:rsidRPr="00B740B4">
        <w:rPr>
          <w:rStyle w:val="fnref"/>
        </w:rPr>
        <w:t>a</w:t>
      </w:r>
      <w:r w:rsidR="00B403B1" w:rsidRPr="00B740B4">
        <w:rPr>
          <w:rStyle w:val="i"/>
          <w:color w:val="auto"/>
        </w:rPr>
        <w:t xml:space="preserve">King </w:t>
      </w:r>
      <w:r w:rsidR="00B403B1" w:rsidRPr="00B740B4">
        <w:rPr>
          <w:i/>
          <w:szCs w:val="24"/>
          <w:lang w:val="en-GB"/>
        </w:rPr>
        <w:t>Nebukadne’</w:t>
      </w:r>
      <w:r w:rsidR="00B403B1" w:rsidRPr="00B740B4">
        <w:rPr>
          <w:i/>
          <w:szCs w:val="24"/>
        </w:rPr>
        <w:t>ṣṣ</w:t>
      </w:r>
      <w:r w:rsidR="00B403B1" w:rsidRPr="00B740B4">
        <w:rPr>
          <w:i/>
          <w:szCs w:val="24"/>
          <w:lang w:val="en-GB"/>
        </w:rPr>
        <w:t>ar</w:t>
      </w:r>
      <w:r w:rsidRPr="00B740B4">
        <w:rPr>
          <w:rStyle w:val="i"/>
          <w:color w:val="auto"/>
        </w:rPr>
        <w:t xml:space="preserve"> made a gold statue, sixty cubits high and six</w:t>
      </w:r>
      <w:r w:rsidR="00C74AFA" w:rsidRPr="00B740B4">
        <w:rPr>
          <w:rStyle w:val="i"/>
          <w:color w:val="auto"/>
          <w:vertAlign w:val="superscript"/>
        </w:rPr>
        <w:t>b</w:t>
      </w:r>
      <w:r w:rsidRPr="00B740B4">
        <w:rPr>
          <w:rStyle w:val="i"/>
          <w:color w:val="auto"/>
        </w:rPr>
        <w:t xml:space="preserve"> cubits wide, and set it up in the vale of Dura</w:t>
      </w:r>
      <w:r w:rsidR="007F0B50" w:rsidRPr="00B740B4">
        <w:rPr>
          <w:rStyle w:val="i"/>
          <w:color w:val="auto"/>
        </w:rPr>
        <w:t xml:space="preserve"> in the province of Babel</w:t>
      </w:r>
      <w:r w:rsidRPr="00B740B4">
        <w:rPr>
          <w:rStyle w:val="i"/>
          <w:color w:val="auto"/>
        </w:rPr>
        <w:t>.</w:t>
      </w:r>
      <w:r w:rsidR="007F0B50" w:rsidRPr="00B740B4">
        <w:rPr>
          <w:i/>
          <w:szCs w:val="24"/>
          <w:vertAlign w:val="superscript"/>
        </w:rPr>
        <w:t>c</w:t>
      </w:r>
      <w:r w:rsidRPr="00B740B4">
        <w:t xml:space="preserve"> </w:t>
      </w:r>
      <w:r w:rsidRPr="00677666">
        <w:rPr>
          <w:rStyle w:val="ver"/>
        </w:rPr>
        <w:t>2</w:t>
      </w:r>
      <w:r w:rsidR="00677666" w:rsidRPr="00677666">
        <w:rPr>
          <w:rStyle w:val="i"/>
          <w:color w:val="auto"/>
        </w:rPr>
        <w:t>And K</w:t>
      </w:r>
      <w:r w:rsidRPr="00677666">
        <w:rPr>
          <w:rStyle w:val="i"/>
          <w:color w:val="auto"/>
        </w:rPr>
        <w:t>ing</w:t>
      </w:r>
      <w:r w:rsidRPr="00B740B4">
        <w:rPr>
          <w:rStyle w:val="i"/>
          <w:color w:val="auto"/>
        </w:rPr>
        <w:t xml:space="preserve"> </w:t>
      </w:r>
      <w:r w:rsidR="00B403B1" w:rsidRPr="00B740B4">
        <w:rPr>
          <w:rStyle w:val="i"/>
          <w:color w:val="auto"/>
        </w:rPr>
        <w:t>Nebukadne’ṣṣar</w:t>
      </w:r>
      <w:r w:rsidR="00677666">
        <w:rPr>
          <w:rStyle w:val="i"/>
          <w:color w:val="auto"/>
        </w:rPr>
        <w:t xml:space="preserve"> </w:t>
      </w:r>
      <w:r w:rsidRPr="00B740B4">
        <w:rPr>
          <w:rStyle w:val="i"/>
          <w:color w:val="auto"/>
        </w:rPr>
        <w:t>sent word for the assembling of the</w:t>
      </w:r>
      <w:r w:rsidRPr="00B740B4">
        <w:t xml:space="preserve"> </w:t>
      </w:r>
      <w:r w:rsidRPr="00B740B4">
        <w:rPr>
          <w:rStyle w:val="fnref"/>
        </w:rPr>
        <w:t>a</w:t>
      </w:r>
      <w:r w:rsidRPr="00B740B4">
        <w:rPr>
          <w:rStyle w:val="i"/>
          <w:color w:val="auto"/>
        </w:rPr>
        <w:t>satraps, governors, and commissioners,</w:t>
      </w:r>
      <w:r w:rsidRPr="00B740B4">
        <w:rPr>
          <w:rStyle w:val="fnref"/>
        </w:rPr>
        <w:t>a</w:t>
      </w:r>
      <w:r w:rsidRPr="00B740B4">
        <w:t xml:space="preserve"> </w:t>
      </w:r>
      <w:r w:rsidRPr="00B740B4">
        <w:rPr>
          <w:rStyle w:val="i"/>
          <w:color w:val="auto"/>
        </w:rPr>
        <w:t>the</w:t>
      </w:r>
      <w:r w:rsidRPr="00B740B4">
        <w:t xml:space="preserve"> </w:t>
      </w:r>
      <w:r w:rsidRPr="00B740B4">
        <w:rPr>
          <w:rStyle w:val="fnref"/>
        </w:rPr>
        <w:t>b</w:t>
      </w:r>
      <w:r w:rsidRPr="00B740B4">
        <w:rPr>
          <w:rStyle w:val="i"/>
          <w:color w:val="auto"/>
        </w:rPr>
        <w:t>counselors,</w:t>
      </w:r>
      <w:r w:rsidRPr="00B740B4">
        <w:rPr>
          <w:rStyle w:val="fnref"/>
        </w:rPr>
        <w:t>c</w:t>
      </w:r>
      <w:r w:rsidRPr="00B740B4">
        <w:t xml:space="preserve"> </w:t>
      </w:r>
      <w:r w:rsidRPr="00B740B4">
        <w:rPr>
          <w:rStyle w:val="i"/>
          <w:color w:val="auto"/>
        </w:rPr>
        <w:t>treasurers,</w:t>
      </w:r>
      <w:r w:rsidRPr="00B740B4">
        <w:rPr>
          <w:rStyle w:val="fnref"/>
        </w:rPr>
        <w:t>d</w:t>
      </w:r>
      <w:r w:rsidRPr="00B740B4">
        <w:t xml:space="preserve"> </w:t>
      </w:r>
      <w:r w:rsidRPr="00B740B4">
        <w:rPr>
          <w:rStyle w:val="i"/>
          <w:color w:val="auto"/>
        </w:rPr>
        <w:t>judges, officers,</w:t>
      </w:r>
      <w:r w:rsidRPr="00B740B4">
        <w:rPr>
          <w:rStyle w:val="fnref"/>
        </w:rPr>
        <w:t>b</w:t>
      </w:r>
      <w:r w:rsidRPr="00B740B4">
        <w:t xml:space="preserve"> </w:t>
      </w:r>
      <w:r w:rsidRPr="00B740B4">
        <w:rPr>
          <w:rStyle w:val="i"/>
          <w:color w:val="auto"/>
        </w:rPr>
        <w:t>and all the provincial officials, to come</w:t>
      </w:r>
      <w:r w:rsidR="006236A3" w:rsidRPr="00B740B4">
        <w:rPr>
          <w:rStyle w:val="i"/>
          <w:color w:val="auto"/>
        </w:rPr>
        <w:t xml:space="preserve"> to the dedication of the statu</w:t>
      </w:r>
      <w:r w:rsidR="00B403B1" w:rsidRPr="00B740B4">
        <w:rPr>
          <w:rStyle w:val="i"/>
          <w:color w:val="auto"/>
        </w:rPr>
        <w:t xml:space="preserve">e which King </w:t>
      </w:r>
      <w:r w:rsidR="00B403B1" w:rsidRPr="00B740B4">
        <w:rPr>
          <w:i/>
          <w:szCs w:val="24"/>
          <w:lang w:val="en-GB"/>
        </w:rPr>
        <w:t>Nebukadne’</w:t>
      </w:r>
      <w:r w:rsidR="00B403B1" w:rsidRPr="00B740B4">
        <w:rPr>
          <w:i/>
          <w:szCs w:val="24"/>
        </w:rPr>
        <w:t>ṣṣ</w:t>
      </w:r>
      <w:r w:rsidR="00B403B1" w:rsidRPr="00B740B4">
        <w:rPr>
          <w:i/>
          <w:szCs w:val="24"/>
          <w:lang w:val="en-GB"/>
        </w:rPr>
        <w:t>ar</w:t>
      </w:r>
      <w:r w:rsidR="00B403B1" w:rsidRPr="00B740B4">
        <w:rPr>
          <w:i/>
          <w:szCs w:val="24"/>
        </w:rPr>
        <w:t xml:space="preserve"> </w:t>
      </w:r>
      <w:r w:rsidRPr="00B740B4">
        <w:rPr>
          <w:rStyle w:val="i"/>
          <w:color w:val="auto"/>
        </w:rPr>
        <w:t>had set up.</w:t>
      </w:r>
      <w:r w:rsidRPr="00B740B4">
        <w:t xml:space="preserve"> </w:t>
      </w:r>
      <w:r w:rsidRPr="00B740B4">
        <w:rPr>
          <w:rStyle w:val="ver"/>
        </w:rPr>
        <w:t>3</w:t>
      </w:r>
      <w:r w:rsidRPr="00B740B4">
        <w:rPr>
          <w:rStyle w:val="fnref"/>
        </w:rPr>
        <w:t>a</w:t>
      </w:r>
      <w:r w:rsidRPr="00B740B4">
        <w:rPr>
          <w:rStyle w:val="i"/>
          <w:color w:val="auto"/>
        </w:rPr>
        <w:t xml:space="preserve">They assembled, the satraps, governors, and commissioners, the counselors, treasurers, judges, officers, and all the provincial officials, for the dedication of the </w:t>
      </w:r>
      <w:r w:rsidR="00B403B1" w:rsidRPr="00B740B4">
        <w:rPr>
          <w:rStyle w:val="i"/>
          <w:color w:val="auto"/>
        </w:rPr>
        <w:t xml:space="preserve">statue which King </w:t>
      </w:r>
      <w:r w:rsidR="00B403B1" w:rsidRPr="00B740B4">
        <w:rPr>
          <w:i/>
          <w:szCs w:val="24"/>
          <w:lang w:val="en-GB"/>
        </w:rPr>
        <w:t>Nebukadne’</w:t>
      </w:r>
      <w:r w:rsidR="00B403B1" w:rsidRPr="00B740B4">
        <w:rPr>
          <w:i/>
          <w:szCs w:val="24"/>
        </w:rPr>
        <w:t>ṣṣ</w:t>
      </w:r>
      <w:r w:rsidR="00B403B1" w:rsidRPr="00B740B4">
        <w:rPr>
          <w:i/>
          <w:szCs w:val="24"/>
          <w:lang w:val="en-GB"/>
        </w:rPr>
        <w:t>ar</w:t>
      </w:r>
      <w:r w:rsidRPr="00B740B4">
        <w:rPr>
          <w:rStyle w:val="i"/>
          <w:color w:val="auto"/>
        </w:rPr>
        <w:t xml:space="preserve"> had set up, and </w:t>
      </w:r>
      <w:r w:rsidR="00827615">
        <w:rPr>
          <w:rStyle w:val="i"/>
          <w:color w:val="auto"/>
        </w:rPr>
        <w:t>they were standing</w:t>
      </w:r>
      <w:r w:rsidRPr="00B740B4">
        <w:rPr>
          <w:rStyle w:val="i"/>
          <w:color w:val="auto"/>
        </w:rPr>
        <w:t xml:space="preserve"> in front of the statue</w:t>
      </w:r>
      <w:r w:rsidRPr="00B740B4">
        <w:t xml:space="preserve"> </w:t>
      </w:r>
      <w:r w:rsidRPr="00B740B4">
        <w:rPr>
          <w:rStyle w:val="fnref"/>
        </w:rPr>
        <w:t>b</w:t>
      </w:r>
      <w:r w:rsidRPr="00B740B4">
        <w:rPr>
          <w:rStyle w:val="i"/>
          <w:color w:val="auto"/>
        </w:rPr>
        <w:t xml:space="preserve">which </w:t>
      </w:r>
      <w:r w:rsidR="00B403B1" w:rsidRPr="00B740B4">
        <w:rPr>
          <w:rStyle w:val="i"/>
          <w:color w:val="auto"/>
        </w:rPr>
        <w:t>Nebukadne’ṣṣar</w:t>
      </w:r>
      <w:r w:rsidRPr="00B740B4">
        <w:rPr>
          <w:rStyle w:val="i"/>
          <w:color w:val="auto"/>
        </w:rPr>
        <w:t xml:space="preserve"> had set up.</w:t>
      </w:r>
      <w:r w:rsidRPr="00B740B4">
        <w:rPr>
          <w:rStyle w:val="fnref"/>
        </w:rPr>
        <w:t>b</w:t>
      </w:r>
      <w:r w:rsidRPr="00B740B4">
        <w:t xml:space="preserve"> </w:t>
      </w:r>
      <w:r w:rsidRPr="00B740B4">
        <w:rPr>
          <w:rStyle w:val="ver"/>
        </w:rPr>
        <w:t>4</w:t>
      </w:r>
      <w:r w:rsidR="00A063E1">
        <w:rPr>
          <w:rStyle w:val="i"/>
          <w:color w:val="auto"/>
        </w:rPr>
        <w:t>And t</w:t>
      </w:r>
      <w:r w:rsidRPr="00B740B4">
        <w:rPr>
          <w:rStyle w:val="i"/>
          <w:color w:val="auto"/>
        </w:rPr>
        <w:t>he herald</w:t>
      </w:r>
      <w:r w:rsidRPr="00B740B4">
        <w:rPr>
          <w:rStyle w:val="fnref"/>
        </w:rPr>
        <w:t>a</w:t>
      </w:r>
      <w:r w:rsidRPr="00B740B4">
        <w:t xml:space="preserve"> </w:t>
      </w:r>
      <w:r w:rsidRPr="00B740B4">
        <w:rPr>
          <w:rStyle w:val="i"/>
          <w:color w:val="auto"/>
        </w:rPr>
        <w:t xml:space="preserve">proclaimed in a loud voice: </w:t>
      </w:r>
      <w:r w:rsidR="00934A11" w:rsidRPr="00B740B4">
        <w:rPr>
          <w:rStyle w:val="i"/>
          <w:color w:val="auto"/>
        </w:rPr>
        <w:t>“</w:t>
      </w:r>
      <w:r w:rsidRPr="00B740B4">
        <w:rPr>
          <w:rStyle w:val="i"/>
          <w:color w:val="auto"/>
        </w:rPr>
        <w:t>Peoples, nations, and languages: you are bidden</w:t>
      </w:r>
      <w:r w:rsidR="006918A1">
        <w:rPr>
          <w:rStyle w:val="i"/>
          <w:color w:val="auto"/>
          <w:vertAlign w:val="superscript"/>
        </w:rPr>
        <w:t>b</w:t>
      </w:r>
      <w:r w:rsidR="00E30984">
        <w:rPr>
          <w:rStyle w:val="i"/>
          <w:color w:val="auto"/>
        </w:rPr>
        <w:t>,</w:t>
      </w:r>
      <w:r w:rsidRPr="00B740B4">
        <w:t xml:space="preserve"> </w:t>
      </w:r>
      <w:r w:rsidRPr="00B740B4">
        <w:rPr>
          <w:rStyle w:val="ver"/>
        </w:rPr>
        <w:t>5</w:t>
      </w:r>
      <w:r w:rsidR="00E30984">
        <w:rPr>
          <w:rStyle w:val="i"/>
          <w:color w:val="auto"/>
        </w:rPr>
        <w:t>at the set moment</w:t>
      </w:r>
      <w:r w:rsidRPr="00B740B4">
        <w:rPr>
          <w:rStyle w:val="i"/>
          <w:color w:val="auto"/>
        </w:rPr>
        <w:t xml:space="preserve"> when you hear the sound of the horn,</w:t>
      </w:r>
      <w:r w:rsidRPr="00B740B4">
        <w:rPr>
          <w:rStyle w:val="fnref"/>
        </w:rPr>
        <w:t>a</w:t>
      </w:r>
      <w:r w:rsidRPr="00B740B4">
        <w:t xml:space="preserve"> </w:t>
      </w:r>
      <w:r w:rsidRPr="00B740B4">
        <w:rPr>
          <w:rStyle w:val="i"/>
          <w:color w:val="auto"/>
        </w:rPr>
        <w:t>the pipe,</w:t>
      </w:r>
      <w:r w:rsidRPr="00B740B4">
        <w:rPr>
          <w:rStyle w:val="fnref"/>
        </w:rPr>
        <w:t>b</w:t>
      </w:r>
      <w:r w:rsidRPr="00B740B4">
        <w:t xml:space="preserve"> </w:t>
      </w:r>
      <w:r w:rsidR="00E8475A" w:rsidRPr="00B740B4">
        <w:rPr>
          <w:rStyle w:val="i"/>
          <w:color w:val="auto"/>
        </w:rPr>
        <w:t>the guitar</w:t>
      </w:r>
      <w:r w:rsidRPr="00B740B4">
        <w:rPr>
          <w:rStyle w:val="i"/>
          <w:color w:val="auto"/>
        </w:rPr>
        <w:t>,</w:t>
      </w:r>
      <w:r w:rsidRPr="00B740B4">
        <w:rPr>
          <w:rStyle w:val="fnref"/>
        </w:rPr>
        <w:t>c</w:t>
      </w:r>
      <w:r w:rsidRPr="00B740B4">
        <w:t xml:space="preserve"> </w:t>
      </w:r>
      <w:r w:rsidRPr="00B740B4">
        <w:rPr>
          <w:rStyle w:val="i"/>
          <w:color w:val="auto"/>
        </w:rPr>
        <w:t>the trigon,</w:t>
      </w:r>
      <w:r w:rsidRPr="00B740B4">
        <w:rPr>
          <w:rStyle w:val="fnref"/>
        </w:rPr>
        <w:t>d</w:t>
      </w:r>
      <w:r w:rsidRPr="00B740B4">
        <w:t xml:space="preserve"> </w:t>
      </w:r>
      <w:r w:rsidR="00E8475A" w:rsidRPr="00B740B4">
        <w:rPr>
          <w:rStyle w:val="i"/>
          <w:color w:val="auto"/>
        </w:rPr>
        <w:t>the banjo</w:t>
      </w:r>
      <w:r w:rsidRPr="00B740B4">
        <w:rPr>
          <w:rStyle w:val="i"/>
          <w:color w:val="auto"/>
        </w:rPr>
        <w:t>,</w:t>
      </w:r>
      <w:r w:rsidRPr="00B740B4">
        <w:rPr>
          <w:rStyle w:val="fnref"/>
        </w:rPr>
        <w:t>e</w:t>
      </w:r>
      <w:r w:rsidRPr="00B740B4">
        <w:t xml:space="preserve"> </w:t>
      </w:r>
      <w:r w:rsidRPr="00B740B4">
        <w:rPr>
          <w:rStyle w:val="i"/>
          <w:color w:val="auto"/>
        </w:rPr>
        <w:t>the ensemble</w:t>
      </w:r>
      <w:r w:rsidRPr="00B740B4">
        <w:rPr>
          <w:rStyle w:val="fnref"/>
        </w:rPr>
        <w:t>f</w:t>
      </w:r>
      <w:r w:rsidRPr="00B740B4">
        <w:t xml:space="preserve"> </w:t>
      </w:r>
      <w:r w:rsidRPr="00B740B4">
        <w:rPr>
          <w:rStyle w:val="i"/>
          <w:color w:val="auto"/>
        </w:rPr>
        <w:t>with every kind of music, to</w:t>
      </w:r>
      <w:r w:rsidRPr="00B740B4">
        <w:t xml:space="preserve"> </w:t>
      </w:r>
      <w:r w:rsidRPr="00B740B4">
        <w:rPr>
          <w:rStyle w:val="fnref"/>
        </w:rPr>
        <w:t>g</w:t>
      </w:r>
      <w:r w:rsidRPr="00B740B4">
        <w:rPr>
          <w:rStyle w:val="i"/>
          <w:color w:val="auto"/>
        </w:rPr>
        <w:t>bow prostrate</w:t>
      </w:r>
      <w:r w:rsidRPr="00B740B4">
        <w:rPr>
          <w:rStyle w:val="fnref"/>
        </w:rPr>
        <w:t>g</w:t>
      </w:r>
      <w:r w:rsidRPr="00B740B4">
        <w:t xml:space="preserve"> </w:t>
      </w:r>
      <w:r w:rsidRPr="00B740B4">
        <w:rPr>
          <w:rStyle w:val="i"/>
          <w:color w:val="auto"/>
        </w:rPr>
        <w:t xml:space="preserve">before the gold statue which King </w:t>
      </w:r>
      <w:r w:rsidR="00B403B1" w:rsidRPr="00B740B4">
        <w:rPr>
          <w:rStyle w:val="i"/>
          <w:color w:val="auto"/>
        </w:rPr>
        <w:t>Nebukadne’ṣṣar</w:t>
      </w:r>
      <w:r w:rsidRPr="00B740B4">
        <w:rPr>
          <w:rStyle w:val="i"/>
          <w:color w:val="auto"/>
        </w:rPr>
        <w:t xml:space="preserve"> has set up.</w:t>
      </w:r>
      <w:r w:rsidRPr="00B740B4">
        <w:t xml:space="preserve"> </w:t>
      </w:r>
      <w:r w:rsidRPr="00B740B4">
        <w:rPr>
          <w:rStyle w:val="ver"/>
        </w:rPr>
        <w:t>6</w:t>
      </w:r>
      <w:r w:rsidRPr="00B740B4">
        <w:rPr>
          <w:rStyle w:val="i"/>
          <w:color w:val="auto"/>
        </w:rPr>
        <w:t>Anyone who does not bow prostrate wi</w:t>
      </w:r>
      <w:r w:rsidR="00B338A6">
        <w:rPr>
          <w:rStyle w:val="i"/>
          <w:color w:val="auto"/>
        </w:rPr>
        <w:t>ll be thrown straightaway into the middle of</w:t>
      </w:r>
      <w:r w:rsidRPr="00B740B4">
        <w:t xml:space="preserve"> </w:t>
      </w:r>
      <w:r w:rsidRPr="00B740B4">
        <w:rPr>
          <w:rStyle w:val="i"/>
          <w:color w:val="auto"/>
        </w:rPr>
        <w:t>a red-hot blazing furnace.</w:t>
      </w:r>
      <w:r w:rsidR="00934A11" w:rsidRPr="00B740B4">
        <w:rPr>
          <w:rStyle w:val="i"/>
          <w:color w:val="auto"/>
        </w:rPr>
        <w:t>”</w:t>
      </w:r>
      <w:r w:rsidRPr="00B740B4">
        <w:t xml:space="preserve"> </w:t>
      </w:r>
      <w:r w:rsidRPr="00B740B4">
        <w:rPr>
          <w:rStyle w:val="ver"/>
        </w:rPr>
        <w:t>7</w:t>
      </w:r>
      <w:r w:rsidRPr="00B740B4">
        <w:rPr>
          <w:rStyle w:val="i"/>
          <w:color w:val="auto"/>
        </w:rPr>
        <w:t xml:space="preserve">So </w:t>
      </w:r>
      <w:r w:rsidR="00423485">
        <w:rPr>
          <w:rStyle w:val="i"/>
          <w:color w:val="auto"/>
        </w:rPr>
        <w:t xml:space="preserve">at </w:t>
      </w:r>
      <w:r w:rsidRPr="00B740B4">
        <w:rPr>
          <w:rStyle w:val="i"/>
          <w:color w:val="auto"/>
        </w:rPr>
        <w:t xml:space="preserve">the very moment the peoples all heard the sound of the horn, the pipe, the </w:t>
      </w:r>
      <w:r w:rsidR="00B338A6">
        <w:rPr>
          <w:rStyle w:val="i"/>
          <w:color w:val="auto"/>
        </w:rPr>
        <w:t>guitar, the trigon, the banjo</w:t>
      </w:r>
      <w:r w:rsidRPr="00B740B4">
        <w:rPr>
          <w:rStyle w:val="i"/>
          <w:color w:val="auto"/>
        </w:rPr>
        <w:t>,</w:t>
      </w:r>
      <w:r w:rsidRPr="00B740B4">
        <w:rPr>
          <w:rStyle w:val="fnref"/>
        </w:rPr>
        <w:t>a</w:t>
      </w:r>
      <w:r w:rsidR="003719C4" w:rsidRPr="00B740B4">
        <w:rPr>
          <w:rStyle w:val="fnref"/>
        </w:rPr>
        <w:t xml:space="preserve"> </w:t>
      </w:r>
      <w:r w:rsidRPr="00B740B4">
        <w:rPr>
          <w:rStyle w:val="i"/>
          <w:color w:val="auto"/>
        </w:rPr>
        <w:t>with every kind of music, the people of all races, nations, and languages would bow prostrate</w:t>
      </w:r>
      <w:r w:rsidRPr="00B740B4">
        <w:rPr>
          <w:rStyle w:val="fnref"/>
        </w:rPr>
        <w:t>b</w:t>
      </w:r>
      <w:r w:rsidRPr="00B740B4">
        <w:t xml:space="preserve"> </w:t>
      </w:r>
      <w:r w:rsidRPr="00B740B4">
        <w:rPr>
          <w:rStyle w:val="i"/>
          <w:color w:val="auto"/>
        </w:rPr>
        <w:t xml:space="preserve">before the gold statue which King </w:t>
      </w:r>
      <w:r w:rsidR="00B403B1" w:rsidRPr="00B740B4">
        <w:rPr>
          <w:rStyle w:val="i"/>
          <w:color w:val="auto"/>
        </w:rPr>
        <w:t>Nebukadne’ṣṣar</w:t>
      </w:r>
      <w:r w:rsidRPr="00B740B4">
        <w:rPr>
          <w:rStyle w:val="i"/>
          <w:color w:val="auto"/>
        </w:rPr>
        <w:t xml:space="preserve"> had set up.</w:t>
      </w:r>
    </w:p>
    <w:p w:rsidR="00124267" w:rsidRPr="00B740B4" w:rsidRDefault="00124267" w:rsidP="00124267">
      <w:r w:rsidRPr="00B740B4">
        <w:rPr>
          <w:rStyle w:val="ver"/>
        </w:rPr>
        <w:lastRenderedPageBreak/>
        <w:t>8</w:t>
      </w:r>
      <w:r w:rsidRPr="00B740B4">
        <w:rPr>
          <w:rStyle w:val="fnref"/>
        </w:rPr>
        <w:t>a</w:t>
      </w:r>
      <w:r w:rsidR="00423485">
        <w:rPr>
          <w:rStyle w:val="i"/>
          <w:color w:val="auto"/>
        </w:rPr>
        <w:t xml:space="preserve">So </w:t>
      </w:r>
      <w:r w:rsidR="00D02D10" w:rsidRPr="00B740B4">
        <w:rPr>
          <w:rStyle w:val="i"/>
          <w:color w:val="auto"/>
        </w:rPr>
        <w:t xml:space="preserve">at </w:t>
      </w:r>
      <w:r w:rsidR="00423485">
        <w:rPr>
          <w:rStyle w:val="i"/>
          <w:color w:val="auto"/>
        </w:rPr>
        <w:t xml:space="preserve">that </w:t>
      </w:r>
      <w:r w:rsidR="00D02D10" w:rsidRPr="00B740B4">
        <w:rPr>
          <w:rStyle w:val="i"/>
          <w:color w:val="auto"/>
        </w:rPr>
        <w:t>very moment some Kasdite</w:t>
      </w:r>
      <w:r w:rsidRPr="00B740B4">
        <w:rPr>
          <w:rStyle w:val="i"/>
          <w:color w:val="auto"/>
        </w:rPr>
        <w:t>s came forward and denounced</w:t>
      </w:r>
      <w:r w:rsidRPr="00B740B4">
        <w:rPr>
          <w:rStyle w:val="fnref"/>
        </w:rPr>
        <w:t>b</w:t>
      </w:r>
      <w:r w:rsidRPr="00B740B4">
        <w:t xml:space="preserve"> </w:t>
      </w:r>
      <w:r w:rsidR="006C16DE" w:rsidRPr="00B740B4">
        <w:rPr>
          <w:rStyle w:val="i"/>
          <w:color w:val="auto"/>
        </w:rPr>
        <w:t xml:space="preserve">the </w:t>
      </w:r>
      <w:r w:rsidR="00D02D10" w:rsidRPr="00B740B4">
        <w:rPr>
          <w:rStyle w:val="i"/>
          <w:color w:val="auto"/>
        </w:rPr>
        <w:t>Yehudite</w:t>
      </w:r>
      <w:r w:rsidRPr="00B740B4">
        <w:rPr>
          <w:rStyle w:val="i"/>
          <w:color w:val="auto"/>
        </w:rPr>
        <w:t>s.</w:t>
      </w:r>
      <w:r w:rsidRPr="00B740B4">
        <w:t xml:space="preserve"> </w:t>
      </w:r>
      <w:r w:rsidRPr="00B740B4">
        <w:rPr>
          <w:rStyle w:val="ver"/>
        </w:rPr>
        <w:t>9</w:t>
      </w:r>
      <w:r w:rsidR="000E2089" w:rsidRPr="00B740B4">
        <w:rPr>
          <w:rStyle w:val="i"/>
          <w:color w:val="auto"/>
        </w:rPr>
        <w:t>They averr</w:t>
      </w:r>
      <w:r w:rsidRPr="00B740B4">
        <w:rPr>
          <w:rStyle w:val="i"/>
          <w:color w:val="auto"/>
        </w:rPr>
        <w:t>ed</w:t>
      </w:r>
      <w:r w:rsidR="000E2089" w:rsidRPr="00B740B4">
        <w:rPr>
          <w:rStyle w:val="i"/>
          <w:color w:val="auto"/>
        </w:rPr>
        <w:t xml:space="preserve"> to </w:t>
      </w:r>
      <w:r w:rsidRPr="00B740B4">
        <w:rPr>
          <w:rStyle w:val="fnref"/>
        </w:rPr>
        <w:t>a</w:t>
      </w:r>
      <w:r w:rsidRPr="00B740B4">
        <w:rPr>
          <w:rStyle w:val="i"/>
          <w:color w:val="auto"/>
        </w:rPr>
        <w:t xml:space="preserve">King </w:t>
      </w:r>
      <w:r w:rsidR="00B403B1" w:rsidRPr="00B740B4">
        <w:rPr>
          <w:rStyle w:val="i"/>
          <w:color w:val="auto"/>
        </w:rPr>
        <w:t>Nebukadne’ṣṣar</w:t>
      </w:r>
      <w:r w:rsidRPr="00B740B4">
        <w:rPr>
          <w:rStyle w:val="i"/>
          <w:color w:val="auto"/>
        </w:rPr>
        <w:t xml:space="preserve">, </w:t>
      </w:r>
      <w:r w:rsidR="00934A11" w:rsidRPr="00B740B4">
        <w:rPr>
          <w:rStyle w:val="i"/>
          <w:color w:val="auto"/>
        </w:rPr>
        <w:t>“</w:t>
      </w:r>
      <w:r w:rsidRPr="00B740B4">
        <w:rPr>
          <w:rStyle w:val="i"/>
          <w:color w:val="auto"/>
        </w:rPr>
        <w:t>Long live the king!</w:t>
      </w:r>
      <w:r w:rsidRPr="00B740B4">
        <w:t xml:space="preserve"> </w:t>
      </w:r>
      <w:r w:rsidRPr="00B740B4">
        <w:rPr>
          <w:rStyle w:val="ver"/>
        </w:rPr>
        <w:t>10</w:t>
      </w:r>
      <w:r w:rsidRPr="00B740B4">
        <w:rPr>
          <w:rStyle w:val="i"/>
          <w:color w:val="auto"/>
        </w:rPr>
        <w:t xml:space="preserve">Your majesty, you gave notice that everyone who heard the sound of the horn, the pipe, the </w:t>
      </w:r>
      <w:r w:rsidR="00331930">
        <w:rPr>
          <w:rStyle w:val="i"/>
          <w:color w:val="auto"/>
        </w:rPr>
        <w:t>guitar, the trigon, the banjo</w:t>
      </w:r>
      <w:r w:rsidRPr="00B740B4">
        <w:rPr>
          <w:rStyle w:val="i"/>
          <w:color w:val="auto"/>
        </w:rPr>
        <w:t>, and the ensemble with every kind of music, was to bow prostrate before the gold statue,</w:t>
      </w:r>
      <w:r w:rsidRPr="00B740B4">
        <w:t xml:space="preserve"> </w:t>
      </w:r>
      <w:r w:rsidRPr="00B740B4">
        <w:rPr>
          <w:rStyle w:val="ver"/>
        </w:rPr>
        <w:t>11</w:t>
      </w:r>
      <w:r w:rsidRPr="00B740B4">
        <w:rPr>
          <w:rStyle w:val="i"/>
          <w:color w:val="auto"/>
        </w:rPr>
        <w:t>and that anyone who did not bow prostrate would be thrown inside a red-hot blazing furnace.</w:t>
      </w:r>
      <w:r w:rsidRPr="00B740B4">
        <w:t xml:space="preserve"> </w:t>
      </w:r>
      <w:r w:rsidRPr="00B740B4">
        <w:rPr>
          <w:rStyle w:val="ver"/>
        </w:rPr>
        <w:t>12</w:t>
      </w:r>
      <w:r w:rsidR="007B5DF9">
        <w:rPr>
          <w:rStyle w:val="i"/>
          <w:color w:val="auto"/>
        </w:rPr>
        <w:t xml:space="preserve">There </w:t>
      </w:r>
      <w:r w:rsidR="006C16DE" w:rsidRPr="00B740B4">
        <w:rPr>
          <w:rStyle w:val="i"/>
          <w:color w:val="auto"/>
        </w:rPr>
        <w:t xml:space="preserve">are some </w:t>
      </w:r>
      <w:r w:rsidR="00D02D10" w:rsidRPr="00B740B4">
        <w:rPr>
          <w:rStyle w:val="i"/>
          <w:color w:val="auto"/>
        </w:rPr>
        <w:t>Yehudite</w:t>
      </w:r>
      <w:r w:rsidRPr="00B740B4">
        <w:rPr>
          <w:rStyle w:val="i"/>
          <w:color w:val="auto"/>
        </w:rPr>
        <w:t>s whom you appointed over the af</w:t>
      </w:r>
      <w:r w:rsidR="00D02D10" w:rsidRPr="00B740B4">
        <w:rPr>
          <w:rStyle w:val="i"/>
          <w:color w:val="auto"/>
        </w:rPr>
        <w:t xml:space="preserve">fairs of the </w:t>
      </w:r>
      <w:r w:rsidR="00E30984">
        <w:rPr>
          <w:rStyle w:val="i"/>
          <w:color w:val="auto"/>
        </w:rPr>
        <w:t>province of Babel, Šadrak, Meš</w:t>
      </w:r>
      <w:r w:rsidR="00D02D10" w:rsidRPr="00B740B4">
        <w:rPr>
          <w:rStyle w:val="i"/>
          <w:color w:val="auto"/>
        </w:rPr>
        <w:t>ak</w:t>
      </w:r>
      <w:r w:rsidRPr="00B740B4">
        <w:rPr>
          <w:rStyle w:val="i"/>
          <w:color w:val="auto"/>
        </w:rPr>
        <w:t xml:space="preserve">, and </w:t>
      </w:r>
      <w:r w:rsidR="00E30984">
        <w:rPr>
          <w:rStyle w:val="i"/>
          <w:color w:val="auto"/>
        </w:rPr>
        <w:t>‘Abed N</w:t>
      </w:r>
      <w:r w:rsidRPr="00B740B4">
        <w:rPr>
          <w:rStyle w:val="i"/>
          <w:color w:val="auto"/>
        </w:rPr>
        <w:t>ego. These people have not taken any notice of you, your majesty. They have not honored your gods</w:t>
      </w:r>
      <w:r w:rsidRPr="00B740B4">
        <w:rPr>
          <w:rStyle w:val="fnref"/>
        </w:rPr>
        <w:t>a</w:t>
      </w:r>
      <w:r w:rsidRPr="00B740B4">
        <w:t xml:space="preserve"> </w:t>
      </w:r>
      <w:r w:rsidRPr="00B740B4">
        <w:rPr>
          <w:rStyle w:val="i"/>
          <w:color w:val="auto"/>
        </w:rPr>
        <w:t>or bowed down to the gold statue which you have set up.</w:t>
      </w:r>
      <w:r w:rsidR="00934A11" w:rsidRPr="00B740B4">
        <w:rPr>
          <w:rStyle w:val="i"/>
          <w:color w:val="auto"/>
        </w:rPr>
        <w:t>”</w:t>
      </w:r>
    </w:p>
    <w:p w:rsidR="00124267" w:rsidRPr="00B740B4" w:rsidRDefault="00124267" w:rsidP="00124267">
      <w:r w:rsidRPr="00B740B4">
        <w:rPr>
          <w:rStyle w:val="ver"/>
        </w:rPr>
        <w:t>13</w:t>
      </w:r>
      <w:r w:rsidR="00B403B1" w:rsidRPr="00B740B4">
        <w:rPr>
          <w:rStyle w:val="i"/>
          <w:color w:val="auto"/>
        </w:rPr>
        <w:t>Nebukadne’ṣṣar</w:t>
      </w:r>
      <w:r w:rsidRPr="00B740B4">
        <w:rPr>
          <w:rStyle w:val="i"/>
          <w:color w:val="auto"/>
        </w:rPr>
        <w:t xml:space="preserve">, in a </w:t>
      </w:r>
      <w:r w:rsidR="00D02D10" w:rsidRPr="00B740B4">
        <w:rPr>
          <w:rStyle w:val="i"/>
          <w:color w:val="auto"/>
        </w:rPr>
        <w:t>furio</w:t>
      </w:r>
      <w:r w:rsidR="00331930">
        <w:rPr>
          <w:rStyle w:val="i"/>
          <w:color w:val="auto"/>
        </w:rPr>
        <w:t>us rage, sai</w:t>
      </w:r>
      <w:r w:rsidR="005C24CD">
        <w:rPr>
          <w:rStyle w:val="i"/>
          <w:color w:val="auto"/>
        </w:rPr>
        <w:t>d</w:t>
      </w:r>
      <w:r w:rsidR="00331930">
        <w:rPr>
          <w:rStyle w:val="i"/>
          <w:color w:val="auto"/>
        </w:rPr>
        <w:t xml:space="preserve"> to bring</w:t>
      </w:r>
      <w:r w:rsidR="005C24CD">
        <w:rPr>
          <w:rStyle w:val="i"/>
          <w:color w:val="auto"/>
        </w:rPr>
        <w:t xml:space="preserve"> Š</w:t>
      </w:r>
      <w:r w:rsidR="00E30984">
        <w:rPr>
          <w:rStyle w:val="i"/>
          <w:color w:val="auto"/>
        </w:rPr>
        <w:t>adrak, Meš</w:t>
      </w:r>
      <w:r w:rsidR="00D02D10" w:rsidRPr="00B740B4">
        <w:rPr>
          <w:rStyle w:val="i"/>
          <w:color w:val="auto"/>
        </w:rPr>
        <w:t>ak</w:t>
      </w:r>
      <w:r w:rsidR="00E30984">
        <w:rPr>
          <w:rStyle w:val="i"/>
          <w:color w:val="auto"/>
        </w:rPr>
        <w:t>, and ‘Abed N</w:t>
      </w:r>
      <w:r w:rsidR="00331930">
        <w:rPr>
          <w:rStyle w:val="i"/>
          <w:color w:val="auto"/>
        </w:rPr>
        <w:t xml:space="preserve">ego. These men were brought </w:t>
      </w:r>
      <w:r w:rsidRPr="00B740B4">
        <w:rPr>
          <w:rStyle w:val="i"/>
          <w:color w:val="auto"/>
        </w:rPr>
        <w:t>before the king.</w:t>
      </w:r>
      <w:r w:rsidRPr="00B740B4">
        <w:t xml:space="preserve"> </w:t>
      </w:r>
      <w:r w:rsidRPr="00B740B4">
        <w:rPr>
          <w:rStyle w:val="ver"/>
        </w:rPr>
        <w:t>14</w:t>
      </w:r>
      <w:r w:rsidR="00B403B1" w:rsidRPr="00B740B4">
        <w:rPr>
          <w:rStyle w:val="i"/>
          <w:color w:val="auto"/>
        </w:rPr>
        <w:t>Nebukadne’ṣṣar</w:t>
      </w:r>
      <w:r w:rsidR="00940B76" w:rsidRPr="00B740B4">
        <w:rPr>
          <w:rStyle w:val="i"/>
          <w:color w:val="auto"/>
        </w:rPr>
        <w:t xml:space="preserve"> averred to</w:t>
      </w:r>
      <w:r w:rsidRPr="00B740B4">
        <w:rPr>
          <w:rStyle w:val="i"/>
          <w:color w:val="auto"/>
        </w:rPr>
        <w:t xml:space="preserve"> them, </w:t>
      </w:r>
      <w:r w:rsidR="00934A11" w:rsidRPr="00B740B4">
        <w:rPr>
          <w:rStyle w:val="i"/>
          <w:color w:val="auto"/>
        </w:rPr>
        <w:t>“</w:t>
      </w:r>
      <w:r w:rsidR="005C24CD">
        <w:rPr>
          <w:rStyle w:val="i"/>
          <w:color w:val="auto"/>
        </w:rPr>
        <w:t>Šadrak, Meš</w:t>
      </w:r>
      <w:r w:rsidR="00D02D10" w:rsidRPr="00B740B4">
        <w:rPr>
          <w:rStyle w:val="i"/>
          <w:color w:val="auto"/>
        </w:rPr>
        <w:t>ak</w:t>
      </w:r>
      <w:r w:rsidR="005C24CD">
        <w:rPr>
          <w:rStyle w:val="i"/>
          <w:color w:val="auto"/>
        </w:rPr>
        <w:t>, and ‘Abed N</w:t>
      </w:r>
      <w:r w:rsidRPr="00B740B4">
        <w:rPr>
          <w:rStyle w:val="i"/>
          <w:color w:val="auto"/>
        </w:rPr>
        <w:t>ego, do you really</w:t>
      </w:r>
      <w:r w:rsidRPr="00B740B4">
        <w:rPr>
          <w:rStyle w:val="fnref"/>
        </w:rPr>
        <w:t>a</w:t>
      </w:r>
      <w:r w:rsidRPr="00B740B4">
        <w:t xml:space="preserve"> </w:t>
      </w:r>
      <w:r w:rsidRPr="00B740B4">
        <w:rPr>
          <w:rStyle w:val="i"/>
          <w:color w:val="auto"/>
        </w:rPr>
        <w:t>not honor my gods or bow down to the gold statue which I have set up?</w:t>
      </w:r>
      <w:r w:rsidRPr="00B740B4">
        <w:t xml:space="preserve"> </w:t>
      </w:r>
      <w:r w:rsidRPr="00B740B4">
        <w:rPr>
          <w:rStyle w:val="ver"/>
        </w:rPr>
        <w:t>15</w:t>
      </w:r>
      <w:r w:rsidRPr="00B740B4">
        <w:rPr>
          <w:rStyle w:val="i"/>
          <w:color w:val="auto"/>
        </w:rPr>
        <w:t>If you are indeed</w:t>
      </w:r>
      <w:r w:rsidRPr="00B740B4">
        <w:rPr>
          <w:rStyle w:val="fnref"/>
        </w:rPr>
        <w:t>a</w:t>
      </w:r>
      <w:r w:rsidRPr="00B740B4">
        <w:t xml:space="preserve"> </w:t>
      </w:r>
      <w:r w:rsidRPr="00B740B4">
        <w:rPr>
          <w:rStyle w:val="i"/>
          <w:color w:val="auto"/>
        </w:rPr>
        <w:t>now ready to fall prostrate before the statue I have made, at the set moment when you hear the so</w:t>
      </w:r>
      <w:r w:rsidR="00331930">
        <w:rPr>
          <w:rStyle w:val="i"/>
          <w:color w:val="auto"/>
        </w:rPr>
        <w:t>und of the horn, the pipe, the guitar, the trigon, the banjo</w:t>
      </w:r>
      <w:r w:rsidRPr="00B740B4">
        <w:rPr>
          <w:rStyle w:val="i"/>
          <w:color w:val="auto"/>
        </w:rPr>
        <w:t xml:space="preserve">, and the ensemble with every kind of </w:t>
      </w:r>
      <w:r w:rsidR="00106D1B" w:rsidRPr="00B740B4">
        <w:rPr>
          <w:rStyle w:val="i"/>
          <w:color w:val="auto"/>
        </w:rPr>
        <w:t>music…</w:t>
      </w:r>
      <w:r w:rsidRPr="00B740B4">
        <w:rPr>
          <w:rStyle w:val="i"/>
          <w:color w:val="auto"/>
        </w:rPr>
        <w:t>.</w:t>
      </w:r>
      <w:r w:rsidR="00427059" w:rsidRPr="00B740B4">
        <w:rPr>
          <w:rStyle w:val="i"/>
          <w:color w:val="auto"/>
          <w:vertAlign w:val="superscript"/>
        </w:rPr>
        <w:t>b</w:t>
      </w:r>
      <w:r w:rsidRPr="00B740B4">
        <w:rPr>
          <w:rStyle w:val="i"/>
          <w:color w:val="auto"/>
        </w:rPr>
        <w:t xml:space="preserve"> But if you do not bow down, you will be thrown straightaway inside a red-hot blazing furnace. Then who ever</w:t>
      </w:r>
      <w:r w:rsidR="00427059" w:rsidRPr="00B740B4">
        <w:rPr>
          <w:rStyle w:val="fnref"/>
        </w:rPr>
        <w:t>c</w:t>
      </w:r>
      <w:r w:rsidRPr="00B740B4">
        <w:t xml:space="preserve"> </w:t>
      </w:r>
      <w:r w:rsidR="00427059" w:rsidRPr="00B740B4">
        <w:rPr>
          <w:rStyle w:val="i"/>
          <w:color w:val="auto"/>
        </w:rPr>
        <w:t>is the god wh</w:t>
      </w:r>
      <w:r w:rsidR="00106D1B" w:rsidRPr="00B740B4">
        <w:rPr>
          <w:rStyle w:val="i"/>
          <w:color w:val="auto"/>
        </w:rPr>
        <w:t>o</w:t>
      </w:r>
      <w:r w:rsidRPr="00B740B4">
        <w:rPr>
          <w:rStyle w:val="fnref"/>
        </w:rPr>
        <w:t>c</w:t>
      </w:r>
      <w:r w:rsidRPr="00B740B4">
        <w:t xml:space="preserve"> </w:t>
      </w:r>
      <w:r w:rsidRPr="00B740B4">
        <w:rPr>
          <w:rStyle w:val="i"/>
          <w:color w:val="auto"/>
        </w:rPr>
        <w:t>could rescue you from my power?</w:t>
      </w:r>
      <w:r w:rsidR="00934A11" w:rsidRPr="00B740B4">
        <w:rPr>
          <w:rStyle w:val="i"/>
          <w:color w:val="auto"/>
        </w:rPr>
        <w:t>”</w:t>
      </w:r>
      <w:r w:rsidR="00427059" w:rsidRPr="00B740B4">
        <w:rPr>
          <w:rStyle w:val="fnref"/>
        </w:rPr>
        <w:t>e</w:t>
      </w:r>
      <w:r w:rsidRPr="00B740B4">
        <w:t xml:space="preserve"> </w:t>
      </w:r>
      <w:r w:rsidRPr="00B740B4">
        <w:rPr>
          <w:rStyle w:val="ver"/>
        </w:rPr>
        <w:t>16</w:t>
      </w:r>
      <w:r w:rsidR="005C24CD">
        <w:rPr>
          <w:rStyle w:val="i"/>
          <w:color w:val="auto"/>
        </w:rPr>
        <w:t>Šadrak, Meš</w:t>
      </w:r>
      <w:r w:rsidR="00D02D10" w:rsidRPr="00B740B4">
        <w:rPr>
          <w:rStyle w:val="i"/>
          <w:color w:val="auto"/>
        </w:rPr>
        <w:t>ak</w:t>
      </w:r>
      <w:r w:rsidR="00940B76" w:rsidRPr="00B740B4">
        <w:rPr>
          <w:rStyle w:val="i"/>
          <w:color w:val="auto"/>
        </w:rPr>
        <w:t xml:space="preserve">, and </w:t>
      </w:r>
      <w:r w:rsidR="005C24CD">
        <w:rPr>
          <w:rStyle w:val="i"/>
          <w:color w:val="auto"/>
        </w:rPr>
        <w:t>‘Abed N</w:t>
      </w:r>
      <w:r w:rsidR="00940B76" w:rsidRPr="00B740B4">
        <w:rPr>
          <w:rStyle w:val="i"/>
          <w:color w:val="auto"/>
        </w:rPr>
        <w:t>ego respond</w:t>
      </w:r>
      <w:r w:rsidRPr="00B740B4">
        <w:rPr>
          <w:rStyle w:val="i"/>
          <w:color w:val="auto"/>
        </w:rPr>
        <w:t xml:space="preserve">ed to King </w:t>
      </w:r>
      <w:r w:rsidR="00B403B1" w:rsidRPr="00B740B4">
        <w:rPr>
          <w:rStyle w:val="i"/>
          <w:color w:val="auto"/>
        </w:rPr>
        <w:t>Nebukadne’ṣṣar</w:t>
      </w:r>
      <w:r w:rsidRPr="00B740B4">
        <w:rPr>
          <w:rStyle w:val="i"/>
          <w:color w:val="auto"/>
        </w:rPr>
        <w:t>,</w:t>
      </w:r>
      <w:r w:rsidRPr="00B740B4">
        <w:rPr>
          <w:rStyle w:val="fnref"/>
        </w:rPr>
        <w:t>a</w:t>
      </w:r>
      <w:r w:rsidR="00D02D10" w:rsidRPr="00B740B4">
        <w:rPr>
          <w:rStyle w:val="fnref"/>
        </w:rPr>
        <w:t xml:space="preserve"> </w:t>
      </w:r>
      <w:r w:rsidR="00934A11" w:rsidRPr="00B740B4">
        <w:rPr>
          <w:rStyle w:val="i"/>
          <w:color w:val="auto"/>
        </w:rPr>
        <w:t>“</w:t>
      </w:r>
      <w:r w:rsidRPr="00B740B4">
        <w:rPr>
          <w:rStyle w:val="i"/>
          <w:color w:val="auto"/>
        </w:rPr>
        <w:t>We do not need</w:t>
      </w:r>
      <w:r w:rsidRPr="00B740B4">
        <w:rPr>
          <w:rStyle w:val="fnref"/>
        </w:rPr>
        <w:t>b</w:t>
      </w:r>
      <w:r w:rsidRPr="00B740B4">
        <w:t xml:space="preserve"> </w:t>
      </w:r>
      <w:r w:rsidRPr="00B740B4">
        <w:rPr>
          <w:rStyle w:val="i"/>
          <w:color w:val="auto"/>
        </w:rPr>
        <w:t>to make any</w:t>
      </w:r>
      <w:r w:rsidRPr="00B740B4">
        <w:t xml:space="preserve"> </w:t>
      </w:r>
      <w:r w:rsidRPr="00B740B4">
        <w:rPr>
          <w:rStyle w:val="fnref"/>
        </w:rPr>
        <w:t>c</w:t>
      </w:r>
      <w:r w:rsidRPr="00B740B4">
        <w:rPr>
          <w:rStyle w:val="i"/>
          <w:color w:val="auto"/>
        </w:rPr>
        <w:t>response regarding this.</w:t>
      </w:r>
      <w:r w:rsidRPr="00B740B4">
        <w:rPr>
          <w:rStyle w:val="fnref"/>
        </w:rPr>
        <w:t>c</w:t>
      </w:r>
      <w:r w:rsidRPr="00B740B4">
        <w:t xml:space="preserve"> </w:t>
      </w:r>
      <w:r w:rsidRPr="00B740B4">
        <w:rPr>
          <w:rStyle w:val="ver"/>
        </w:rPr>
        <w:t>17</w:t>
      </w:r>
      <w:r w:rsidRPr="00B740B4">
        <w:rPr>
          <w:rStyle w:val="i"/>
          <w:color w:val="auto"/>
        </w:rPr>
        <w:t>If</w:t>
      </w:r>
      <w:r w:rsidRPr="00B740B4">
        <w:rPr>
          <w:rStyle w:val="fnref"/>
        </w:rPr>
        <w:t>a</w:t>
      </w:r>
      <w:r w:rsidRPr="00B740B4">
        <w:t xml:space="preserve"> </w:t>
      </w:r>
      <w:r w:rsidRPr="00B740B4">
        <w:rPr>
          <w:rStyle w:val="i"/>
          <w:color w:val="auto"/>
        </w:rPr>
        <w:t>our God, whom we honor, exists,</w:t>
      </w:r>
      <w:r w:rsidRPr="00B740B4">
        <w:rPr>
          <w:rStyle w:val="fnref"/>
        </w:rPr>
        <w:t>b</w:t>
      </w:r>
      <w:r w:rsidRPr="00B740B4">
        <w:t xml:space="preserve"> </w:t>
      </w:r>
      <w:r w:rsidRPr="00B740B4">
        <w:rPr>
          <w:rStyle w:val="i"/>
          <w:color w:val="auto"/>
        </w:rPr>
        <w:t>he is able to rescue us from the red-hot blazing furnace, and he will rescue us from your power, your majesty.</w:t>
      </w:r>
      <w:r w:rsidRPr="00B740B4">
        <w:t xml:space="preserve"> </w:t>
      </w:r>
      <w:r w:rsidRPr="00B740B4">
        <w:rPr>
          <w:rStyle w:val="ver"/>
        </w:rPr>
        <w:t>18</w:t>
      </w:r>
      <w:r w:rsidRPr="00B740B4">
        <w:rPr>
          <w:rStyle w:val="i"/>
          <w:color w:val="auto"/>
        </w:rPr>
        <w:t>Even if he should not,</w:t>
      </w:r>
      <w:r w:rsidRPr="00B740B4">
        <w:rPr>
          <w:rStyle w:val="fnref"/>
        </w:rPr>
        <w:t>a</w:t>
      </w:r>
      <w:r w:rsidRPr="00B740B4">
        <w:t xml:space="preserve"> </w:t>
      </w:r>
      <w:r w:rsidRPr="00B740B4">
        <w:rPr>
          <w:rStyle w:val="i"/>
          <w:color w:val="auto"/>
        </w:rPr>
        <w:t>your majesty may be assured that we are not going to honor your gods or bow down to the gold statue which you have set up.</w:t>
      </w:r>
      <w:r w:rsidR="006236A3" w:rsidRPr="00B740B4">
        <w:rPr>
          <w:rStyle w:val="i"/>
          <w:color w:val="auto"/>
        </w:rPr>
        <w:t>”</w:t>
      </w:r>
    </w:p>
    <w:p w:rsidR="00124267" w:rsidRPr="00B740B4" w:rsidRDefault="00124267" w:rsidP="00124267">
      <w:r w:rsidRPr="00B740B4">
        <w:rPr>
          <w:rStyle w:val="ver"/>
        </w:rPr>
        <w:t>19</w:t>
      </w:r>
      <w:r w:rsidR="00B403B1" w:rsidRPr="00B740B4">
        <w:rPr>
          <w:rStyle w:val="i"/>
          <w:color w:val="auto"/>
        </w:rPr>
        <w:t>Nebukadne’ṣṣar</w:t>
      </w:r>
      <w:r w:rsidRPr="00B740B4">
        <w:rPr>
          <w:rStyle w:val="i"/>
          <w:color w:val="auto"/>
        </w:rPr>
        <w:t xml:space="preserve"> </w:t>
      </w:r>
      <w:r w:rsidR="007F0165" w:rsidRPr="00B740B4">
        <w:rPr>
          <w:rStyle w:val="i"/>
          <w:color w:val="auto"/>
        </w:rPr>
        <w:t>filled with rage, and the image</w:t>
      </w:r>
      <w:r w:rsidR="00D02D10" w:rsidRPr="00B740B4">
        <w:rPr>
          <w:rStyle w:val="i"/>
          <w:color w:val="auto"/>
        </w:rPr>
        <w:t xml:space="preserve"> on his face </w:t>
      </w:r>
      <w:r w:rsidR="002D4FFF" w:rsidRPr="00B740B4">
        <w:rPr>
          <w:rStyle w:val="i"/>
          <w:color w:val="auto"/>
        </w:rPr>
        <w:t xml:space="preserve">towards </w:t>
      </w:r>
      <w:r w:rsidR="005C24CD">
        <w:rPr>
          <w:rStyle w:val="i"/>
          <w:color w:val="auto"/>
        </w:rPr>
        <w:t>Š</w:t>
      </w:r>
      <w:r w:rsidR="007B5DF9">
        <w:rPr>
          <w:rStyle w:val="i"/>
          <w:color w:val="auto"/>
        </w:rPr>
        <w:t>adrak, Me</w:t>
      </w:r>
      <w:r w:rsidR="005C24CD">
        <w:rPr>
          <w:rStyle w:val="i"/>
          <w:color w:val="auto"/>
        </w:rPr>
        <w:t>š</w:t>
      </w:r>
      <w:r w:rsidR="00D02D10" w:rsidRPr="00B740B4">
        <w:rPr>
          <w:rStyle w:val="i"/>
          <w:color w:val="auto"/>
        </w:rPr>
        <w:t>ak</w:t>
      </w:r>
      <w:r w:rsidRPr="00B740B4">
        <w:rPr>
          <w:rStyle w:val="i"/>
          <w:color w:val="auto"/>
        </w:rPr>
        <w:t>,</w:t>
      </w:r>
      <w:r w:rsidR="005C24CD">
        <w:rPr>
          <w:rStyle w:val="i"/>
          <w:color w:val="auto"/>
        </w:rPr>
        <w:t xml:space="preserve"> and </w:t>
      </w:r>
      <w:r w:rsidR="007B5DF9">
        <w:rPr>
          <w:rStyle w:val="i"/>
          <w:color w:val="auto"/>
        </w:rPr>
        <w:t>‘</w:t>
      </w:r>
      <w:r w:rsidR="005C24CD">
        <w:rPr>
          <w:rStyle w:val="i"/>
          <w:color w:val="auto"/>
        </w:rPr>
        <w:t>Abed N</w:t>
      </w:r>
      <w:r w:rsidR="00940B76" w:rsidRPr="00B740B4">
        <w:rPr>
          <w:rStyle w:val="i"/>
          <w:color w:val="auto"/>
        </w:rPr>
        <w:t>ego changed. He aver</w:t>
      </w:r>
      <w:r w:rsidRPr="00B740B4">
        <w:rPr>
          <w:rStyle w:val="i"/>
          <w:color w:val="auto"/>
        </w:rPr>
        <w:t>red that the furnace was to be heated seven</w:t>
      </w:r>
      <w:r w:rsidRPr="00B740B4">
        <w:t xml:space="preserve"> </w:t>
      </w:r>
      <w:r w:rsidRPr="00B740B4">
        <w:rPr>
          <w:rStyle w:val="i"/>
          <w:color w:val="auto"/>
        </w:rPr>
        <w:t>times</w:t>
      </w:r>
      <w:r w:rsidR="00AF7918" w:rsidRPr="00B740B4">
        <w:rPr>
          <w:i/>
          <w:szCs w:val="24"/>
          <w:vertAlign w:val="superscript"/>
        </w:rPr>
        <w:t>a</w:t>
      </w:r>
      <w:r w:rsidRPr="00B740B4">
        <w:rPr>
          <w:rStyle w:val="i"/>
          <w:color w:val="auto"/>
        </w:rPr>
        <w:t xml:space="preserve"> higher than it was usually</w:t>
      </w:r>
      <w:r w:rsidR="00DC7FC3" w:rsidRPr="00B740B4">
        <w:rPr>
          <w:rStyle w:val="i"/>
          <w:color w:val="auto"/>
        </w:rPr>
        <w:t xml:space="preserve"> </w:t>
      </w:r>
      <w:r w:rsidRPr="00B740B4">
        <w:rPr>
          <w:rStyle w:val="i"/>
          <w:color w:val="auto"/>
        </w:rPr>
        <w:t>heated.</w:t>
      </w:r>
      <w:r w:rsidR="00DC7FC3" w:rsidRPr="00B740B4">
        <w:rPr>
          <w:i/>
          <w:szCs w:val="24"/>
          <w:vertAlign w:val="superscript"/>
        </w:rPr>
        <w:t>b</w:t>
      </w:r>
      <w:r w:rsidRPr="00B740B4">
        <w:t xml:space="preserve"> </w:t>
      </w:r>
      <w:r w:rsidRPr="00B740B4">
        <w:rPr>
          <w:rStyle w:val="ver"/>
        </w:rPr>
        <w:t>20</w:t>
      </w:r>
      <w:r w:rsidRPr="00B740B4">
        <w:rPr>
          <w:rStyle w:val="i"/>
          <w:color w:val="auto"/>
        </w:rPr>
        <w:t>He told</w:t>
      </w:r>
      <w:r w:rsidRPr="00B740B4">
        <w:t xml:space="preserve"> </w:t>
      </w:r>
      <w:r w:rsidRPr="00B740B4">
        <w:rPr>
          <w:rStyle w:val="fnref"/>
        </w:rPr>
        <w:t>a</w:t>
      </w:r>
      <w:r w:rsidRPr="00B740B4">
        <w:rPr>
          <w:rStyle w:val="i"/>
          <w:color w:val="auto"/>
        </w:rPr>
        <w:t>the strongest men in his army</w:t>
      </w:r>
      <w:r w:rsidRPr="00B740B4">
        <w:rPr>
          <w:rStyle w:val="fnref"/>
        </w:rPr>
        <w:t>a</w:t>
      </w:r>
      <w:r w:rsidRPr="00B740B4">
        <w:t xml:space="preserve"> </w:t>
      </w:r>
      <w:r w:rsidR="005C24CD">
        <w:rPr>
          <w:rStyle w:val="i"/>
          <w:color w:val="auto"/>
        </w:rPr>
        <w:t>to tie up Šadrak, Meš</w:t>
      </w:r>
      <w:r w:rsidR="00D02D10" w:rsidRPr="00B740B4">
        <w:rPr>
          <w:rStyle w:val="i"/>
          <w:color w:val="auto"/>
        </w:rPr>
        <w:t>ak</w:t>
      </w:r>
      <w:r w:rsidRPr="00B740B4">
        <w:rPr>
          <w:rStyle w:val="i"/>
          <w:color w:val="auto"/>
        </w:rPr>
        <w:t xml:space="preserve">, and </w:t>
      </w:r>
      <w:r w:rsidR="005C24CD">
        <w:rPr>
          <w:rStyle w:val="i"/>
          <w:color w:val="auto"/>
        </w:rPr>
        <w:t>‘Abed N</w:t>
      </w:r>
      <w:r w:rsidRPr="00B740B4">
        <w:rPr>
          <w:rStyle w:val="i"/>
          <w:color w:val="auto"/>
        </w:rPr>
        <w:t>ego for throwing</w:t>
      </w:r>
      <w:r w:rsidRPr="00B740B4">
        <w:rPr>
          <w:rStyle w:val="fnref"/>
        </w:rPr>
        <w:t>b</w:t>
      </w:r>
      <w:r w:rsidRPr="00B740B4">
        <w:t xml:space="preserve"> </w:t>
      </w:r>
      <w:r w:rsidRPr="00B740B4">
        <w:rPr>
          <w:rStyle w:val="i"/>
          <w:color w:val="auto"/>
        </w:rPr>
        <w:t>inside the red-hot blazing furnace.</w:t>
      </w:r>
      <w:r w:rsidRPr="00B740B4">
        <w:t xml:space="preserve"> </w:t>
      </w:r>
      <w:r w:rsidRPr="00B740B4">
        <w:rPr>
          <w:rStyle w:val="ver"/>
        </w:rPr>
        <w:t>21</w:t>
      </w:r>
      <w:r w:rsidRPr="00B740B4">
        <w:rPr>
          <w:rStyle w:val="i"/>
          <w:color w:val="auto"/>
        </w:rPr>
        <w:t>These men were tied up in their trousers,</w:t>
      </w:r>
      <w:r w:rsidRPr="00B740B4">
        <w:rPr>
          <w:rStyle w:val="fnref"/>
        </w:rPr>
        <w:t>a</w:t>
      </w:r>
      <w:r w:rsidRPr="00B740B4">
        <w:t xml:space="preserve"> </w:t>
      </w:r>
      <w:r w:rsidRPr="00B740B4">
        <w:rPr>
          <w:rStyle w:val="i"/>
          <w:color w:val="auto"/>
        </w:rPr>
        <w:t>their pattishin,</w:t>
      </w:r>
      <w:r w:rsidRPr="00B740B4">
        <w:rPr>
          <w:rStyle w:val="fnref"/>
        </w:rPr>
        <w:t>b</w:t>
      </w:r>
      <w:r w:rsidRPr="00B740B4">
        <w:t xml:space="preserve"> </w:t>
      </w:r>
      <w:r w:rsidRPr="00B740B4">
        <w:rPr>
          <w:rStyle w:val="i"/>
          <w:color w:val="auto"/>
        </w:rPr>
        <w:t xml:space="preserve">their headwear and </w:t>
      </w:r>
      <w:r w:rsidR="00777327">
        <w:rPr>
          <w:rStyle w:val="i"/>
          <w:color w:val="auto"/>
        </w:rPr>
        <w:t xml:space="preserve">their </w:t>
      </w:r>
      <w:r w:rsidRPr="00B740B4">
        <w:rPr>
          <w:rStyle w:val="i"/>
          <w:color w:val="auto"/>
        </w:rPr>
        <w:t>clothes, and thrown inside the red-hot blazing furnace.</w:t>
      </w:r>
      <w:r w:rsidRPr="00B740B4">
        <w:t xml:space="preserve"> </w:t>
      </w:r>
      <w:r w:rsidRPr="00B740B4">
        <w:rPr>
          <w:rStyle w:val="ver"/>
        </w:rPr>
        <w:t>22</w:t>
      </w:r>
      <w:r w:rsidRPr="00B740B4">
        <w:rPr>
          <w:rStyle w:val="i"/>
          <w:color w:val="auto"/>
        </w:rPr>
        <w:t xml:space="preserve">Now as a result of the king’s strict order about the furnace being heated very high, the flames from the fire killed those men who took </w:t>
      </w:r>
      <w:r w:rsidR="005C24CD">
        <w:rPr>
          <w:rStyle w:val="i"/>
          <w:color w:val="auto"/>
        </w:rPr>
        <w:t>up Šadrak, Meš</w:t>
      </w:r>
      <w:r w:rsidR="00D02D10" w:rsidRPr="00B740B4">
        <w:rPr>
          <w:rStyle w:val="i"/>
          <w:color w:val="auto"/>
        </w:rPr>
        <w:t>ak</w:t>
      </w:r>
      <w:r w:rsidRPr="00B740B4">
        <w:rPr>
          <w:rStyle w:val="i"/>
          <w:color w:val="auto"/>
        </w:rPr>
        <w:t xml:space="preserve">, and </w:t>
      </w:r>
      <w:r w:rsidR="005C24CD">
        <w:rPr>
          <w:rStyle w:val="i"/>
          <w:color w:val="auto"/>
        </w:rPr>
        <w:t>‘Abed Nego</w:t>
      </w:r>
      <w:r w:rsidRPr="00B740B4">
        <w:rPr>
          <w:rStyle w:val="i"/>
          <w:color w:val="auto"/>
        </w:rPr>
        <w:t>.</w:t>
      </w:r>
    </w:p>
    <w:p w:rsidR="00124267" w:rsidRPr="00B740B4" w:rsidRDefault="00124267" w:rsidP="00124267">
      <w:r w:rsidRPr="00B740B4">
        <w:rPr>
          <w:rStyle w:val="ver"/>
        </w:rPr>
        <w:t>23</w:t>
      </w:r>
      <w:r w:rsidRPr="00B740B4">
        <w:rPr>
          <w:rStyle w:val="fnref"/>
        </w:rPr>
        <w:t>a</w:t>
      </w:r>
      <w:r w:rsidR="00D02D10" w:rsidRPr="00B740B4">
        <w:rPr>
          <w:rStyle w:val="i"/>
          <w:color w:val="auto"/>
        </w:rPr>
        <w:t xml:space="preserve">So </w:t>
      </w:r>
      <w:r w:rsidR="005C24CD">
        <w:rPr>
          <w:rStyle w:val="i"/>
          <w:color w:val="auto"/>
        </w:rPr>
        <w:t xml:space="preserve">these three men, </w:t>
      </w:r>
      <w:r w:rsidR="005C24CD" w:rsidRPr="005C24CD">
        <w:rPr>
          <w:i/>
          <w:szCs w:val="24"/>
        </w:rPr>
        <w:t>Šadrak, Mešak, and ‘Abed Nego</w:t>
      </w:r>
      <w:r w:rsidRPr="00B740B4">
        <w:rPr>
          <w:rStyle w:val="i"/>
          <w:color w:val="auto"/>
        </w:rPr>
        <w:t>, fell inside the red-hot blazing furnace, tied up.</w:t>
      </w:r>
      <w:r w:rsidRPr="00B740B4">
        <w:t xml:space="preserve"> </w:t>
      </w:r>
      <w:r w:rsidRPr="00B740B4">
        <w:rPr>
          <w:rStyle w:val="ver"/>
        </w:rPr>
        <w:t>24</w:t>
      </w:r>
      <w:r w:rsidRPr="00B740B4">
        <w:rPr>
          <w:rStyle w:val="i"/>
          <w:color w:val="auto"/>
        </w:rPr>
        <w:t xml:space="preserve">Then King </w:t>
      </w:r>
      <w:r w:rsidR="00B403B1" w:rsidRPr="00B740B4">
        <w:rPr>
          <w:rStyle w:val="i"/>
          <w:color w:val="auto"/>
        </w:rPr>
        <w:t>Nebukadne’ṣṣar</w:t>
      </w:r>
      <w:r w:rsidRPr="00B740B4">
        <w:rPr>
          <w:rStyle w:val="i"/>
          <w:color w:val="auto"/>
        </w:rPr>
        <w:t>,</w:t>
      </w:r>
      <w:r w:rsidRPr="00B740B4">
        <w:t xml:space="preserve"> </w:t>
      </w:r>
      <w:r w:rsidRPr="00B740B4">
        <w:rPr>
          <w:rStyle w:val="fnref"/>
        </w:rPr>
        <w:t>a</w:t>
      </w:r>
      <w:r w:rsidRPr="00B740B4">
        <w:rPr>
          <w:rStyle w:val="i"/>
          <w:color w:val="auto"/>
        </w:rPr>
        <w:t>startled, stood up in alarm</w:t>
      </w:r>
      <w:r w:rsidRPr="00B740B4">
        <w:rPr>
          <w:rStyle w:val="fnref"/>
        </w:rPr>
        <w:t>a</w:t>
      </w:r>
      <w:r w:rsidRPr="00B740B4">
        <w:t xml:space="preserve"> </w:t>
      </w:r>
      <w:r w:rsidR="00940B76" w:rsidRPr="00B740B4">
        <w:rPr>
          <w:rStyle w:val="i"/>
          <w:color w:val="auto"/>
        </w:rPr>
        <w:t>and averr</w:t>
      </w:r>
      <w:r w:rsidRPr="00B740B4">
        <w:rPr>
          <w:rStyle w:val="i"/>
          <w:color w:val="auto"/>
        </w:rPr>
        <w:t>ed to his courtiers,</w:t>
      </w:r>
      <w:r w:rsidRPr="00B740B4">
        <w:rPr>
          <w:rStyle w:val="fnref"/>
        </w:rPr>
        <w:t>b</w:t>
      </w:r>
      <w:r w:rsidRPr="00B740B4">
        <w:t xml:space="preserve"> </w:t>
      </w:r>
      <w:r w:rsidR="00934A11" w:rsidRPr="00B740B4">
        <w:rPr>
          <w:rStyle w:val="i"/>
          <w:color w:val="auto"/>
        </w:rPr>
        <w:t>“</w:t>
      </w:r>
      <w:r w:rsidRPr="00B740B4">
        <w:rPr>
          <w:rStyle w:val="i"/>
          <w:color w:val="auto"/>
        </w:rPr>
        <w:t xml:space="preserve">Was it not three </w:t>
      </w:r>
      <w:r w:rsidR="00B338A6">
        <w:rPr>
          <w:rStyle w:val="i"/>
          <w:color w:val="auto"/>
        </w:rPr>
        <w:t>men that we threw into the middle</w:t>
      </w:r>
      <w:r w:rsidRPr="00B740B4">
        <w:rPr>
          <w:rStyle w:val="i"/>
          <w:color w:val="auto"/>
        </w:rPr>
        <w:t xml:space="preserve"> of the fire, tied up?</w:t>
      </w:r>
      <w:r w:rsidR="00934A11" w:rsidRPr="00B740B4">
        <w:rPr>
          <w:rStyle w:val="i"/>
          <w:color w:val="auto"/>
        </w:rPr>
        <w:t>”</w:t>
      </w:r>
      <w:r w:rsidR="00940B76" w:rsidRPr="00B740B4">
        <w:rPr>
          <w:rStyle w:val="i"/>
          <w:color w:val="auto"/>
        </w:rPr>
        <w:t xml:space="preserve"> They responded to</w:t>
      </w:r>
      <w:r w:rsidRPr="00B740B4">
        <w:rPr>
          <w:rStyle w:val="i"/>
          <w:color w:val="auto"/>
        </w:rPr>
        <w:t xml:space="preserve"> the king, </w:t>
      </w:r>
      <w:r w:rsidR="00934A11" w:rsidRPr="00B740B4">
        <w:rPr>
          <w:rStyle w:val="i"/>
          <w:color w:val="auto"/>
        </w:rPr>
        <w:t>“</w:t>
      </w:r>
      <w:r w:rsidRPr="00B740B4">
        <w:rPr>
          <w:rStyle w:val="i"/>
          <w:color w:val="auto"/>
        </w:rPr>
        <w:t>Yes it was, your majesty.</w:t>
      </w:r>
      <w:r w:rsidR="00934A11" w:rsidRPr="00B740B4">
        <w:rPr>
          <w:rStyle w:val="i"/>
          <w:color w:val="auto"/>
        </w:rPr>
        <w:t>”</w:t>
      </w:r>
      <w:r w:rsidRPr="00B740B4">
        <w:t xml:space="preserve"> </w:t>
      </w:r>
      <w:r w:rsidRPr="00B740B4">
        <w:rPr>
          <w:rStyle w:val="ver"/>
        </w:rPr>
        <w:t>25</w:t>
      </w:r>
      <w:r w:rsidR="00940B76" w:rsidRPr="00B740B4">
        <w:rPr>
          <w:rStyle w:val="i"/>
          <w:color w:val="auto"/>
        </w:rPr>
        <w:t>He averr</w:t>
      </w:r>
      <w:r w:rsidRPr="00B740B4">
        <w:rPr>
          <w:rStyle w:val="i"/>
          <w:color w:val="auto"/>
        </w:rPr>
        <w:t xml:space="preserve">ed, </w:t>
      </w:r>
      <w:r w:rsidR="00934A11" w:rsidRPr="00B740B4">
        <w:rPr>
          <w:rStyle w:val="i"/>
          <w:color w:val="auto"/>
        </w:rPr>
        <w:t>“</w:t>
      </w:r>
      <w:r w:rsidRPr="00B740B4">
        <w:rPr>
          <w:rStyle w:val="i"/>
          <w:color w:val="auto"/>
        </w:rPr>
        <w:t>There, I can see four men, free, walking about</w:t>
      </w:r>
      <w:r w:rsidRPr="00B740B4">
        <w:rPr>
          <w:rStyle w:val="fnref"/>
        </w:rPr>
        <w:t>a</w:t>
      </w:r>
      <w:r w:rsidRPr="00B740B4">
        <w:t xml:space="preserve"> </w:t>
      </w:r>
      <w:r w:rsidR="00B338A6">
        <w:rPr>
          <w:rStyle w:val="i"/>
          <w:color w:val="auto"/>
        </w:rPr>
        <w:t>in the middle</w:t>
      </w:r>
      <w:r w:rsidRPr="00B740B4">
        <w:rPr>
          <w:rStyle w:val="i"/>
          <w:color w:val="auto"/>
        </w:rPr>
        <w:t xml:space="preserve"> of the fire. It has no effect on them. And the </w:t>
      </w:r>
      <w:r w:rsidR="007B5DF9">
        <w:rPr>
          <w:rStyle w:val="i"/>
          <w:color w:val="auto"/>
        </w:rPr>
        <w:t>appearance of the fourth i</w:t>
      </w:r>
      <w:r w:rsidRPr="00B740B4">
        <w:rPr>
          <w:rStyle w:val="i"/>
          <w:color w:val="auto"/>
        </w:rPr>
        <w:t>s like a divine being.</w:t>
      </w:r>
      <w:r w:rsidR="00934A11" w:rsidRPr="00B740B4">
        <w:rPr>
          <w:rStyle w:val="i"/>
          <w:color w:val="auto"/>
        </w:rPr>
        <w:t>”</w:t>
      </w:r>
      <w:r w:rsidRPr="00B740B4">
        <w:rPr>
          <w:rStyle w:val="fnref"/>
        </w:rPr>
        <w:t>b</w:t>
      </w:r>
    </w:p>
    <w:p w:rsidR="00124267" w:rsidRPr="00B740B4" w:rsidRDefault="00124267" w:rsidP="00124267">
      <w:r w:rsidRPr="00B740B4">
        <w:rPr>
          <w:rStyle w:val="ver"/>
        </w:rPr>
        <w:t>26</w:t>
      </w:r>
      <w:r w:rsidR="00B403B1" w:rsidRPr="00B740B4">
        <w:rPr>
          <w:rStyle w:val="i"/>
          <w:color w:val="auto"/>
        </w:rPr>
        <w:t>Nebukadne’ṣṣar</w:t>
      </w:r>
      <w:r w:rsidRPr="00B740B4">
        <w:rPr>
          <w:rStyle w:val="i"/>
          <w:color w:val="auto"/>
        </w:rPr>
        <w:t xml:space="preserve"> went toward</w:t>
      </w:r>
      <w:r w:rsidR="003C73C9" w:rsidRPr="00B740B4">
        <w:rPr>
          <w:rStyle w:val="i"/>
          <w:color w:val="auto"/>
        </w:rPr>
        <w:t>s</w:t>
      </w:r>
      <w:r w:rsidRPr="00B740B4">
        <w:rPr>
          <w:rStyle w:val="i"/>
          <w:color w:val="auto"/>
        </w:rPr>
        <w:t xml:space="preserve"> the door of the red-</w:t>
      </w:r>
      <w:r w:rsidR="00940B76" w:rsidRPr="00B740B4">
        <w:rPr>
          <w:rStyle w:val="i"/>
          <w:color w:val="auto"/>
        </w:rPr>
        <w:t>hot, blazing furnace and averr</w:t>
      </w:r>
      <w:r w:rsidRPr="00B740B4">
        <w:rPr>
          <w:rStyle w:val="i"/>
          <w:color w:val="auto"/>
        </w:rPr>
        <w:t xml:space="preserve">ed, </w:t>
      </w:r>
      <w:r w:rsidR="00934A11" w:rsidRPr="00B740B4">
        <w:rPr>
          <w:rStyle w:val="i"/>
          <w:color w:val="auto"/>
        </w:rPr>
        <w:t>“</w:t>
      </w:r>
      <w:r w:rsidR="005C24CD" w:rsidRPr="005C24CD">
        <w:rPr>
          <w:i/>
          <w:szCs w:val="24"/>
        </w:rPr>
        <w:t>Šadrak, Mešak, and ‘Abed Nego</w:t>
      </w:r>
      <w:r w:rsidR="00D02D10" w:rsidRPr="00B740B4">
        <w:rPr>
          <w:rStyle w:val="i"/>
          <w:color w:val="auto"/>
        </w:rPr>
        <w:t>, servants of God On</w:t>
      </w:r>
      <w:r w:rsidRPr="00B740B4">
        <w:rPr>
          <w:rStyle w:val="i"/>
          <w:color w:val="auto"/>
        </w:rPr>
        <w:t xml:space="preserve"> High, come out, come here.</w:t>
      </w:r>
      <w:r w:rsidR="00934A11" w:rsidRPr="00B740B4">
        <w:rPr>
          <w:rStyle w:val="i"/>
          <w:color w:val="auto"/>
        </w:rPr>
        <w:t>”</w:t>
      </w:r>
      <w:r w:rsidR="005C24CD">
        <w:rPr>
          <w:rStyle w:val="i"/>
          <w:color w:val="auto"/>
        </w:rPr>
        <w:t xml:space="preserve"> Out came </w:t>
      </w:r>
      <w:r w:rsidR="005C24CD" w:rsidRPr="005C24CD">
        <w:rPr>
          <w:i/>
          <w:szCs w:val="24"/>
        </w:rPr>
        <w:t>Šadrak, Mešak, and ‘Abed Nego</w:t>
      </w:r>
      <w:r w:rsidR="00B338A6">
        <w:rPr>
          <w:rStyle w:val="i"/>
          <w:color w:val="auto"/>
        </w:rPr>
        <w:t xml:space="preserve"> from the middle</w:t>
      </w:r>
      <w:r w:rsidRPr="00B740B4">
        <w:rPr>
          <w:rStyle w:val="i"/>
          <w:color w:val="auto"/>
        </w:rPr>
        <w:t xml:space="preserve"> of the fire.</w:t>
      </w:r>
      <w:r w:rsidRPr="00B740B4">
        <w:t xml:space="preserve"> </w:t>
      </w:r>
      <w:r w:rsidRPr="00B740B4">
        <w:rPr>
          <w:rStyle w:val="ver"/>
        </w:rPr>
        <w:t>27</w:t>
      </w:r>
      <w:r w:rsidRPr="00B740B4">
        <w:rPr>
          <w:rStyle w:val="i"/>
          <w:color w:val="auto"/>
        </w:rPr>
        <w:t>The satraps, governors and commissioners, and the royal courtiers,</w:t>
      </w:r>
      <w:r w:rsidRPr="00B740B4">
        <w:rPr>
          <w:rStyle w:val="fnref"/>
        </w:rPr>
        <w:t>a</w:t>
      </w:r>
      <w:r w:rsidRPr="00B740B4">
        <w:t xml:space="preserve"> </w:t>
      </w:r>
      <w:r w:rsidRPr="00B740B4">
        <w:rPr>
          <w:rStyle w:val="i"/>
          <w:color w:val="auto"/>
        </w:rPr>
        <w:t xml:space="preserve">gathered </w:t>
      </w:r>
      <w:r w:rsidR="003C73C9" w:rsidRPr="00B740B4">
        <w:rPr>
          <w:rStyle w:val="i"/>
          <w:color w:val="auto"/>
        </w:rPr>
        <w:t>a</w:t>
      </w:r>
      <w:r w:rsidRPr="00B740B4">
        <w:rPr>
          <w:rStyle w:val="i"/>
          <w:color w:val="auto"/>
        </w:rPr>
        <w:t>round to see</w:t>
      </w:r>
      <w:r w:rsidRPr="00B740B4">
        <w:rPr>
          <w:rStyle w:val="fnref"/>
        </w:rPr>
        <w:t>b</w:t>
      </w:r>
      <w:r w:rsidRPr="00B740B4">
        <w:t xml:space="preserve"> </w:t>
      </w:r>
      <w:r w:rsidRPr="00B740B4">
        <w:rPr>
          <w:rStyle w:val="i"/>
          <w:color w:val="auto"/>
        </w:rPr>
        <w:t>these men: the fire had had no power over their bodies, the hair on their heads was not singed, their trousers were unaffected, and the smell of the fire had not come onto them.</w:t>
      </w:r>
    </w:p>
    <w:p w:rsidR="000B2400" w:rsidRDefault="00124267" w:rsidP="00124267">
      <w:r w:rsidRPr="00B740B4">
        <w:rPr>
          <w:rStyle w:val="ver"/>
        </w:rPr>
        <w:t>28</w:t>
      </w:r>
      <w:r w:rsidR="00B403B1" w:rsidRPr="00B740B4">
        <w:rPr>
          <w:rStyle w:val="i"/>
          <w:color w:val="auto"/>
        </w:rPr>
        <w:t>Nebukadne’ṣṣar</w:t>
      </w:r>
      <w:r w:rsidR="00940B76" w:rsidRPr="00B740B4">
        <w:rPr>
          <w:rStyle w:val="i"/>
          <w:color w:val="auto"/>
        </w:rPr>
        <w:t xml:space="preserve"> aver</w:t>
      </w:r>
      <w:r w:rsidRPr="00B740B4">
        <w:rPr>
          <w:rStyle w:val="i"/>
          <w:color w:val="auto"/>
        </w:rPr>
        <w:t xml:space="preserve">red, </w:t>
      </w:r>
      <w:r w:rsidR="00934A11" w:rsidRPr="00B740B4">
        <w:rPr>
          <w:rStyle w:val="i"/>
          <w:color w:val="auto"/>
        </w:rPr>
        <w:t>“</w:t>
      </w:r>
      <w:r w:rsidRPr="00B740B4">
        <w:rPr>
          <w:rStyle w:val="i"/>
          <w:color w:val="auto"/>
        </w:rPr>
        <w:t>Blessed be</w:t>
      </w:r>
      <w:r w:rsidRPr="00B740B4">
        <w:rPr>
          <w:rStyle w:val="fnref"/>
        </w:rPr>
        <w:t>a</w:t>
      </w:r>
      <w:r w:rsidRPr="00B740B4">
        <w:t xml:space="preserve"> </w:t>
      </w:r>
      <w:r w:rsidR="005C24CD">
        <w:rPr>
          <w:rStyle w:val="i"/>
          <w:color w:val="auto"/>
        </w:rPr>
        <w:t xml:space="preserve">the God of </w:t>
      </w:r>
      <w:r w:rsidR="005C24CD" w:rsidRPr="005C24CD">
        <w:rPr>
          <w:i/>
          <w:szCs w:val="24"/>
        </w:rPr>
        <w:t>Šadrak, Mešak, and ‘Abed Nego</w:t>
      </w:r>
      <w:r w:rsidRPr="00B740B4">
        <w:rPr>
          <w:rStyle w:val="i"/>
          <w:color w:val="auto"/>
        </w:rPr>
        <w:t>: he has sent his aide and rescued his servants who entrusted themselves to him. They defied</w:t>
      </w:r>
      <w:r w:rsidRPr="00B740B4">
        <w:rPr>
          <w:rStyle w:val="fnref"/>
        </w:rPr>
        <w:t>b</w:t>
      </w:r>
      <w:r w:rsidRPr="00B740B4">
        <w:t xml:space="preserve"> </w:t>
      </w:r>
      <w:r w:rsidRPr="00B740B4">
        <w:rPr>
          <w:rStyle w:val="i"/>
          <w:color w:val="auto"/>
        </w:rPr>
        <w:t>the word of the king and gave up their bodies</w:t>
      </w:r>
      <w:r w:rsidRPr="00B740B4">
        <w:rPr>
          <w:rStyle w:val="fnref"/>
        </w:rPr>
        <w:t>c</w:t>
      </w:r>
      <w:r w:rsidRPr="00B740B4">
        <w:t xml:space="preserve"> </w:t>
      </w:r>
      <w:r w:rsidRPr="00B740B4">
        <w:rPr>
          <w:rStyle w:val="i"/>
          <w:color w:val="auto"/>
        </w:rPr>
        <w:t>rather than honor or bow down before any god but their God.</w:t>
      </w:r>
      <w:r w:rsidRPr="00B740B4">
        <w:t xml:space="preserve"> </w:t>
      </w:r>
      <w:r w:rsidRPr="00B740B4">
        <w:rPr>
          <w:rStyle w:val="ver"/>
        </w:rPr>
        <w:t>29</w:t>
      </w:r>
      <w:r w:rsidRPr="00B740B4">
        <w:rPr>
          <w:rStyle w:val="i"/>
          <w:color w:val="auto"/>
        </w:rPr>
        <w:t>I hereby give notice that anyone of any people, nation, or language that says anything remiss</w:t>
      </w:r>
      <w:r w:rsidRPr="00B740B4">
        <w:rPr>
          <w:rStyle w:val="fnref"/>
        </w:rPr>
        <w:t>a</w:t>
      </w:r>
      <w:r w:rsidRPr="00B740B4">
        <w:t xml:space="preserve"> </w:t>
      </w:r>
      <w:r w:rsidR="005C24CD">
        <w:rPr>
          <w:rStyle w:val="i"/>
          <w:color w:val="auto"/>
        </w:rPr>
        <w:t>about the God of</w:t>
      </w:r>
      <w:r w:rsidR="005C24CD" w:rsidRPr="005C24CD">
        <w:rPr>
          <w:i/>
          <w:szCs w:val="24"/>
        </w:rPr>
        <w:t xml:space="preserve"> Šadrak, Mešak, and ‘Abed Nego</w:t>
      </w:r>
      <w:r w:rsidR="005C24CD">
        <w:rPr>
          <w:i/>
          <w:szCs w:val="24"/>
        </w:rPr>
        <w:t>’</w:t>
      </w:r>
      <w:r w:rsidRPr="00B740B4">
        <w:rPr>
          <w:rStyle w:val="i"/>
          <w:color w:val="auto"/>
        </w:rPr>
        <w:t xml:space="preserve"> will be torn limb from limb, and his house turned into rubble, because there exists no other God who can deliver in this way.</w:t>
      </w:r>
      <w:r w:rsidR="00934A11" w:rsidRPr="00B740B4">
        <w:rPr>
          <w:rStyle w:val="i"/>
          <w:color w:val="auto"/>
        </w:rPr>
        <w:t>”</w:t>
      </w:r>
      <w:r w:rsidRPr="00B740B4">
        <w:rPr>
          <w:rStyle w:val="fnref"/>
        </w:rPr>
        <w:t>b</w:t>
      </w:r>
      <w:r w:rsidRPr="00B740B4">
        <w:t xml:space="preserve"> </w:t>
      </w:r>
    </w:p>
    <w:p w:rsidR="00124267" w:rsidRPr="00B740B4" w:rsidRDefault="00124267" w:rsidP="00124267">
      <w:r w:rsidRPr="00B740B4">
        <w:rPr>
          <w:rStyle w:val="ver"/>
        </w:rPr>
        <w:t>30</w:t>
      </w:r>
      <w:r w:rsidR="000B2400">
        <w:rPr>
          <w:rStyle w:val="i"/>
          <w:color w:val="auto"/>
        </w:rPr>
        <w:t>T</w:t>
      </w:r>
      <w:r w:rsidR="005C24CD">
        <w:rPr>
          <w:rStyle w:val="i"/>
          <w:color w:val="auto"/>
        </w:rPr>
        <w:t xml:space="preserve">he king promoted </w:t>
      </w:r>
      <w:r w:rsidR="005C24CD" w:rsidRPr="005C24CD">
        <w:rPr>
          <w:i/>
          <w:szCs w:val="24"/>
        </w:rPr>
        <w:t>Šadrak, Mešak, and ‘Abed Nego</w:t>
      </w:r>
      <w:r w:rsidR="00D02D10" w:rsidRPr="00B740B4">
        <w:rPr>
          <w:rStyle w:val="i"/>
          <w:color w:val="auto"/>
        </w:rPr>
        <w:t xml:space="preserve"> in the province of Babel</w:t>
      </w:r>
      <w:r w:rsidRPr="00B740B4">
        <w:rPr>
          <w:rStyle w:val="i"/>
          <w:color w:val="auto"/>
        </w:rPr>
        <w:t>.</w:t>
      </w:r>
      <w:r w:rsidRPr="00B740B4">
        <w:rPr>
          <w:rStyle w:val="fnref"/>
        </w:rPr>
        <w:t>a</w:t>
      </w:r>
    </w:p>
    <w:p w:rsidR="009955B8" w:rsidRPr="00B740B4" w:rsidRDefault="009955B8" w:rsidP="009479B1">
      <w:pPr>
        <w:pStyle w:val="Heading2"/>
      </w:pPr>
      <w:r w:rsidRPr="00B740B4">
        <w:lastRenderedPageBreak/>
        <w:t>Notes</w:t>
      </w:r>
    </w:p>
    <w:p w:rsidR="00584710" w:rsidRPr="00B740B4" w:rsidRDefault="00453D9A" w:rsidP="00584710">
      <w:pPr>
        <w:rPr>
          <w:rFonts w:eastAsia="Times New Roman"/>
          <w:noProof/>
        </w:rPr>
      </w:pPr>
      <w:r w:rsidRPr="00B740B4">
        <w:rPr>
          <w:rFonts w:eastAsia="Times New Roman"/>
          <w:noProof/>
        </w:rPr>
        <w:t>1.a. G adds “in Nebuchadnezzar’s eighteenth year,” the year of his capture of Jerusalem</w:t>
      </w:r>
      <w:r w:rsidR="007F0B50" w:rsidRPr="00B740B4">
        <w:rPr>
          <w:rFonts w:eastAsia="Times New Roman"/>
          <w:noProof/>
        </w:rPr>
        <w:t xml:space="preserve"> (cf. Jer 52:29)</w:t>
      </w:r>
      <w:r w:rsidR="00340A6B" w:rsidRPr="00B740B4">
        <w:rPr>
          <w:rFonts w:eastAsia="Times New Roman"/>
          <w:noProof/>
        </w:rPr>
        <w:t>, which would have been the source of some of the gold that is about to be referred to</w:t>
      </w:r>
      <w:r w:rsidRPr="00B740B4">
        <w:rPr>
          <w:rFonts w:eastAsia="Times New Roman"/>
          <w:noProof/>
        </w:rPr>
        <w:t>. S</w:t>
      </w:r>
      <w:r w:rsidR="00584710" w:rsidRPr="00B740B4">
        <w:rPr>
          <w:rFonts w:eastAsia="Times New Roman"/>
          <w:noProof/>
        </w:rPr>
        <w:t xml:space="preserve">ee </w:t>
      </w:r>
      <w:r w:rsidRPr="00B740B4">
        <w:rPr>
          <w:rFonts w:eastAsia="Times New Roman"/>
          <w:noProof/>
        </w:rPr>
        <w:t xml:space="preserve">also the </w:t>
      </w:r>
      <w:r w:rsidRPr="00B740B4">
        <w:rPr>
          <w:rFonts w:eastAsia="Times New Roman"/>
          <w:i/>
          <w:noProof/>
        </w:rPr>
        <w:t xml:space="preserve">Comment </w:t>
      </w:r>
      <w:r w:rsidR="00584710" w:rsidRPr="00B740B4">
        <w:rPr>
          <w:rFonts w:eastAsia="Times New Roman"/>
          <w:noProof/>
        </w:rPr>
        <w:t>on 1:1.</w:t>
      </w:r>
      <w:r w:rsidR="00DE1FA9" w:rsidRPr="00B740B4">
        <w:rPr>
          <w:rFonts w:eastAsia="Times New Roman"/>
          <w:noProof/>
        </w:rPr>
        <w:t xml:space="preserve"> OG also adds a description of Nebuchadnezzar’s worldwide rule (and another </w:t>
      </w:r>
      <w:r w:rsidR="00677666">
        <w:rPr>
          <w:rFonts w:eastAsia="Times New Roman"/>
          <w:noProof/>
        </w:rPr>
        <w:t xml:space="preserve">description </w:t>
      </w:r>
      <w:r w:rsidR="00DE1FA9" w:rsidRPr="00B740B4">
        <w:rPr>
          <w:rFonts w:eastAsia="Times New Roman"/>
          <w:noProof/>
        </w:rPr>
        <w:t xml:space="preserve">in </w:t>
      </w:r>
      <w:r w:rsidR="00AF422C">
        <w:rPr>
          <w:rFonts w:eastAsia="Times New Roman"/>
          <w:noProof/>
        </w:rPr>
        <w:t>v</w:t>
      </w:r>
      <w:r w:rsidR="00DE1FA9" w:rsidRPr="00B740B4">
        <w:rPr>
          <w:rFonts w:eastAsia="Times New Roman"/>
          <w:noProof/>
        </w:rPr>
        <w:t xml:space="preserve"> 2). </w:t>
      </w:r>
    </w:p>
    <w:p w:rsidR="00C74AFA" w:rsidRPr="00B740B4" w:rsidRDefault="00C74AFA" w:rsidP="00584710">
      <w:pPr>
        <w:rPr>
          <w:rFonts w:eastAsia="Times New Roman"/>
          <w:noProof/>
        </w:rPr>
      </w:pPr>
      <w:r w:rsidRPr="00B740B4">
        <w:rPr>
          <w:rFonts w:eastAsia="Times New Roman"/>
          <w:noProof/>
        </w:rPr>
        <w:t>1.b. One ms of OG has “twelve,” which gives the statue more plausible proportions.</w:t>
      </w:r>
    </w:p>
    <w:p w:rsidR="007F0B50" w:rsidRPr="00B740B4" w:rsidRDefault="007F0B50" w:rsidP="00584710">
      <w:pPr>
        <w:rPr>
          <w:rFonts w:eastAsia="Times New Roman"/>
          <w:noProof/>
        </w:rPr>
      </w:pPr>
      <w:r w:rsidRPr="00B740B4">
        <w:rPr>
          <w:rFonts w:eastAsia="Times New Roman"/>
          <w:noProof/>
        </w:rPr>
        <w:t>1.c. Or “in the vale of the wall in the city of Babylon” (so Cook, “In the Pl</w:t>
      </w:r>
      <w:r w:rsidR="00340A6B" w:rsidRPr="00B740B4">
        <w:rPr>
          <w:rFonts w:eastAsia="Times New Roman"/>
          <w:noProof/>
        </w:rPr>
        <w:t>ain of the Wall</w:t>
      </w:r>
      <w:r w:rsidRPr="00B740B4">
        <w:rPr>
          <w:rFonts w:eastAsia="Times New Roman"/>
          <w:noProof/>
        </w:rPr>
        <w:t>”</w:t>
      </w:r>
      <w:r w:rsidR="009633C3">
        <w:rPr>
          <w:rFonts w:eastAsia="Times New Roman"/>
          <w:noProof/>
        </w:rPr>
        <w:t>; Saadia also has “city”</w:t>
      </w:r>
      <w:r w:rsidR="00340A6B" w:rsidRPr="00B740B4">
        <w:rPr>
          <w:rFonts w:eastAsia="Times New Roman"/>
          <w:noProof/>
        </w:rPr>
        <w:t>).</w:t>
      </w:r>
    </w:p>
    <w:p w:rsidR="00584710" w:rsidRPr="00B740B4" w:rsidRDefault="00584710" w:rsidP="00584710">
      <w:pPr>
        <w:rPr>
          <w:rFonts w:eastAsia="Times New Roman"/>
          <w:noProof/>
        </w:rPr>
      </w:pPr>
      <w:r w:rsidRPr="00B740B4">
        <w:rPr>
          <w:rFonts w:eastAsia="Times New Roman"/>
          <w:noProof/>
        </w:rPr>
        <w:t xml:space="preserve">2.a-a. The </w:t>
      </w:r>
      <w:r w:rsidRPr="00B740B4">
        <w:rPr>
          <w:rFonts w:eastAsia="Times New Roman"/>
          <w:i/>
          <w:noProof/>
        </w:rPr>
        <w:t>and</w:t>
      </w:r>
      <w:r w:rsidRPr="00B740B4">
        <w:rPr>
          <w:rFonts w:eastAsia="Times New Roman"/>
          <w:noProof/>
        </w:rPr>
        <w:t xml:space="preserve"> separates </w:t>
      </w:r>
      <w:r w:rsidRPr="00B740B4">
        <w:rPr>
          <w:rFonts w:ascii="Arial" w:eastAsia="Times New Roman" w:hAnsi="Arial" w:cs="Arial"/>
          <w:noProof/>
        </w:rPr>
        <w:t>אחשדרפניא</w:t>
      </w:r>
      <w:r w:rsidRPr="00B740B4">
        <w:rPr>
          <w:rFonts w:eastAsia="Times New Roman"/>
          <w:noProof/>
        </w:rPr>
        <w:t xml:space="preserve"> (OP), </w:t>
      </w:r>
      <w:r w:rsidRPr="00B740B4">
        <w:rPr>
          <w:rFonts w:ascii="Arial" w:eastAsia="Times New Roman" w:hAnsi="Arial" w:cs="Arial"/>
          <w:noProof/>
        </w:rPr>
        <w:t>סגניא</w:t>
      </w:r>
      <w:r w:rsidRPr="00B740B4">
        <w:rPr>
          <w:rFonts w:eastAsia="Times New Roman"/>
          <w:noProof/>
        </w:rPr>
        <w:t xml:space="preserve">, and </w:t>
      </w:r>
      <w:r w:rsidRPr="00B740B4">
        <w:rPr>
          <w:rFonts w:ascii="Arial" w:eastAsia="Times New Roman" w:hAnsi="Arial" w:cs="Arial"/>
          <w:noProof/>
        </w:rPr>
        <w:t>פחותא</w:t>
      </w:r>
      <w:r w:rsidRPr="00B740B4">
        <w:rPr>
          <w:rFonts w:eastAsia="Times New Roman"/>
          <w:noProof/>
        </w:rPr>
        <w:t xml:space="preserve"> (both Akk.) from the other officials, who are</w:t>
      </w:r>
      <w:r w:rsidR="00910A27" w:rsidRPr="00B740B4">
        <w:rPr>
          <w:rFonts w:eastAsia="Times New Roman"/>
          <w:noProof/>
        </w:rPr>
        <w:t xml:space="preserve"> apparently less senior. As the words</w:t>
      </w:r>
      <w:r w:rsidRPr="00B740B4">
        <w:rPr>
          <w:rFonts w:eastAsia="Times New Roman"/>
          <w:noProof/>
        </w:rPr>
        <w:t xml:space="preserve"> mix OP and Akk., they hardly belong to a single ranking structure (e.g., as ministers of satrapies, of provinces, and of smaller areas). Rather the list adds to Persian </w:t>
      </w:r>
      <w:r w:rsidRPr="00B740B4">
        <w:rPr>
          <w:rFonts w:eastAsia="Times New Roman"/>
          <w:i/>
          <w:noProof/>
        </w:rPr>
        <w:t>satrap</w:t>
      </w:r>
      <w:r w:rsidRPr="00B740B4">
        <w:rPr>
          <w:rFonts w:eastAsia="Times New Roman"/>
          <w:noProof/>
        </w:rPr>
        <w:t xml:space="preserve"> two more familiar Semitic terms known from various contexts in the OT (including 2:48). Both can denote area-</w:t>
      </w:r>
      <w:r w:rsidR="00910A27" w:rsidRPr="00B740B4">
        <w:rPr>
          <w:rFonts w:eastAsia="Times New Roman"/>
          <w:noProof/>
        </w:rPr>
        <w:t xml:space="preserve"> </w:t>
      </w:r>
      <w:r w:rsidRPr="00B740B4">
        <w:rPr>
          <w:rFonts w:eastAsia="Times New Roman"/>
          <w:noProof/>
        </w:rPr>
        <w:t>or city-governors</w:t>
      </w:r>
      <w:r w:rsidR="00910A27" w:rsidRPr="00B740B4">
        <w:rPr>
          <w:rFonts w:eastAsia="Times New Roman"/>
          <w:noProof/>
        </w:rPr>
        <w:t>,</w:t>
      </w:r>
      <w:r w:rsidRPr="00B740B4">
        <w:rPr>
          <w:rFonts w:eastAsia="Times New Roman"/>
          <w:noProof/>
        </w:rPr>
        <w:t xml:space="preserve"> or officials more generally, and they need not be distinguished too specifically from </w:t>
      </w:r>
      <w:r w:rsidRPr="00B740B4">
        <w:rPr>
          <w:rFonts w:eastAsia="Times New Roman"/>
          <w:i/>
          <w:noProof/>
        </w:rPr>
        <w:t>satrap</w:t>
      </w:r>
      <w:r w:rsidRPr="00B740B4">
        <w:rPr>
          <w:rFonts w:eastAsia="Times New Roman"/>
          <w:noProof/>
        </w:rPr>
        <w:t xml:space="preserve"> or from each other here.</w:t>
      </w:r>
      <w:r w:rsidR="000E2089" w:rsidRPr="00B740B4">
        <w:rPr>
          <w:rFonts w:eastAsia="Times New Roman"/>
          <w:noProof/>
        </w:rPr>
        <w:t xml:space="preserve"> “It is noteworthy, however, that none of these titles is Greek” (Collins, </w:t>
      </w:r>
      <w:r w:rsidR="000E2089" w:rsidRPr="00B740B4">
        <w:rPr>
          <w:rFonts w:eastAsia="Times New Roman"/>
          <w:i/>
          <w:noProof/>
        </w:rPr>
        <w:t>Daniel</w:t>
      </w:r>
      <w:r w:rsidR="00DE1FA9" w:rsidRPr="00B740B4">
        <w:rPr>
          <w:rFonts w:eastAsia="Times New Roman"/>
          <w:noProof/>
        </w:rPr>
        <w:t>, 183; see also Koch</w:t>
      </w:r>
      <w:r w:rsidR="00340A6B" w:rsidRPr="00B740B4">
        <w:rPr>
          <w:rFonts w:eastAsia="Times New Roman"/>
          <w:noProof/>
        </w:rPr>
        <w:t>)</w:t>
      </w:r>
      <w:r w:rsidR="00DE1FA9" w:rsidRPr="00B740B4">
        <w:rPr>
          <w:rFonts w:eastAsia="Times New Roman"/>
          <w:noProof/>
        </w:rPr>
        <w:t>.</w:t>
      </w:r>
    </w:p>
    <w:p w:rsidR="00584710" w:rsidRPr="00B740B4" w:rsidRDefault="00584710" w:rsidP="00584710">
      <w:pPr>
        <w:rPr>
          <w:rFonts w:eastAsia="Times New Roman"/>
          <w:noProof/>
        </w:rPr>
      </w:pPr>
      <w:r w:rsidRPr="00B740B4">
        <w:rPr>
          <w:rFonts w:eastAsia="Times New Roman"/>
          <w:noProof/>
        </w:rPr>
        <w:t>2.b-b. OP terms of more specific, though sometimes uncertain, meaning</w:t>
      </w:r>
      <w:r w:rsidR="00DE1FA9" w:rsidRPr="00B740B4">
        <w:rPr>
          <w:rFonts w:eastAsia="Times New Roman"/>
          <w:noProof/>
        </w:rPr>
        <w:t xml:space="preserve"> (see Koch)</w:t>
      </w:r>
      <w:r w:rsidRPr="00B740B4">
        <w:rPr>
          <w:rFonts w:eastAsia="Times New Roman"/>
          <w:noProof/>
        </w:rPr>
        <w:t>.</w:t>
      </w:r>
    </w:p>
    <w:p w:rsidR="00584710" w:rsidRPr="00B740B4" w:rsidRDefault="00584710" w:rsidP="00584710">
      <w:pPr>
        <w:rPr>
          <w:rFonts w:eastAsia="Times New Roman"/>
          <w:noProof/>
        </w:rPr>
      </w:pPr>
      <w:r w:rsidRPr="00B740B4">
        <w:rPr>
          <w:rFonts w:eastAsia="Times New Roman"/>
          <w:noProof/>
        </w:rPr>
        <w:t xml:space="preserve">2.c. </w:t>
      </w:r>
      <w:r w:rsidRPr="00B740B4">
        <w:rPr>
          <w:rFonts w:ascii="Arial" w:eastAsia="Times New Roman" w:hAnsi="Arial" w:cs="Arial"/>
          <w:noProof/>
        </w:rPr>
        <w:t>אדרגזריא</w:t>
      </w:r>
      <w:r w:rsidRPr="00B740B4">
        <w:rPr>
          <w:rFonts w:eastAsia="Times New Roman"/>
          <w:noProof/>
        </w:rPr>
        <w:t>: per</w:t>
      </w:r>
      <w:r w:rsidR="00910A27" w:rsidRPr="00B740B4">
        <w:rPr>
          <w:rFonts w:eastAsia="Times New Roman"/>
          <w:noProof/>
        </w:rPr>
        <w:t>haps equivalent figures to the “</w:t>
      </w:r>
      <w:r w:rsidRPr="00B740B4">
        <w:rPr>
          <w:rFonts w:eastAsia="Times New Roman"/>
          <w:noProof/>
        </w:rPr>
        <w:t>king’s</w:t>
      </w:r>
      <w:r w:rsidR="00910A27" w:rsidRPr="00B740B4">
        <w:rPr>
          <w:rFonts w:eastAsia="Times New Roman"/>
          <w:noProof/>
        </w:rPr>
        <w:t xml:space="preserve"> eyes”</w:t>
      </w:r>
      <w:r w:rsidR="00E43525" w:rsidRPr="00B740B4">
        <w:rPr>
          <w:rFonts w:eastAsia="Times New Roman"/>
          <w:noProof/>
        </w:rPr>
        <w:t xml:space="preserve"> (and ears) known from Greek</w:t>
      </w:r>
      <w:r w:rsidR="006236A3" w:rsidRPr="00B740B4">
        <w:rPr>
          <w:rFonts w:eastAsia="Times New Roman"/>
          <w:noProof/>
        </w:rPr>
        <w:t xml:space="preserve"> and</w:t>
      </w:r>
      <w:r w:rsidR="00E932DC" w:rsidRPr="00B740B4">
        <w:rPr>
          <w:rFonts w:eastAsia="Times New Roman"/>
          <w:noProof/>
        </w:rPr>
        <w:t xml:space="preserve"> </w:t>
      </w:r>
      <w:r w:rsidR="006918A1">
        <w:rPr>
          <w:rFonts w:eastAsia="Times New Roman"/>
          <w:noProof/>
        </w:rPr>
        <w:t>Aramaic</w:t>
      </w:r>
      <w:r w:rsidRPr="00B740B4">
        <w:rPr>
          <w:rFonts w:eastAsia="Times New Roman"/>
          <w:noProof/>
        </w:rPr>
        <w:t xml:space="preserve"> texts, officials in the imperial administration whose task was to keep </w:t>
      </w:r>
      <w:r w:rsidR="006918A1">
        <w:rPr>
          <w:rFonts w:eastAsia="Times New Roman"/>
          <w:noProof/>
        </w:rPr>
        <w:t xml:space="preserve">the </w:t>
      </w:r>
      <w:r w:rsidRPr="00B740B4">
        <w:rPr>
          <w:rFonts w:eastAsia="Times New Roman"/>
          <w:noProof/>
        </w:rPr>
        <w:t xml:space="preserve">king informed on affairs in the empire </w:t>
      </w:r>
      <w:r w:rsidR="00910A27" w:rsidRPr="00B740B4">
        <w:rPr>
          <w:rFonts w:eastAsia="Times New Roman"/>
          <w:noProof/>
        </w:rPr>
        <w:t>(Oppenheim, “‘The Eyes of the Lord,’”</w:t>
      </w:r>
      <w:r w:rsidR="00E43525" w:rsidRPr="00B740B4">
        <w:rPr>
          <w:rFonts w:eastAsia="Times New Roman"/>
          <w:noProof/>
        </w:rPr>
        <w:t xml:space="preserve"> 178; </w:t>
      </w:r>
      <w:r w:rsidRPr="00B740B4">
        <w:rPr>
          <w:rFonts w:eastAsia="Times New Roman"/>
          <w:noProof/>
        </w:rPr>
        <w:t>Ba</w:t>
      </w:r>
      <w:r w:rsidR="00E43525" w:rsidRPr="00B740B4">
        <w:rPr>
          <w:rFonts w:eastAsia="Times New Roman"/>
          <w:noProof/>
        </w:rPr>
        <w:t>lcer, “The Athenian Episkopos,”</w:t>
      </w:r>
      <w:r w:rsidRPr="00B740B4">
        <w:rPr>
          <w:rFonts w:eastAsia="Times New Roman"/>
          <w:noProof/>
        </w:rPr>
        <w:t xml:space="preserve"> 256–57; cf. Xenophon, </w:t>
      </w:r>
      <w:r w:rsidRPr="00B740B4">
        <w:rPr>
          <w:rFonts w:eastAsia="Times New Roman"/>
          <w:i/>
          <w:noProof/>
        </w:rPr>
        <w:t>Cyr</w:t>
      </w:r>
      <w:r w:rsidR="00E43525" w:rsidRPr="00B740B4">
        <w:rPr>
          <w:rFonts w:eastAsia="Times New Roman"/>
          <w:i/>
          <w:noProof/>
        </w:rPr>
        <w:t>opedia</w:t>
      </w:r>
      <w:r w:rsidRPr="00B740B4">
        <w:rPr>
          <w:rFonts w:eastAsia="Times New Roman"/>
          <w:noProof/>
        </w:rPr>
        <w:t xml:space="preserve"> 8.2.10–12).</w:t>
      </w:r>
    </w:p>
    <w:p w:rsidR="00584710" w:rsidRPr="00B740B4" w:rsidRDefault="00584710" w:rsidP="00584710">
      <w:pPr>
        <w:rPr>
          <w:rFonts w:eastAsia="Times New Roman"/>
          <w:noProof/>
        </w:rPr>
      </w:pPr>
      <w:r w:rsidRPr="00B740B4">
        <w:rPr>
          <w:rFonts w:eastAsia="Times New Roman"/>
          <w:noProof/>
        </w:rPr>
        <w:t xml:space="preserve">2.d. </w:t>
      </w:r>
      <w:r w:rsidRPr="00B740B4">
        <w:rPr>
          <w:rFonts w:ascii="Arial" w:eastAsia="Times New Roman" w:hAnsi="Arial" w:cs="Arial"/>
          <w:noProof/>
        </w:rPr>
        <w:t>גדבריא</w:t>
      </w:r>
      <w:r w:rsidRPr="00B740B4">
        <w:rPr>
          <w:rFonts w:eastAsia="Times New Roman"/>
          <w:noProof/>
        </w:rPr>
        <w:t xml:space="preserve"> = </w:t>
      </w:r>
      <w:r w:rsidRPr="00B740B4">
        <w:rPr>
          <w:rFonts w:ascii="Arial" w:eastAsia="Times New Roman" w:hAnsi="Arial" w:cs="Arial"/>
          <w:noProof/>
        </w:rPr>
        <w:t>גזבריא</w:t>
      </w:r>
      <w:r w:rsidRPr="00B740B4">
        <w:rPr>
          <w:rFonts w:eastAsia="Times New Roman"/>
          <w:noProof/>
        </w:rPr>
        <w:t xml:space="preserve"> (or does it refer to the roya</w:t>
      </w:r>
      <w:r w:rsidR="00C7525A" w:rsidRPr="00B740B4">
        <w:rPr>
          <w:rFonts w:eastAsia="Times New Roman"/>
          <w:noProof/>
        </w:rPr>
        <w:t xml:space="preserve">l hairdressers?—so </w:t>
      </w:r>
      <w:r w:rsidRPr="00B740B4">
        <w:rPr>
          <w:rFonts w:eastAsia="Times New Roman"/>
          <w:noProof/>
        </w:rPr>
        <w:t xml:space="preserve">Gershevitch, </w:t>
      </w:r>
      <w:r w:rsidR="00C7525A" w:rsidRPr="00B740B4">
        <w:rPr>
          <w:rFonts w:eastAsia="Times New Roman"/>
          <w:noProof/>
        </w:rPr>
        <w:t xml:space="preserve">“Amber at Persepolis,” </w:t>
      </w:r>
      <w:r w:rsidRPr="00B740B4">
        <w:rPr>
          <w:rFonts w:eastAsia="Times New Roman"/>
          <w:noProof/>
        </w:rPr>
        <w:t>202).</w:t>
      </w:r>
    </w:p>
    <w:p w:rsidR="00584710" w:rsidRPr="00B740B4" w:rsidRDefault="00584710" w:rsidP="00584710">
      <w:pPr>
        <w:rPr>
          <w:rFonts w:eastAsia="Times New Roman"/>
          <w:noProof/>
        </w:rPr>
      </w:pPr>
      <w:r w:rsidRPr="00B740B4">
        <w:rPr>
          <w:rFonts w:eastAsia="Times New Roman"/>
          <w:noProof/>
        </w:rPr>
        <w:t xml:space="preserve">3.a. </w:t>
      </w:r>
      <w:r w:rsidRPr="00B740B4">
        <w:rPr>
          <w:rFonts w:ascii="Arial" w:eastAsia="Times New Roman" w:hAnsi="Arial" w:cs="Arial"/>
          <w:noProof/>
        </w:rPr>
        <w:t>באדין</w:t>
      </w:r>
      <w:r w:rsidRPr="00B740B4">
        <w:rPr>
          <w:rFonts w:eastAsia="Times New Roman"/>
          <w:noProof/>
        </w:rPr>
        <w:t xml:space="preserve"> “then” is used as a connecting particle here and elsewhere in</w:t>
      </w:r>
      <w:r w:rsidR="006918A1">
        <w:rPr>
          <w:rFonts w:eastAsia="Times New Roman"/>
          <w:noProof/>
        </w:rPr>
        <w:t xml:space="preserve"> chap.</w:t>
      </w:r>
      <w:r w:rsidRPr="00B740B4">
        <w:rPr>
          <w:rFonts w:eastAsia="Times New Roman"/>
          <w:noProof/>
        </w:rPr>
        <w:t xml:space="preserve"> 3</w:t>
      </w:r>
      <w:r w:rsidR="00A063E1">
        <w:rPr>
          <w:rFonts w:eastAsia="Times New Roman"/>
          <w:noProof/>
        </w:rPr>
        <w:t xml:space="preserve"> (like </w:t>
      </w:r>
      <w:r w:rsidR="00A063E1" w:rsidRPr="00A063E1">
        <w:rPr>
          <w:rFonts w:ascii="Arial" w:eastAsia="Times New Roman" w:hAnsi="Arial" w:cs="Arial"/>
          <w:noProof/>
        </w:rPr>
        <w:t>אדין</w:t>
      </w:r>
      <w:r w:rsidR="00A063E1">
        <w:rPr>
          <w:rFonts w:eastAsia="Times New Roman"/>
          <w:noProof/>
        </w:rPr>
        <w:t xml:space="preserve"> in chap. 2)</w:t>
      </w:r>
      <w:r w:rsidRPr="00B740B4">
        <w:rPr>
          <w:rFonts w:eastAsia="Times New Roman"/>
          <w:noProof/>
        </w:rPr>
        <w:t>; I have left it untranslated.</w:t>
      </w:r>
    </w:p>
    <w:p w:rsidR="00584710" w:rsidRPr="00B740B4" w:rsidRDefault="00584710" w:rsidP="00584710">
      <w:pPr>
        <w:rPr>
          <w:rFonts w:eastAsia="Times New Roman"/>
          <w:noProof/>
        </w:rPr>
      </w:pPr>
      <w:r w:rsidRPr="00B740B4">
        <w:rPr>
          <w:rFonts w:eastAsia="Times New Roman"/>
          <w:noProof/>
        </w:rPr>
        <w:t xml:space="preserve">3.b-b. G omits, simplifying </w:t>
      </w:r>
      <w:r w:rsidR="00C7525A" w:rsidRPr="00B740B4">
        <w:rPr>
          <w:rFonts w:eastAsia="Times New Roman"/>
          <w:noProof/>
        </w:rPr>
        <w:t xml:space="preserve">the </w:t>
      </w:r>
      <w:r w:rsidRPr="00B740B4">
        <w:rPr>
          <w:rFonts w:eastAsia="Times New Roman"/>
          <w:noProof/>
        </w:rPr>
        <w:t>repetitive MT.</w:t>
      </w:r>
    </w:p>
    <w:p w:rsidR="00584710" w:rsidRPr="00B740B4" w:rsidRDefault="00584710" w:rsidP="00584710">
      <w:pPr>
        <w:rPr>
          <w:rFonts w:eastAsia="Times New Roman"/>
          <w:noProof/>
        </w:rPr>
      </w:pPr>
      <w:r w:rsidRPr="00B740B4">
        <w:rPr>
          <w:rFonts w:eastAsia="Times New Roman"/>
          <w:noProof/>
        </w:rPr>
        <w:t xml:space="preserve">4.a. </w:t>
      </w:r>
      <w:r w:rsidRPr="00B740B4">
        <w:rPr>
          <w:rFonts w:ascii="Arial" w:eastAsia="Times New Roman" w:hAnsi="Arial" w:cs="Arial"/>
          <w:noProof/>
        </w:rPr>
        <w:t>כרוזא</w:t>
      </w:r>
      <w:r w:rsidRPr="00B740B4">
        <w:rPr>
          <w:rFonts w:eastAsia="Times New Roman"/>
          <w:noProof/>
        </w:rPr>
        <w:t xml:space="preserve">, cf. </w:t>
      </w:r>
      <w:r w:rsidR="00340A6B" w:rsidRPr="00B740B4">
        <w:rPr>
          <w:rFonts w:eastAsia="Times New Roman"/>
          <w:noProof/>
        </w:rPr>
        <w:t xml:space="preserve">OP </w:t>
      </w:r>
      <w:r w:rsidR="00340A6B" w:rsidRPr="00B740B4">
        <w:rPr>
          <w:rFonts w:eastAsia="Times New Roman"/>
          <w:i/>
          <w:noProof/>
        </w:rPr>
        <w:t>xrausa</w:t>
      </w:r>
      <w:r w:rsidR="00340A6B" w:rsidRPr="00B740B4">
        <w:rPr>
          <w:rFonts w:eastAsia="Times New Roman"/>
          <w:noProof/>
        </w:rPr>
        <w:t xml:space="preserve">, </w:t>
      </w:r>
      <w:r w:rsidRPr="00B740B4">
        <w:rPr>
          <w:rFonts w:eastAsia="Times New Roman"/>
          <w:noProof/>
        </w:rPr>
        <w:t>Gk. κῆρυξ,</w:t>
      </w:r>
      <w:r w:rsidR="00340A6B" w:rsidRPr="00B740B4">
        <w:rPr>
          <w:rFonts w:eastAsia="MS Mincho"/>
          <w:i/>
          <w:noProof/>
        </w:rPr>
        <w:t xml:space="preserve"> which</w:t>
      </w:r>
      <w:r w:rsidRPr="00B740B4">
        <w:rPr>
          <w:rFonts w:eastAsia="Times New Roman"/>
          <w:noProof/>
        </w:rPr>
        <w:t xml:space="preserve"> may be of oriental origin.</w:t>
      </w:r>
    </w:p>
    <w:p w:rsidR="0021552B" w:rsidRPr="00B740B4" w:rsidRDefault="0021552B" w:rsidP="00584710">
      <w:pPr>
        <w:rPr>
          <w:rFonts w:eastAsia="Times New Roman"/>
          <w:noProof/>
        </w:rPr>
      </w:pPr>
      <w:r w:rsidRPr="00B740B4">
        <w:rPr>
          <w:rFonts w:eastAsia="Times New Roman"/>
          <w:noProof/>
        </w:rPr>
        <w:t xml:space="preserve">4.b. </w:t>
      </w:r>
      <w:r w:rsidR="00C93BE4" w:rsidRPr="00B740B4">
        <w:rPr>
          <w:rFonts w:eastAsia="Times New Roman"/>
          <w:noProof/>
        </w:rPr>
        <w:t>Lit.</w:t>
      </w:r>
      <w:r w:rsidRPr="00B740B4">
        <w:rPr>
          <w:rFonts w:eastAsia="Times New Roman"/>
          <w:noProof/>
        </w:rPr>
        <w:t xml:space="preserve"> “they are saying” (impersonal third pers</w:t>
      </w:r>
      <w:r w:rsidR="003719C4" w:rsidRPr="00B740B4">
        <w:rPr>
          <w:rFonts w:eastAsia="Times New Roman"/>
          <w:noProof/>
        </w:rPr>
        <w:t>on pl.</w:t>
      </w:r>
      <w:r w:rsidRPr="00B740B4">
        <w:rPr>
          <w:rFonts w:eastAsia="Times New Roman"/>
          <w:noProof/>
        </w:rPr>
        <w:t>).</w:t>
      </w:r>
    </w:p>
    <w:p w:rsidR="00584710" w:rsidRPr="00B740B4" w:rsidRDefault="00584710" w:rsidP="00584710">
      <w:pPr>
        <w:rPr>
          <w:rFonts w:eastAsia="Times New Roman"/>
          <w:noProof/>
        </w:rPr>
      </w:pPr>
      <w:r w:rsidRPr="00B740B4">
        <w:rPr>
          <w:rFonts w:eastAsia="Times New Roman"/>
          <w:noProof/>
        </w:rPr>
        <w:t xml:space="preserve">5.a. </w:t>
      </w:r>
      <w:r w:rsidRPr="00B740B4">
        <w:rPr>
          <w:rFonts w:ascii="Arial" w:eastAsia="Times New Roman" w:hAnsi="Arial" w:cs="Arial"/>
          <w:noProof/>
        </w:rPr>
        <w:t>קרנא</w:t>
      </w:r>
      <w:r w:rsidRPr="00B740B4">
        <w:rPr>
          <w:rFonts w:eastAsia="Times New Roman"/>
          <w:noProof/>
        </w:rPr>
        <w:t xml:space="preserve">, ram’s horn (cf. </w:t>
      </w:r>
      <w:r w:rsidRPr="00B740B4">
        <w:rPr>
          <w:rFonts w:ascii="Arial" w:eastAsia="Times New Roman" w:hAnsi="Arial" w:cs="Arial"/>
          <w:noProof/>
        </w:rPr>
        <w:t>שופר</w:t>
      </w:r>
      <w:r w:rsidRPr="00B740B4">
        <w:rPr>
          <w:rFonts w:eastAsia="Times New Roman"/>
          <w:noProof/>
        </w:rPr>
        <w:t>), more a heraldic than a musical instrument.</w:t>
      </w:r>
    </w:p>
    <w:p w:rsidR="00584710" w:rsidRPr="00B740B4" w:rsidRDefault="00584710" w:rsidP="00584710">
      <w:pPr>
        <w:rPr>
          <w:rFonts w:eastAsia="Times New Roman"/>
          <w:noProof/>
        </w:rPr>
      </w:pPr>
      <w:r w:rsidRPr="00B740B4">
        <w:rPr>
          <w:rFonts w:eastAsia="Times New Roman"/>
          <w:noProof/>
        </w:rPr>
        <w:t xml:space="preserve">5.b. </w:t>
      </w:r>
      <w:r w:rsidRPr="00B740B4">
        <w:rPr>
          <w:rFonts w:ascii="Arial" w:eastAsia="Times New Roman" w:hAnsi="Arial" w:cs="Arial"/>
          <w:noProof/>
        </w:rPr>
        <w:t>משרוקיתא</w:t>
      </w:r>
      <w:r w:rsidRPr="00B740B4">
        <w:rPr>
          <w:rFonts w:eastAsia="Times New Roman"/>
          <w:noProof/>
        </w:rPr>
        <w:t xml:space="preserve">: </w:t>
      </w:r>
      <w:r w:rsidRPr="00B740B4">
        <w:rPr>
          <w:rFonts w:ascii="Arial" w:eastAsia="Times New Roman" w:hAnsi="Arial" w:cs="Arial"/>
          <w:noProof/>
        </w:rPr>
        <w:t>שרק</w:t>
      </w:r>
      <w:r w:rsidRPr="00B740B4">
        <w:rPr>
          <w:rFonts w:eastAsia="Times New Roman"/>
          <w:noProof/>
        </w:rPr>
        <w:t xml:space="preserve"> “hiss</w:t>
      </w:r>
      <w:r w:rsidR="00E8475A" w:rsidRPr="00B740B4">
        <w:rPr>
          <w:rFonts w:eastAsia="Times New Roman"/>
          <w:noProof/>
        </w:rPr>
        <w:t>” (onomatopoeic?) suggests a wh</w:t>
      </w:r>
      <w:r w:rsidRPr="00B740B4">
        <w:rPr>
          <w:rFonts w:eastAsia="Times New Roman"/>
          <w:noProof/>
        </w:rPr>
        <w:t>i</w:t>
      </w:r>
      <w:r w:rsidR="00E8475A" w:rsidRPr="00B740B4">
        <w:rPr>
          <w:rFonts w:eastAsia="Times New Roman"/>
          <w:noProof/>
        </w:rPr>
        <w:t>s</w:t>
      </w:r>
      <w:r w:rsidRPr="00B740B4">
        <w:rPr>
          <w:rFonts w:eastAsia="Times New Roman"/>
          <w:noProof/>
        </w:rPr>
        <w:t>tle or shepherd’s pipe (cf. Judg 5:16).</w:t>
      </w:r>
    </w:p>
    <w:p w:rsidR="00584710" w:rsidRPr="00B740B4" w:rsidRDefault="00584710" w:rsidP="00584710">
      <w:pPr>
        <w:rPr>
          <w:rFonts w:eastAsia="Times New Roman"/>
          <w:noProof/>
        </w:rPr>
      </w:pPr>
      <w:r w:rsidRPr="00B740B4">
        <w:rPr>
          <w:rFonts w:eastAsia="Times New Roman"/>
          <w:noProof/>
        </w:rPr>
        <w:t xml:space="preserve">5.c. </w:t>
      </w:r>
      <w:r w:rsidRPr="00B740B4">
        <w:rPr>
          <w:rFonts w:ascii="Arial" w:eastAsia="Times New Roman" w:hAnsi="Arial" w:cs="Arial"/>
          <w:noProof/>
        </w:rPr>
        <w:t>רוס</w:t>
      </w:r>
      <w:r w:rsidR="00D0595B" w:rsidRPr="00B740B4">
        <w:rPr>
          <w:rFonts w:ascii="Arial" w:eastAsia="Times New Roman" w:hAnsi="Arial" w:cs="Arial"/>
          <w:noProof/>
        </w:rPr>
        <w:t>ת</w:t>
      </w:r>
      <w:r w:rsidRPr="00B740B4">
        <w:rPr>
          <w:rFonts w:ascii="Arial" w:eastAsia="Times New Roman" w:hAnsi="Arial" w:cs="Arial"/>
          <w:noProof/>
        </w:rPr>
        <w:t>קי</w:t>
      </w:r>
      <w:r w:rsidRPr="00B740B4">
        <w:rPr>
          <w:rFonts w:eastAsia="Times New Roman"/>
          <w:noProof/>
        </w:rPr>
        <w:t xml:space="preserve"> corresponds to κί</w:t>
      </w:r>
      <w:r w:rsidR="006236A3" w:rsidRPr="00B740B4">
        <w:rPr>
          <w:rFonts w:eastAsia="Times New Roman"/>
          <w:noProof/>
          <w:lang w:val="el-GR"/>
        </w:rPr>
        <w:t>θ</w:t>
      </w:r>
      <w:r w:rsidRPr="00B740B4">
        <w:rPr>
          <w:rFonts w:eastAsia="Times New Roman"/>
          <w:noProof/>
        </w:rPr>
        <w:t xml:space="preserve">αρις; it is unclear whether it </w:t>
      </w:r>
      <w:r w:rsidR="007E16CD" w:rsidRPr="00B740B4">
        <w:rPr>
          <w:rFonts w:eastAsia="Times New Roman"/>
          <w:noProof/>
        </w:rPr>
        <w:t>is originally a G</w:t>
      </w:r>
      <w:r w:rsidR="00E43525" w:rsidRPr="00B740B4">
        <w:rPr>
          <w:rFonts w:eastAsia="Times New Roman"/>
          <w:noProof/>
        </w:rPr>
        <w:t>k.</w:t>
      </w:r>
      <w:r w:rsidR="007E16CD" w:rsidRPr="00B740B4">
        <w:rPr>
          <w:rFonts w:eastAsia="Times New Roman"/>
          <w:noProof/>
        </w:rPr>
        <w:t xml:space="preserve"> or Semitic</w:t>
      </w:r>
      <w:r w:rsidR="003719C4" w:rsidRPr="00B740B4">
        <w:rPr>
          <w:rFonts w:eastAsia="Times New Roman"/>
          <w:noProof/>
        </w:rPr>
        <w:t xml:space="preserve"> word. I</w:t>
      </w:r>
      <w:r w:rsidR="00E8475A" w:rsidRPr="00B740B4">
        <w:rPr>
          <w:rFonts w:eastAsia="Times New Roman"/>
          <w:noProof/>
        </w:rPr>
        <w:t>t refers to something</w:t>
      </w:r>
      <w:r w:rsidRPr="00B740B4">
        <w:rPr>
          <w:rFonts w:eastAsia="Times New Roman"/>
          <w:noProof/>
        </w:rPr>
        <w:t xml:space="preserve"> li</w:t>
      </w:r>
      <w:r w:rsidR="00E8475A" w:rsidRPr="00B740B4">
        <w:rPr>
          <w:rFonts w:eastAsia="Times New Roman"/>
          <w:noProof/>
        </w:rPr>
        <w:t>ke a lyre or guitar (which etymologically derives from words such as κί</w:t>
      </w:r>
      <w:r w:rsidR="00E8475A" w:rsidRPr="00B740B4">
        <w:rPr>
          <w:rFonts w:eastAsia="Times New Roman"/>
          <w:noProof/>
          <w:lang w:val="el-GR"/>
        </w:rPr>
        <w:t>θ</w:t>
      </w:r>
      <w:r w:rsidR="00E8475A" w:rsidRPr="00B740B4">
        <w:rPr>
          <w:rFonts w:eastAsia="Times New Roman"/>
          <w:noProof/>
        </w:rPr>
        <w:t>αρις).</w:t>
      </w:r>
    </w:p>
    <w:p w:rsidR="00584710" w:rsidRPr="00B740B4" w:rsidRDefault="00584710" w:rsidP="00584710">
      <w:pPr>
        <w:rPr>
          <w:rFonts w:eastAsia="Times New Roman"/>
          <w:noProof/>
        </w:rPr>
      </w:pPr>
      <w:r w:rsidRPr="00B740B4">
        <w:rPr>
          <w:rFonts w:eastAsia="Times New Roman"/>
          <w:noProof/>
        </w:rPr>
        <w:t xml:space="preserve">5.d. </w:t>
      </w:r>
      <w:r w:rsidRPr="00B740B4">
        <w:rPr>
          <w:rFonts w:ascii="Arial" w:eastAsia="Times New Roman" w:hAnsi="Arial" w:cs="Arial"/>
          <w:noProof/>
        </w:rPr>
        <w:t>סבכא</w:t>
      </w:r>
      <w:r w:rsidR="007E16CD" w:rsidRPr="00B740B4">
        <w:rPr>
          <w:rFonts w:eastAsia="Times New Roman"/>
          <w:noProof/>
        </w:rPr>
        <w:t>, a Semitic</w:t>
      </w:r>
      <w:r w:rsidRPr="00B740B4">
        <w:rPr>
          <w:rFonts w:eastAsia="Times New Roman"/>
          <w:noProof/>
        </w:rPr>
        <w:t xml:space="preserve"> word to denote an instrument of Asian origin, a triangular harp with four or more strings, played for entertainment (Athen</w:t>
      </w:r>
      <w:r w:rsidR="006D7923" w:rsidRPr="00B740B4">
        <w:rPr>
          <w:rFonts w:eastAsia="Times New Roman"/>
          <w:noProof/>
        </w:rPr>
        <w:t>a</w:t>
      </w:r>
      <w:r w:rsidRPr="00B740B4">
        <w:rPr>
          <w:rFonts w:eastAsia="Times New Roman"/>
          <w:noProof/>
        </w:rPr>
        <w:t>eus</w:t>
      </w:r>
      <w:r w:rsidR="005E55CB" w:rsidRPr="00B740B4">
        <w:rPr>
          <w:rFonts w:eastAsia="Times New Roman"/>
          <w:noProof/>
        </w:rPr>
        <w:t>,</w:t>
      </w:r>
      <w:r w:rsidRPr="00B740B4">
        <w:rPr>
          <w:rFonts w:eastAsia="Times New Roman"/>
          <w:noProof/>
        </w:rPr>
        <w:t xml:space="preserve"> </w:t>
      </w:r>
      <w:r w:rsidR="005E55CB" w:rsidRPr="00B740B4">
        <w:rPr>
          <w:rFonts w:eastAsia="Times New Roman"/>
          <w:i/>
          <w:noProof/>
        </w:rPr>
        <w:t xml:space="preserve">Deipnosophistae </w:t>
      </w:r>
      <w:r w:rsidR="005E55CB" w:rsidRPr="00B740B4">
        <w:rPr>
          <w:rFonts w:eastAsia="Times New Roman"/>
          <w:noProof/>
        </w:rPr>
        <w:t xml:space="preserve">4.175de; </w:t>
      </w:r>
      <w:r w:rsidRPr="00B740B4">
        <w:rPr>
          <w:rFonts w:eastAsia="Times New Roman"/>
          <w:noProof/>
        </w:rPr>
        <w:t xml:space="preserve">Macrobius, </w:t>
      </w:r>
      <w:r w:rsidRPr="00B740B4">
        <w:rPr>
          <w:rFonts w:eastAsia="Times New Roman"/>
          <w:i/>
          <w:noProof/>
        </w:rPr>
        <w:t>Saturnalia</w:t>
      </w:r>
      <w:r w:rsidR="005E55CB" w:rsidRPr="00B740B4">
        <w:rPr>
          <w:rFonts w:eastAsia="Times New Roman"/>
          <w:noProof/>
        </w:rPr>
        <w:t xml:space="preserve"> </w:t>
      </w:r>
      <w:r w:rsidRPr="00B740B4">
        <w:rPr>
          <w:rFonts w:eastAsia="Times New Roman"/>
          <w:noProof/>
        </w:rPr>
        <w:t>3.14.7).</w:t>
      </w:r>
    </w:p>
    <w:p w:rsidR="00584710" w:rsidRPr="00B740B4" w:rsidRDefault="00584710" w:rsidP="00584710">
      <w:pPr>
        <w:rPr>
          <w:rFonts w:eastAsia="Times New Roman"/>
          <w:noProof/>
        </w:rPr>
      </w:pPr>
      <w:r w:rsidRPr="00B740B4">
        <w:rPr>
          <w:rFonts w:eastAsia="Times New Roman"/>
          <w:noProof/>
        </w:rPr>
        <w:t xml:space="preserve">5.e. </w:t>
      </w:r>
      <w:r w:rsidRPr="00B740B4">
        <w:rPr>
          <w:rFonts w:ascii="Arial" w:eastAsia="Times New Roman" w:hAnsi="Arial" w:cs="Arial"/>
          <w:noProof/>
        </w:rPr>
        <w:t>פסנתרין</w:t>
      </w:r>
      <w:r w:rsidR="006918A1">
        <w:rPr>
          <w:rFonts w:eastAsia="Times New Roman"/>
          <w:noProof/>
        </w:rPr>
        <w:t xml:space="preserve"> corresponds to ψαλτηρίον (from </w:t>
      </w:r>
      <w:r w:rsidRPr="00B740B4">
        <w:rPr>
          <w:rFonts w:eastAsia="Times New Roman"/>
          <w:noProof/>
        </w:rPr>
        <w:t>ψάλλω “pluck</w:t>
      </w:r>
      <w:r w:rsidR="005E55CB" w:rsidRPr="00B740B4">
        <w:rPr>
          <w:rFonts w:eastAsia="Times New Roman"/>
          <w:noProof/>
        </w:rPr>
        <w:t xml:space="preserve">”), another oriental triangular </w:t>
      </w:r>
      <w:r w:rsidRPr="00B740B4">
        <w:rPr>
          <w:rFonts w:eastAsia="Times New Roman"/>
          <w:noProof/>
        </w:rPr>
        <w:t xml:space="preserve">stringed instrument, with a sounding board, </w:t>
      </w:r>
      <w:r w:rsidR="005E55CB" w:rsidRPr="00B740B4">
        <w:rPr>
          <w:rFonts w:eastAsia="Times New Roman"/>
          <w:noProof/>
        </w:rPr>
        <w:t>played for entertainment (</w:t>
      </w:r>
      <w:r w:rsidRPr="00B740B4">
        <w:rPr>
          <w:rFonts w:eastAsia="Times New Roman"/>
          <w:noProof/>
        </w:rPr>
        <w:t xml:space="preserve">Macrobius [see n. 5.d]; mentioned earlier in Aristotle, </w:t>
      </w:r>
      <w:r w:rsidRPr="00B740B4">
        <w:rPr>
          <w:rFonts w:eastAsia="Times New Roman"/>
          <w:i/>
          <w:noProof/>
        </w:rPr>
        <w:t>Problemata</w:t>
      </w:r>
      <w:r w:rsidRPr="00B740B4">
        <w:rPr>
          <w:rFonts w:eastAsia="Times New Roman"/>
          <w:noProof/>
        </w:rPr>
        <w:t xml:space="preserve"> 919b).</w:t>
      </w:r>
    </w:p>
    <w:p w:rsidR="00584710" w:rsidRPr="00B740B4" w:rsidRDefault="00584710" w:rsidP="00584710">
      <w:pPr>
        <w:rPr>
          <w:rFonts w:eastAsia="Times New Roman"/>
          <w:noProof/>
        </w:rPr>
      </w:pPr>
      <w:r w:rsidRPr="00B740B4">
        <w:rPr>
          <w:rFonts w:eastAsia="Times New Roman"/>
          <w:noProof/>
        </w:rPr>
        <w:t xml:space="preserve">5.f. </w:t>
      </w:r>
      <w:r w:rsidRPr="00B740B4">
        <w:rPr>
          <w:rFonts w:ascii="Arial" w:eastAsia="Times New Roman" w:hAnsi="Arial" w:cs="Arial"/>
          <w:noProof/>
        </w:rPr>
        <w:t>סומפניה</w:t>
      </w:r>
      <w:r w:rsidR="005E55CB" w:rsidRPr="00B740B4">
        <w:rPr>
          <w:rFonts w:eastAsia="Times New Roman"/>
          <w:noProof/>
        </w:rPr>
        <w:t xml:space="preserve"> corresponds to συ</w:t>
      </w:r>
      <w:r w:rsidR="005E55CB" w:rsidRPr="00B740B4">
        <w:rPr>
          <w:rFonts w:eastAsia="Times New Roman"/>
          <w:noProof/>
          <w:lang w:val="el-GR"/>
        </w:rPr>
        <w:t>μφ</w:t>
      </w:r>
      <w:r w:rsidRPr="00B740B4">
        <w:rPr>
          <w:rFonts w:eastAsia="Times New Roman"/>
          <w:noProof/>
        </w:rPr>
        <w:t>ωνία. It can denote ensemble playing, here indicating the ins</w:t>
      </w:r>
      <w:r w:rsidR="005E55CB" w:rsidRPr="00B740B4">
        <w:rPr>
          <w:rFonts w:eastAsia="Times New Roman"/>
          <w:noProof/>
        </w:rPr>
        <w:t xml:space="preserve">truments playing together after </w:t>
      </w:r>
      <w:r w:rsidRPr="00B740B4">
        <w:rPr>
          <w:rFonts w:eastAsia="Times New Roman"/>
          <w:noProof/>
        </w:rPr>
        <w:t xml:space="preserve">each plays individually, in accordance with common practice. Later it can refer to a particular instrument, perhaps </w:t>
      </w:r>
      <w:r w:rsidR="005E55CB" w:rsidRPr="00B740B4">
        <w:rPr>
          <w:rFonts w:eastAsia="Times New Roman"/>
          <w:noProof/>
        </w:rPr>
        <w:t xml:space="preserve">a </w:t>
      </w:r>
      <w:r w:rsidR="00CD7B1E" w:rsidRPr="00B740B4">
        <w:rPr>
          <w:rFonts w:eastAsia="Times New Roman"/>
          <w:noProof/>
        </w:rPr>
        <w:t>tambourine (Mitchell)</w:t>
      </w:r>
      <w:r w:rsidRPr="00B740B4">
        <w:rPr>
          <w:rFonts w:eastAsia="Times New Roman"/>
          <w:noProof/>
        </w:rPr>
        <w:t>. When Antiochus E</w:t>
      </w:r>
      <w:r w:rsidR="005E55CB" w:rsidRPr="00B740B4">
        <w:rPr>
          <w:rFonts w:eastAsia="Times New Roman"/>
          <w:noProof/>
        </w:rPr>
        <w:t>piphanes revels to the συ</w:t>
      </w:r>
      <w:r w:rsidR="005E55CB" w:rsidRPr="00B740B4">
        <w:rPr>
          <w:rFonts w:eastAsia="Times New Roman"/>
          <w:noProof/>
          <w:lang w:val="el-GR"/>
        </w:rPr>
        <w:t>μφ</w:t>
      </w:r>
      <w:r w:rsidR="005E55CB" w:rsidRPr="00B740B4">
        <w:rPr>
          <w:rFonts w:eastAsia="Times New Roman"/>
          <w:noProof/>
        </w:rPr>
        <w:t>ωνία</w:t>
      </w:r>
      <w:r w:rsidRPr="00B740B4">
        <w:rPr>
          <w:rFonts w:eastAsia="Times New Roman"/>
          <w:noProof/>
        </w:rPr>
        <w:t xml:space="preserve"> (Polybius 26.1.4), it could have either meaning. Its omission in v 7 (whether original or not) is more natural if it is taken to refer to playing together; it would be less dispensable if it referred to a specific instrument.</w:t>
      </w:r>
      <w:r w:rsidR="000E2089" w:rsidRPr="00B740B4">
        <w:rPr>
          <w:rFonts w:eastAsia="Times New Roman"/>
          <w:noProof/>
        </w:rPr>
        <w:t xml:space="preserve"> In contrast with</w:t>
      </w:r>
      <w:r w:rsidR="003719C4" w:rsidRPr="00B740B4">
        <w:rPr>
          <w:rFonts w:eastAsia="Times New Roman"/>
          <w:noProof/>
        </w:rPr>
        <w:t xml:space="preserve"> the list in </w:t>
      </w:r>
      <w:r w:rsidR="00AF422C">
        <w:rPr>
          <w:rFonts w:eastAsia="Times New Roman"/>
          <w:noProof/>
        </w:rPr>
        <w:t>v</w:t>
      </w:r>
      <w:r w:rsidR="003719C4" w:rsidRPr="00B740B4">
        <w:rPr>
          <w:rFonts w:eastAsia="Times New Roman"/>
          <w:noProof/>
        </w:rPr>
        <w:t xml:space="preserve"> 2, several Gk. w</w:t>
      </w:r>
      <w:r w:rsidR="000E2089" w:rsidRPr="00B740B4">
        <w:rPr>
          <w:rFonts w:eastAsia="Times New Roman"/>
          <w:noProof/>
        </w:rPr>
        <w:t>ords come in this list.</w:t>
      </w:r>
    </w:p>
    <w:p w:rsidR="00584710" w:rsidRPr="00B740B4" w:rsidRDefault="00584710" w:rsidP="00584710">
      <w:pPr>
        <w:rPr>
          <w:rFonts w:eastAsia="Times New Roman"/>
          <w:noProof/>
        </w:rPr>
      </w:pPr>
      <w:r w:rsidRPr="00B740B4">
        <w:rPr>
          <w:rFonts w:eastAsia="Times New Roman"/>
          <w:noProof/>
        </w:rPr>
        <w:t xml:space="preserve">5.g-g. </w:t>
      </w:r>
      <w:r w:rsidR="00C93BE4" w:rsidRPr="00B740B4">
        <w:rPr>
          <w:rFonts w:eastAsia="Times New Roman"/>
          <w:noProof/>
        </w:rPr>
        <w:t>Lit.</w:t>
      </w:r>
      <w:r w:rsidR="005E55CB" w:rsidRPr="00B740B4">
        <w:rPr>
          <w:rFonts w:eastAsia="Times New Roman"/>
          <w:noProof/>
        </w:rPr>
        <w:t xml:space="preserve">, </w:t>
      </w:r>
      <w:r w:rsidRPr="00B740B4">
        <w:rPr>
          <w:rFonts w:eastAsia="Times New Roman"/>
          <w:noProof/>
        </w:rPr>
        <w:t>“fal</w:t>
      </w:r>
      <w:r w:rsidR="00B338A6">
        <w:rPr>
          <w:rFonts w:eastAsia="Times New Roman"/>
          <w:noProof/>
        </w:rPr>
        <w:t>l and bow down”: see n. 2:46.a.</w:t>
      </w:r>
    </w:p>
    <w:p w:rsidR="00584710" w:rsidRPr="00B740B4" w:rsidRDefault="008B6686" w:rsidP="00584710">
      <w:pPr>
        <w:rPr>
          <w:rFonts w:eastAsia="Times New Roman"/>
          <w:noProof/>
        </w:rPr>
      </w:pPr>
      <w:r>
        <w:rPr>
          <w:rFonts w:eastAsia="Times New Roman"/>
          <w:noProof/>
        </w:rPr>
        <w:t xml:space="preserve">7.a. Some medieval </w:t>
      </w:r>
      <w:r w:rsidRPr="008B6686">
        <w:rPr>
          <w:rFonts w:eastAsia="Times New Roman"/>
          <w:noProof/>
        </w:rPr>
        <w:t>mss</w:t>
      </w:r>
      <w:r w:rsidR="00DC4B1F" w:rsidRPr="00B740B4">
        <w:rPr>
          <w:rFonts w:eastAsia="Times New Roman"/>
          <w:noProof/>
        </w:rPr>
        <w:t xml:space="preserve">, Th, and Vg </w:t>
      </w:r>
      <w:r w:rsidR="00584710" w:rsidRPr="00B740B4">
        <w:rPr>
          <w:rFonts w:eastAsia="Times New Roman"/>
          <w:noProof/>
        </w:rPr>
        <w:t xml:space="preserve">add </w:t>
      </w:r>
      <w:r w:rsidR="00584710" w:rsidRPr="00B740B4">
        <w:rPr>
          <w:rFonts w:ascii="Arial" w:eastAsia="Times New Roman" w:hAnsi="Arial" w:cs="Arial"/>
          <w:noProof/>
        </w:rPr>
        <w:t>וסומפניא</w:t>
      </w:r>
      <w:r w:rsidR="00584710" w:rsidRPr="00B740B4">
        <w:rPr>
          <w:rFonts w:eastAsia="Times New Roman"/>
          <w:noProof/>
        </w:rPr>
        <w:t xml:space="preserve"> “and the e</w:t>
      </w:r>
      <w:r w:rsidR="005E55CB" w:rsidRPr="00B740B4">
        <w:rPr>
          <w:rFonts w:eastAsia="Times New Roman"/>
          <w:noProof/>
        </w:rPr>
        <w:t>nsemble”</w:t>
      </w:r>
      <w:r w:rsidR="00A62C65" w:rsidRPr="00B740B4">
        <w:rPr>
          <w:rFonts w:eastAsia="Times New Roman"/>
          <w:noProof/>
        </w:rPr>
        <w:t xml:space="preserve">; </w:t>
      </w:r>
      <w:r w:rsidR="00584710" w:rsidRPr="00B740B4">
        <w:rPr>
          <w:rFonts w:eastAsia="Times New Roman"/>
          <w:noProof/>
        </w:rPr>
        <w:t>more likely assimilation to vv 5, 10, 15 than original here.</w:t>
      </w:r>
      <w:r w:rsidR="00D85859" w:rsidRPr="00B740B4">
        <w:rPr>
          <w:rFonts w:eastAsia="Times New Roman"/>
          <w:noProof/>
        </w:rPr>
        <w:t xml:space="preserve"> </w:t>
      </w:r>
    </w:p>
    <w:p w:rsidR="00584710" w:rsidRPr="00B740B4" w:rsidRDefault="00504E9A" w:rsidP="00584710">
      <w:pPr>
        <w:rPr>
          <w:rFonts w:eastAsia="Times New Roman"/>
          <w:noProof/>
        </w:rPr>
      </w:pPr>
      <w:r w:rsidRPr="00B740B4">
        <w:rPr>
          <w:rFonts w:eastAsia="Times New Roman"/>
          <w:noProof/>
        </w:rPr>
        <w:lastRenderedPageBreak/>
        <w:t>7.b. Taking the participles</w:t>
      </w:r>
      <w:r w:rsidR="00584710" w:rsidRPr="00B740B4">
        <w:rPr>
          <w:rFonts w:eastAsia="Times New Roman"/>
          <w:noProof/>
        </w:rPr>
        <w:t xml:space="preserve"> </w:t>
      </w:r>
      <w:r w:rsidR="00584710" w:rsidRPr="00B740B4">
        <w:rPr>
          <w:rFonts w:ascii="Arial" w:eastAsia="Times New Roman" w:hAnsi="Arial" w:cs="Arial"/>
          <w:noProof/>
        </w:rPr>
        <w:t>סגדין</w:t>
      </w:r>
      <w:r w:rsidR="00584710" w:rsidRPr="00B740B4">
        <w:rPr>
          <w:rFonts w:eastAsia="Times New Roman"/>
          <w:noProof/>
        </w:rPr>
        <w:t xml:space="preserve"> . . . </w:t>
      </w:r>
      <w:r w:rsidR="00584710" w:rsidRPr="00B740B4">
        <w:rPr>
          <w:rFonts w:ascii="Arial" w:eastAsia="Times New Roman" w:hAnsi="Arial" w:cs="Arial"/>
          <w:noProof/>
        </w:rPr>
        <w:t>נפלין</w:t>
      </w:r>
      <w:r w:rsidR="00A62C65" w:rsidRPr="00B740B4">
        <w:rPr>
          <w:rFonts w:eastAsia="Times New Roman"/>
          <w:noProof/>
        </w:rPr>
        <w:t xml:space="preserve"> to have imperfect</w:t>
      </w:r>
      <w:r w:rsidRPr="00B740B4">
        <w:rPr>
          <w:rFonts w:eastAsia="Times New Roman"/>
          <w:noProof/>
        </w:rPr>
        <w:t xml:space="preserve"> meaning, though BA participles</w:t>
      </w:r>
      <w:r w:rsidR="00584710" w:rsidRPr="00B740B4">
        <w:rPr>
          <w:rFonts w:eastAsia="Times New Roman"/>
          <w:noProof/>
        </w:rPr>
        <w:t xml:space="preserve"> often have aorist meaning, and the context could refer to one occasion. See BL 81n.</w:t>
      </w:r>
    </w:p>
    <w:p w:rsidR="00584710" w:rsidRPr="00EE1B8D" w:rsidRDefault="00584710" w:rsidP="00584710">
      <w:pPr>
        <w:rPr>
          <w:rFonts w:eastAsia="Times New Roman"/>
          <w:noProof/>
        </w:rPr>
      </w:pPr>
      <w:r w:rsidRPr="00B740B4">
        <w:rPr>
          <w:rFonts w:eastAsia="Times New Roman"/>
          <w:noProof/>
        </w:rPr>
        <w:t>8.a.</w:t>
      </w:r>
      <w:r w:rsidR="00331930">
        <w:rPr>
          <w:rFonts w:eastAsia="Times New Roman"/>
          <w:noProof/>
        </w:rPr>
        <w:t xml:space="preserve"> Th, Syr lack</w:t>
      </w:r>
      <w:r w:rsidRPr="00B740B4">
        <w:rPr>
          <w:rFonts w:eastAsia="Times New Roman"/>
          <w:noProof/>
        </w:rPr>
        <w:t xml:space="preserve"> </w:t>
      </w:r>
      <w:r w:rsidRPr="00B740B4">
        <w:rPr>
          <w:rFonts w:ascii="Arial" w:eastAsia="Times New Roman" w:hAnsi="Arial" w:cs="Arial"/>
          <w:noProof/>
        </w:rPr>
        <w:t>דנה</w:t>
      </w:r>
      <w:r w:rsidR="00EE1B8D">
        <w:rPr>
          <w:rFonts w:ascii="Arial" w:eastAsia="Times New Roman" w:hAnsi="Arial" w:cs="Arial"/>
          <w:noProof/>
        </w:rPr>
        <w:t xml:space="preserve"> </w:t>
      </w:r>
      <w:r w:rsidR="00EE1B8D" w:rsidRPr="00EE1B8D">
        <w:rPr>
          <w:rFonts w:ascii="Arial" w:eastAsia="Times New Roman" w:hAnsi="Arial" w:cs="Arial"/>
          <w:noProof/>
        </w:rPr>
        <w:t>ל</w:t>
      </w:r>
      <w:r w:rsidR="00EE1B8D">
        <w:rPr>
          <w:rFonts w:ascii="Arial" w:eastAsia="Times New Roman" w:hAnsi="Arial" w:cs="Arial"/>
          <w:noProof/>
        </w:rPr>
        <w:t xml:space="preserve"> </w:t>
      </w:r>
      <w:r w:rsidR="00EE1B8D" w:rsidRPr="00EE1B8D">
        <w:rPr>
          <w:rFonts w:ascii="Arial" w:eastAsia="Times New Roman" w:hAnsi="Arial" w:cs="Arial"/>
          <w:noProof/>
        </w:rPr>
        <w:t>ב</w:t>
      </w:r>
      <w:r w:rsidR="00251199">
        <w:rPr>
          <w:rFonts w:eastAsia="Times New Roman"/>
          <w:noProof/>
        </w:rPr>
        <w:t xml:space="preserve"> </w:t>
      </w:r>
      <w:r w:rsidR="00EE1B8D" w:rsidRPr="00EE1B8D">
        <w:rPr>
          <w:rFonts w:ascii="Arial" w:eastAsia="Times New Roman" w:hAnsi="Arial" w:cs="Arial"/>
          <w:noProof/>
        </w:rPr>
        <w:t>ק</w:t>
      </w:r>
      <w:r w:rsidR="00EE1B8D">
        <w:rPr>
          <w:rFonts w:eastAsia="Times New Roman"/>
          <w:noProof/>
        </w:rPr>
        <w:t xml:space="preserve"> </w:t>
      </w:r>
      <w:r w:rsidR="00EE1B8D" w:rsidRPr="00EE1B8D">
        <w:rPr>
          <w:rFonts w:ascii="Arial" w:eastAsia="Times New Roman" w:hAnsi="Arial" w:cs="Arial"/>
          <w:noProof/>
        </w:rPr>
        <w:t>כל</w:t>
      </w:r>
      <w:r w:rsidR="00EE1B8D" w:rsidRPr="00EE1B8D">
        <w:rPr>
          <w:rFonts w:eastAsia="Times New Roman"/>
          <w:noProof/>
        </w:rPr>
        <w:t xml:space="preserve"> </w:t>
      </w:r>
      <w:r w:rsidR="00251199">
        <w:rPr>
          <w:rFonts w:eastAsia="Times New Roman"/>
          <w:noProof/>
        </w:rPr>
        <w:t>“so”</w:t>
      </w:r>
      <w:r w:rsidRPr="00B740B4">
        <w:rPr>
          <w:rFonts w:eastAsia="Times New Roman"/>
          <w:noProof/>
        </w:rPr>
        <w:t xml:space="preserve"> (OG links it </w:t>
      </w:r>
      <w:r w:rsidR="00251199">
        <w:rPr>
          <w:rFonts w:eastAsia="Times New Roman"/>
          <w:noProof/>
        </w:rPr>
        <w:t>to v 7</w:t>
      </w:r>
      <w:r w:rsidR="00EE1B8D">
        <w:rPr>
          <w:rFonts w:eastAsia="Times New Roman"/>
          <w:noProof/>
        </w:rPr>
        <w:t>), which</w:t>
      </w:r>
      <w:r w:rsidR="00251199">
        <w:rPr>
          <w:rFonts w:eastAsia="Times New Roman"/>
          <w:noProof/>
        </w:rPr>
        <w:t xml:space="preserve"> could be</w:t>
      </w:r>
      <w:r w:rsidRPr="00B740B4">
        <w:rPr>
          <w:rFonts w:eastAsia="Times New Roman"/>
          <w:noProof/>
        </w:rPr>
        <w:t xml:space="preserve"> dittog</w:t>
      </w:r>
      <w:r w:rsidR="00A74543">
        <w:rPr>
          <w:rFonts w:eastAsia="Times New Roman"/>
          <w:noProof/>
        </w:rPr>
        <w:t>.</w:t>
      </w:r>
      <w:r w:rsidR="00EE1B8D">
        <w:rPr>
          <w:rFonts w:eastAsia="Times New Roman"/>
          <w:noProof/>
        </w:rPr>
        <w:t xml:space="preserve"> from v 7</w:t>
      </w:r>
      <w:r w:rsidRPr="00B740B4">
        <w:rPr>
          <w:rFonts w:eastAsia="Times New Roman"/>
          <w:noProof/>
        </w:rPr>
        <w:t xml:space="preserve"> where it is also followed by </w:t>
      </w:r>
      <w:r w:rsidRPr="00B740B4">
        <w:rPr>
          <w:rFonts w:ascii="Arial" w:eastAsia="Times New Roman" w:hAnsi="Arial" w:cs="Arial"/>
          <w:noProof/>
        </w:rPr>
        <w:t>זמנא</w:t>
      </w:r>
      <w:r w:rsidRPr="00B740B4">
        <w:rPr>
          <w:rFonts w:eastAsia="Times New Roman"/>
          <w:noProof/>
        </w:rPr>
        <w:t xml:space="preserve"> </w:t>
      </w:r>
      <w:r w:rsidR="00251199" w:rsidRPr="00251199">
        <w:rPr>
          <w:rFonts w:ascii="Arial" w:eastAsia="Times New Roman" w:hAnsi="Arial" w:cs="Arial"/>
          <w:noProof/>
        </w:rPr>
        <w:t>בה</w:t>
      </w:r>
      <w:r w:rsidR="00251199" w:rsidRPr="00251199">
        <w:rPr>
          <w:rFonts w:eastAsia="Times New Roman"/>
          <w:noProof/>
        </w:rPr>
        <w:t xml:space="preserve"> </w:t>
      </w:r>
      <w:r w:rsidRPr="00B740B4">
        <w:rPr>
          <w:rFonts w:eastAsia="Times New Roman"/>
          <w:noProof/>
        </w:rPr>
        <w:t>“</w:t>
      </w:r>
      <w:r w:rsidR="00251199">
        <w:rPr>
          <w:rFonts w:eastAsia="Times New Roman"/>
          <w:noProof/>
        </w:rPr>
        <w:t>at the moment that</w:t>
      </w:r>
      <w:r w:rsidR="00331930">
        <w:rPr>
          <w:rFonts w:eastAsia="Times New Roman"/>
          <w:noProof/>
        </w:rPr>
        <w:t xml:space="preserve">,” but is </w:t>
      </w:r>
      <w:r w:rsidR="00EE1B8D">
        <w:rPr>
          <w:rFonts w:eastAsia="Times New Roman"/>
          <w:noProof/>
        </w:rPr>
        <w:t>more like</w:t>
      </w:r>
      <w:r w:rsidR="00331930">
        <w:rPr>
          <w:rFonts w:eastAsia="Times New Roman"/>
          <w:noProof/>
        </w:rPr>
        <w:t>ly</w:t>
      </w:r>
      <w:r w:rsidR="00EE1B8D">
        <w:rPr>
          <w:rFonts w:eastAsia="Times New Roman"/>
          <w:noProof/>
        </w:rPr>
        <w:t xml:space="preserve"> an omission on the basis of unclarity about the logic of the “so” (see </w:t>
      </w:r>
      <w:r w:rsidR="00EE1B8D">
        <w:rPr>
          <w:rFonts w:eastAsia="Times New Roman"/>
          <w:i/>
          <w:noProof/>
        </w:rPr>
        <w:t>Comment</w:t>
      </w:r>
      <w:r w:rsidR="00EE1B8D">
        <w:rPr>
          <w:rFonts w:eastAsia="Times New Roman"/>
          <w:noProof/>
        </w:rPr>
        <w:t>).</w:t>
      </w:r>
    </w:p>
    <w:p w:rsidR="00584710" w:rsidRPr="00B740B4" w:rsidRDefault="00584710" w:rsidP="00584710">
      <w:pPr>
        <w:rPr>
          <w:rFonts w:eastAsia="Times New Roman"/>
          <w:noProof/>
        </w:rPr>
      </w:pPr>
      <w:r w:rsidRPr="00B740B4">
        <w:rPr>
          <w:rFonts w:eastAsia="Times New Roman"/>
          <w:noProof/>
        </w:rPr>
        <w:t>8.b.</w:t>
      </w:r>
      <w:r w:rsidR="007E16CD" w:rsidRPr="00B740B4">
        <w:rPr>
          <w:rFonts w:eastAsia="Times New Roman"/>
          <w:noProof/>
        </w:rPr>
        <w:t xml:space="preserve"> </w:t>
      </w:r>
      <w:r w:rsidR="007E16CD" w:rsidRPr="00B740B4">
        <w:rPr>
          <w:rFonts w:ascii="Arial" w:eastAsia="Times New Roman" w:hAnsi="Arial" w:cs="Arial"/>
          <w:noProof/>
        </w:rPr>
        <w:t>די</w:t>
      </w:r>
      <w:r w:rsidRPr="00B740B4">
        <w:rPr>
          <w:rFonts w:eastAsia="Times New Roman"/>
          <w:noProof/>
        </w:rPr>
        <w:t xml:space="preserve"> </w:t>
      </w:r>
      <w:r w:rsidR="007E16CD" w:rsidRPr="00B740B4">
        <w:rPr>
          <w:rFonts w:ascii="Arial" w:eastAsia="Times New Roman" w:hAnsi="Arial" w:cs="Arial"/>
          <w:noProof/>
        </w:rPr>
        <w:t>יהון</w:t>
      </w:r>
      <w:r w:rsidRPr="00B740B4">
        <w:rPr>
          <w:rFonts w:ascii="Arial" w:eastAsia="Times New Roman" w:hAnsi="Arial" w:cs="Arial"/>
          <w:noProof/>
        </w:rPr>
        <w:t>קרצ</w:t>
      </w:r>
      <w:r w:rsidRPr="00B740B4">
        <w:rPr>
          <w:rFonts w:ascii="Calibri" w:eastAsia="Times New Roman" w:hAnsi="Calibri" w:cs="Calibri"/>
          <w:noProof/>
        </w:rPr>
        <w:t>‍</w:t>
      </w:r>
      <w:r w:rsidRPr="00B740B4">
        <w:rPr>
          <w:rFonts w:eastAsia="Times New Roman"/>
          <w:noProof/>
        </w:rPr>
        <w:t xml:space="preserve"> </w:t>
      </w:r>
      <w:r w:rsidR="007E16CD" w:rsidRPr="00B740B4">
        <w:rPr>
          <w:rFonts w:ascii="Arial" w:eastAsia="Times New Roman" w:hAnsi="Arial" w:cs="Arial"/>
          <w:noProof/>
        </w:rPr>
        <w:t>אכלו</w:t>
      </w:r>
      <w:r w:rsidR="007E16CD" w:rsidRPr="00B740B4">
        <w:rPr>
          <w:rFonts w:eastAsia="Times New Roman"/>
          <w:noProof/>
        </w:rPr>
        <w:t xml:space="preserve"> </w:t>
      </w:r>
      <w:r w:rsidRPr="00B740B4">
        <w:rPr>
          <w:rFonts w:eastAsia="Times New Roman"/>
          <w:noProof/>
        </w:rPr>
        <w:t>“ate pieces of,” an Akk. expression for “accusing” (</w:t>
      </w:r>
      <w:r w:rsidRPr="00B740B4">
        <w:rPr>
          <w:rFonts w:eastAsia="Times New Roman"/>
          <w:i/>
          <w:noProof/>
        </w:rPr>
        <w:t>CAD</w:t>
      </w:r>
      <w:r w:rsidRPr="00B740B4">
        <w:rPr>
          <w:rFonts w:eastAsia="Times New Roman"/>
          <w:noProof/>
        </w:rPr>
        <w:t xml:space="preserve"> A, 1:255–56).</w:t>
      </w:r>
    </w:p>
    <w:p w:rsidR="00584710" w:rsidRPr="00B740B4" w:rsidRDefault="00DF6F2A" w:rsidP="00584710">
      <w:pPr>
        <w:rPr>
          <w:rFonts w:eastAsia="Times New Roman"/>
          <w:noProof/>
        </w:rPr>
      </w:pPr>
      <w:r w:rsidRPr="00B740B4">
        <w:rPr>
          <w:rFonts w:eastAsia="Times New Roman"/>
          <w:noProof/>
        </w:rPr>
        <w:t>9.a. Usua</w:t>
      </w:r>
      <w:r w:rsidR="00584710" w:rsidRPr="00B740B4">
        <w:rPr>
          <w:rFonts w:eastAsia="Times New Roman"/>
          <w:noProof/>
        </w:rPr>
        <w:t>lly people speak “before” (</w:t>
      </w:r>
      <w:r w:rsidR="00504E9A" w:rsidRPr="00B740B4">
        <w:rPr>
          <w:rFonts w:ascii="Arial" w:eastAsia="Times New Roman" w:hAnsi="Arial" w:cs="Arial"/>
          <w:noProof/>
        </w:rPr>
        <w:t>ם</w:t>
      </w:r>
      <w:r w:rsidR="00331930">
        <w:rPr>
          <w:rFonts w:ascii="Arial" w:eastAsia="Times New Roman" w:hAnsi="Arial" w:cs="Arial"/>
          <w:noProof/>
        </w:rPr>
        <w:t xml:space="preserve"> </w:t>
      </w:r>
      <w:r w:rsidR="00504E9A" w:rsidRPr="00B740B4">
        <w:rPr>
          <w:rFonts w:ascii="Arial" w:eastAsia="Times New Roman" w:hAnsi="Arial" w:cs="Arial"/>
          <w:noProof/>
        </w:rPr>
        <w:t>ד</w:t>
      </w:r>
      <w:r w:rsidR="00331930">
        <w:rPr>
          <w:rFonts w:ascii="Arial" w:eastAsia="Times New Roman" w:hAnsi="Arial" w:cs="Arial"/>
          <w:noProof/>
        </w:rPr>
        <w:t xml:space="preserve"> </w:t>
      </w:r>
      <w:r w:rsidR="00504E9A" w:rsidRPr="00B740B4">
        <w:rPr>
          <w:rFonts w:ascii="Arial" w:eastAsia="Times New Roman" w:hAnsi="Arial" w:cs="Arial"/>
          <w:noProof/>
        </w:rPr>
        <w:t>ק</w:t>
      </w:r>
      <w:r w:rsidR="00584710" w:rsidRPr="00B740B4">
        <w:rPr>
          <w:rFonts w:eastAsia="Times New Roman"/>
          <w:noProof/>
        </w:rPr>
        <w:t>) not “to” (</w:t>
      </w:r>
      <w:r w:rsidR="00584710" w:rsidRPr="00B740B4">
        <w:rPr>
          <w:rFonts w:ascii="Arial" w:eastAsia="Times New Roman" w:hAnsi="Arial" w:cs="Arial"/>
          <w:noProof/>
        </w:rPr>
        <w:t>ל</w:t>
      </w:r>
      <w:r w:rsidR="00584710" w:rsidRPr="00B740B4">
        <w:rPr>
          <w:rFonts w:eastAsia="Times New Roman"/>
          <w:noProof/>
        </w:rPr>
        <w:t>) the king (cf. 2:10, 27) The story may imply discourtesy on the accusers’ part (cf. vv 16, 24; 6:</w:t>
      </w:r>
      <w:r w:rsidR="003719C4" w:rsidRPr="00B740B4">
        <w:rPr>
          <w:rFonts w:eastAsia="Times New Roman"/>
          <w:noProof/>
        </w:rPr>
        <w:t>6, 15 [7, 16</w:t>
      </w:r>
      <w:r w:rsidR="00584710" w:rsidRPr="00B740B4">
        <w:rPr>
          <w:rFonts w:eastAsia="Times New Roman"/>
          <w:noProof/>
        </w:rPr>
        <w:t>])(Charles).</w:t>
      </w:r>
    </w:p>
    <w:p w:rsidR="00584710" w:rsidRPr="00B740B4" w:rsidRDefault="00AF7918" w:rsidP="00584710">
      <w:pPr>
        <w:rPr>
          <w:rFonts w:eastAsia="Times New Roman"/>
          <w:noProof/>
        </w:rPr>
      </w:pPr>
      <w:r w:rsidRPr="00B740B4">
        <w:rPr>
          <w:rFonts w:eastAsia="Times New Roman"/>
          <w:noProof/>
        </w:rPr>
        <w:t xml:space="preserve">12.a. K’s </w:t>
      </w:r>
      <w:r w:rsidR="00DF6F2A" w:rsidRPr="00B740B4">
        <w:rPr>
          <w:rFonts w:ascii="Arial" w:eastAsia="Times New Roman" w:hAnsi="Arial" w:cs="Arial"/>
          <w:noProof/>
        </w:rPr>
        <w:t>ך</w:t>
      </w:r>
      <w:r w:rsidRPr="00B740B4">
        <w:rPr>
          <w:rFonts w:ascii="Arial" w:eastAsia="Times New Roman" w:hAnsi="Arial" w:cs="Arial"/>
          <w:noProof/>
        </w:rPr>
        <w:t xml:space="preserve"> </w:t>
      </w:r>
      <w:r w:rsidR="00DF6F2A" w:rsidRPr="00B740B4">
        <w:rPr>
          <w:rFonts w:ascii="Arial" w:eastAsia="Times New Roman" w:hAnsi="Arial" w:cs="Arial"/>
          <w:noProof/>
        </w:rPr>
        <w:t>י</w:t>
      </w:r>
      <w:r w:rsidRPr="00B740B4">
        <w:rPr>
          <w:rFonts w:ascii="Arial" w:eastAsia="Times New Roman" w:hAnsi="Arial" w:cs="Arial"/>
          <w:noProof/>
        </w:rPr>
        <w:t xml:space="preserve"> </w:t>
      </w:r>
      <w:r w:rsidR="00DF6F2A" w:rsidRPr="00B740B4">
        <w:rPr>
          <w:rFonts w:ascii="Arial" w:eastAsia="Times New Roman" w:hAnsi="Arial" w:cs="Arial"/>
          <w:noProof/>
        </w:rPr>
        <w:t>ה</w:t>
      </w:r>
      <w:r w:rsidRPr="00B740B4">
        <w:rPr>
          <w:rFonts w:ascii="Arial" w:eastAsia="Times New Roman" w:hAnsi="Arial" w:cs="Arial"/>
          <w:noProof/>
        </w:rPr>
        <w:t xml:space="preserve"> </w:t>
      </w:r>
      <w:r w:rsidR="00DF6F2A" w:rsidRPr="00B740B4">
        <w:rPr>
          <w:rFonts w:ascii="Arial" w:eastAsia="Times New Roman" w:hAnsi="Arial" w:cs="Arial"/>
          <w:noProof/>
        </w:rPr>
        <w:t>ל</w:t>
      </w:r>
      <w:r w:rsidRPr="00B740B4">
        <w:rPr>
          <w:rFonts w:ascii="Arial" w:eastAsia="Times New Roman" w:hAnsi="Arial" w:cs="Arial"/>
          <w:noProof/>
        </w:rPr>
        <w:t xml:space="preserve"> </w:t>
      </w:r>
      <w:r w:rsidR="00DF6F2A" w:rsidRPr="00B740B4">
        <w:rPr>
          <w:rFonts w:ascii="Arial" w:eastAsia="Times New Roman" w:hAnsi="Arial" w:cs="Arial"/>
          <w:noProof/>
        </w:rPr>
        <w:t>א</w:t>
      </w:r>
      <w:r w:rsidRPr="00B740B4">
        <w:rPr>
          <w:rFonts w:eastAsia="Times New Roman"/>
          <w:noProof/>
        </w:rPr>
        <w:t xml:space="preserve"> </w:t>
      </w:r>
      <w:r w:rsidR="00CD6F31" w:rsidRPr="00B740B4">
        <w:rPr>
          <w:rFonts w:eastAsia="Times New Roman"/>
          <w:noProof/>
        </w:rPr>
        <w:t xml:space="preserve">explicitly </w:t>
      </w:r>
      <w:r w:rsidRPr="00B740B4">
        <w:rPr>
          <w:rFonts w:eastAsia="Times New Roman"/>
          <w:noProof/>
        </w:rPr>
        <w:t xml:space="preserve">marks the word as </w:t>
      </w:r>
      <w:r w:rsidR="00584710" w:rsidRPr="00B740B4">
        <w:rPr>
          <w:rFonts w:eastAsia="Times New Roman"/>
          <w:noProof/>
        </w:rPr>
        <w:t>pl.</w:t>
      </w:r>
      <w:r w:rsidRPr="00B740B4">
        <w:rPr>
          <w:rFonts w:eastAsia="Times New Roman"/>
          <w:noProof/>
        </w:rPr>
        <w:t xml:space="preserve"> (cf. Muraoka, </w:t>
      </w:r>
      <w:r w:rsidRPr="00B740B4">
        <w:rPr>
          <w:rFonts w:eastAsia="Times New Roman"/>
          <w:i/>
          <w:noProof/>
        </w:rPr>
        <w:t>Reader</w:t>
      </w:r>
      <w:r w:rsidRPr="00B740B4">
        <w:rPr>
          <w:rFonts w:eastAsia="Times New Roman"/>
          <w:noProof/>
        </w:rPr>
        <w:t>, 47)</w:t>
      </w:r>
      <w:r w:rsidR="00584710" w:rsidRPr="00B740B4">
        <w:rPr>
          <w:rFonts w:eastAsia="Times New Roman"/>
          <w:noProof/>
        </w:rPr>
        <w:t xml:space="preserve">; Q </w:t>
      </w:r>
      <w:r w:rsidR="007E16CD" w:rsidRPr="00B740B4">
        <w:rPr>
          <w:rFonts w:ascii="Arial" w:eastAsia="Times New Roman" w:hAnsi="Arial" w:cs="Arial"/>
          <w:noProof/>
        </w:rPr>
        <w:t>ך</w:t>
      </w:r>
      <w:r w:rsidRPr="00B740B4">
        <w:rPr>
          <w:rFonts w:ascii="Arial" w:eastAsia="Times New Roman" w:hAnsi="Arial" w:cs="Arial"/>
          <w:noProof/>
        </w:rPr>
        <w:t xml:space="preserve"> </w:t>
      </w:r>
      <w:r w:rsidR="007E16CD" w:rsidRPr="00B740B4">
        <w:rPr>
          <w:rFonts w:ascii="Arial" w:eastAsia="Times New Roman" w:hAnsi="Arial" w:cs="Arial"/>
          <w:noProof/>
        </w:rPr>
        <w:t>ה</w:t>
      </w:r>
      <w:r w:rsidRPr="00B740B4">
        <w:rPr>
          <w:rFonts w:ascii="Arial" w:eastAsia="Times New Roman" w:hAnsi="Arial" w:cs="Arial"/>
          <w:noProof/>
        </w:rPr>
        <w:t xml:space="preserve"> </w:t>
      </w:r>
      <w:r w:rsidR="007E16CD" w:rsidRPr="00B740B4">
        <w:rPr>
          <w:rFonts w:ascii="Arial" w:eastAsia="Times New Roman" w:hAnsi="Arial" w:cs="Arial"/>
          <w:noProof/>
        </w:rPr>
        <w:t>ל</w:t>
      </w:r>
      <w:r w:rsidRPr="00B740B4">
        <w:rPr>
          <w:rFonts w:ascii="Arial" w:eastAsia="Times New Roman" w:hAnsi="Arial" w:cs="Arial"/>
          <w:noProof/>
        </w:rPr>
        <w:t xml:space="preserve"> </w:t>
      </w:r>
      <w:r w:rsidR="007E16CD" w:rsidRPr="00B740B4">
        <w:rPr>
          <w:rFonts w:ascii="Arial" w:eastAsia="Times New Roman" w:hAnsi="Arial" w:cs="Arial"/>
          <w:noProof/>
        </w:rPr>
        <w:t>א</w:t>
      </w:r>
      <w:r w:rsidR="00584710" w:rsidRPr="00B740B4">
        <w:rPr>
          <w:rFonts w:eastAsia="Times New Roman"/>
          <w:noProof/>
        </w:rPr>
        <w:t xml:space="preserve"> </w:t>
      </w:r>
      <w:r w:rsidR="00CD6F31" w:rsidRPr="00B740B4">
        <w:rPr>
          <w:rFonts w:eastAsia="Times New Roman"/>
          <w:noProof/>
        </w:rPr>
        <w:t>may conform</w:t>
      </w:r>
      <w:r w:rsidR="00584710" w:rsidRPr="00B740B4">
        <w:rPr>
          <w:rFonts w:eastAsia="Times New Roman"/>
          <w:noProof/>
        </w:rPr>
        <w:t xml:space="preserve"> the spelling to a different morphol</w:t>
      </w:r>
      <w:r w:rsidR="00DF6F2A" w:rsidRPr="00B740B4">
        <w:rPr>
          <w:rFonts w:eastAsia="Times New Roman"/>
          <w:noProof/>
        </w:rPr>
        <w:t>ogical convention</w:t>
      </w:r>
      <w:r w:rsidR="00CD6F31" w:rsidRPr="00B740B4">
        <w:rPr>
          <w:rFonts w:eastAsia="Times New Roman"/>
          <w:noProof/>
        </w:rPr>
        <w:t xml:space="preserve"> or may be s</w:t>
      </w:r>
      <w:r w:rsidR="00DF6F2A" w:rsidRPr="00B740B4">
        <w:rPr>
          <w:rFonts w:eastAsia="Times New Roman"/>
          <w:noProof/>
        </w:rPr>
        <w:t>. OG τῷ εἰδώλῷ</w:t>
      </w:r>
      <w:r w:rsidR="00584710" w:rsidRPr="00B740B4">
        <w:rPr>
          <w:rFonts w:eastAsia="Times New Roman"/>
          <w:noProof/>
        </w:rPr>
        <w:t xml:space="preserve"> σου takes as s</w:t>
      </w:r>
      <w:r w:rsidR="00DF6F2A" w:rsidRPr="00B740B4">
        <w:rPr>
          <w:rFonts w:eastAsia="Times New Roman"/>
          <w:noProof/>
        </w:rPr>
        <w:t>.</w:t>
      </w:r>
      <w:r w:rsidR="00584710" w:rsidRPr="00B740B4">
        <w:rPr>
          <w:rFonts w:eastAsia="Times New Roman"/>
          <w:noProof/>
        </w:rPr>
        <w:t>, and specifically takes the statue as a god/idol.</w:t>
      </w:r>
    </w:p>
    <w:p w:rsidR="00584710" w:rsidRPr="00B740B4" w:rsidRDefault="00584710" w:rsidP="00584710">
      <w:pPr>
        <w:rPr>
          <w:rFonts w:ascii="Arial" w:eastAsia="Times New Roman" w:hAnsi="Arial" w:cs="Arial"/>
          <w:noProof/>
        </w:rPr>
      </w:pPr>
      <w:r w:rsidRPr="00B740B4">
        <w:rPr>
          <w:rFonts w:eastAsia="Times New Roman"/>
          <w:noProof/>
        </w:rPr>
        <w:t>14.a.</w:t>
      </w:r>
      <w:r w:rsidR="00504E9A" w:rsidRPr="00B740B4">
        <w:rPr>
          <w:rFonts w:ascii="Arial" w:eastAsia="Times New Roman" w:hAnsi="Arial" w:cs="Arial"/>
          <w:noProof/>
        </w:rPr>
        <w:t xml:space="preserve"> א</w:t>
      </w:r>
      <w:r w:rsidRPr="00B740B4">
        <w:rPr>
          <w:rFonts w:eastAsia="Times New Roman"/>
          <w:noProof/>
        </w:rPr>
        <w:t xml:space="preserve"> </w:t>
      </w:r>
      <w:r w:rsidR="00504E9A" w:rsidRPr="00B740B4">
        <w:rPr>
          <w:rFonts w:ascii="Arial" w:eastAsia="Times New Roman" w:hAnsi="Arial" w:cs="Arial"/>
          <w:noProof/>
        </w:rPr>
        <w:t>ד צ</w:t>
      </w:r>
      <w:r w:rsidR="00504E9A" w:rsidRPr="00B740B4">
        <w:rPr>
          <w:rFonts w:eastAsia="Times New Roman"/>
          <w:noProof/>
        </w:rPr>
        <w:t xml:space="preserve"> </w:t>
      </w:r>
      <w:r w:rsidR="00DF6F2A" w:rsidRPr="00B740B4">
        <w:rPr>
          <w:rFonts w:eastAsia="Times New Roman"/>
          <w:noProof/>
        </w:rPr>
        <w:t>(</w:t>
      </w:r>
      <w:r w:rsidR="005E55CB" w:rsidRPr="00B740B4">
        <w:rPr>
          <w:rFonts w:eastAsia="Times New Roman"/>
          <w:noProof/>
        </w:rPr>
        <w:t>√</w:t>
      </w:r>
      <w:r w:rsidR="00DF6F2A" w:rsidRPr="00B740B4">
        <w:rPr>
          <w:rFonts w:eastAsia="Times New Roman"/>
          <w:noProof/>
        </w:rPr>
        <w:t xml:space="preserve"> </w:t>
      </w:r>
      <w:r w:rsidRPr="00B740B4">
        <w:rPr>
          <w:rFonts w:ascii="Arial" w:eastAsia="Times New Roman" w:hAnsi="Arial" w:cs="Arial"/>
          <w:noProof/>
        </w:rPr>
        <w:t>יצד</w:t>
      </w:r>
      <w:r w:rsidRPr="00B740B4">
        <w:rPr>
          <w:rFonts w:eastAsia="Times New Roman"/>
          <w:noProof/>
        </w:rPr>
        <w:t xml:space="preserve">); cf. Torrey, </w:t>
      </w:r>
      <w:r w:rsidR="00504E9A" w:rsidRPr="00B740B4">
        <w:rPr>
          <w:rFonts w:eastAsia="Times New Roman"/>
          <w:noProof/>
        </w:rPr>
        <w:t>“Stray Notes</w:t>
      </w:r>
      <w:r w:rsidR="00C70F60" w:rsidRPr="00B740B4">
        <w:rPr>
          <w:rFonts w:eastAsia="Times New Roman"/>
          <w:noProof/>
        </w:rPr>
        <w:t xml:space="preserve"> on the Aramaic of Daniel and Ezra</w:t>
      </w:r>
      <w:r w:rsidR="00504E9A" w:rsidRPr="00B740B4">
        <w:rPr>
          <w:rFonts w:eastAsia="Times New Roman"/>
          <w:noProof/>
        </w:rPr>
        <w:t>,”</w:t>
      </w:r>
      <w:r w:rsidR="00DF6F2A" w:rsidRPr="00B740B4">
        <w:rPr>
          <w:rFonts w:eastAsia="Times New Roman"/>
          <w:noProof/>
        </w:rPr>
        <w:t xml:space="preserve"> 231–32. I</w:t>
      </w:r>
      <w:r w:rsidRPr="00B740B4">
        <w:rPr>
          <w:rFonts w:eastAsia="Times New Roman"/>
          <w:noProof/>
        </w:rPr>
        <w:t xml:space="preserve">t need not be equated with or emended to </w:t>
      </w:r>
      <w:r w:rsidRPr="00B740B4">
        <w:rPr>
          <w:rFonts w:ascii="Arial" w:eastAsia="Times New Roman" w:hAnsi="Arial" w:cs="Arial"/>
          <w:noProof/>
        </w:rPr>
        <w:t>אזדא</w:t>
      </w:r>
      <w:r w:rsidR="00504E9A" w:rsidRPr="00B740B4">
        <w:rPr>
          <w:rFonts w:eastAsia="Times New Roman"/>
          <w:noProof/>
        </w:rPr>
        <w:t xml:space="preserve"> (BDB) or translated</w:t>
      </w:r>
      <w:r w:rsidRPr="00B740B4">
        <w:rPr>
          <w:rFonts w:eastAsia="Times New Roman"/>
          <w:noProof/>
        </w:rPr>
        <w:t xml:space="preserve"> “deliberately” (cf. BH </w:t>
      </w:r>
      <w:r w:rsidRPr="00B740B4">
        <w:rPr>
          <w:rFonts w:ascii="Arial" w:eastAsia="Times New Roman" w:hAnsi="Arial" w:cs="Arial"/>
          <w:noProof/>
        </w:rPr>
        <w:t>צדיה</w:t>
      </w:r>
      <w:r w:rsidRPr="00B740B4">
        <w:rPr>
          <w:rFonts w:eastAsia="Times New Roman"/>
          <w:noProof/>
        </w:rPr>
        <w:t>).</w:t>
      </w:r>
    </w:p>
    <w:p w:rsidR="00584710" w:rsidRPr="00B740B4" w:rsidRDefault="00584710" w:rsidP="00584710">
      <w:pPr>
        <w:rPr>
          <w:rFonts w:ascii="Arial" w:eastAsia="Times New Roman" w:hAnsi="Arial" w:cs="Arial"/>
          <w:noProof/>
        </w:rPr>
      </w:pPr>
      <w:r w:rsidRPr="00B740B4">
        <w:rPr>
          <w:rFonts w:eastAsia="Times New Roman"/>
          <w:noProof/>
        </w:rPr>
        <w:t>15.a.</w:t>
      </w:r>
      <w:r w:rsidR="00DF6F2A" w:rsidRPr="00B740B4">
        <w:rPr>
          <w:rFonts w:ascii="Arial" w:eastAsia="Times New Roman" w:hAnsi="Arial" w:cs="Arial"/>
          <w:noProof/>
        </w:rPr>
        <w:t xml:space="preserve"> </w:t>
      </w:r>
      <w:r w:rsidR="00877097" w:rsidRPr="00B740B4">
        <w:rPr>
          <w:rFonts w:ascii="Arial" w:eastAsia="Times New Roman" w:hAnsi="Arial" w:cs="Arial"/>
          <w:noProof/>
        </w:rPr>
        <w:t>ן</w:t>
      </w:r>
      <w:r w:rsidR="00CD6F31" w:rsidRPr="00B740B4">
        <w:rPr>
          <w:rFonts w:ascii="Arial" w:eastAsia="Times New Roman" w:hAnsi="Arial" w:cs="Arial"/>
          <w:noProof/>
        </w:rPr>
        <w:t xml:space="preserve"> </w:t>
      </w:r>
      <w:r w:rsidR="00877097" w:rsidRPr="00B740B4">
        <w:rPr>
          <w:rFonts w:ascii="Arial" w:eastAsia="Times New Roman" w:hAnsi="Arial" w:cs="Arial"/>
          <w:noProof/>
        </w:rPr>
        <w:t>ו</w:t>
      </w:r>
      <w:r w:rsidR="00CD6F31" w:rsidRPr="00B740B4">
        <w:rPr>
          <w:rFonts w:ascii="Arial" w:eastAsia="Times New Roman" w:hAnsi="Arial" w:cs="Arial"/>
          <w:noProof/>
        </w:rPr>
        <w:t xml:space="preserve"> </w:t>
      </w:r>
      <w:r w:rsidR="00877097" w:rsidRPr="00B740B4">
        <w:rPr>
          <w:rFonts w:ascii="Arial" w:eastAsia="Times New Roman" w:hAnsi="Arial" w:cs="Arial"/>
          <w:noProof/>
        </w:rPr>
        <w:t>כ</w:t>
      </w:r>
      <w:r w:rsidR="00CD6F31" w:rsidRPr="00B740B4">
        <w:rPr>
          <w:rFonts w:ascii="Arial" w:eastAsia="Times New Roman" w:hAnsi="Arial" w:cs="Arial"/>
          <w:noProof/>
        </w:rPr>
        <w:t xml:space="preserve"> </w:t>
      </w:r>
      <w:r w:rsidR="00877097" w:rsidRPr="00B740B4">
        <w:rPr>
          <w:rFonts w:ascii="Arial" w:eastAsia="Times New Roman" w:hAnsi="Arial" w:cs="Arial"/>
          <w:noProof/>
        </w:rPr>
        <w:t>י</w:t>
      </w:r>
      <w:r w:rsidR="00CD6F31" w:rsidRPr="00B740B4">
        <w:rPr>
          <w:rFonts w:ascii="Arial" w:eastAsia="Times New Roman" w:hAnsi="Arial" w:cs="Arial"/>
          <w:noProof/>
        </w:rPr>
        <w:t xml:space="preserve"> </w:t>
      </w:r>
      <w:r w:rsidR="00877097" w:rsidRPr="00B740B4">
        <w:rPr>
          <w:rFonts w:ascii="Arial" w:eastAsia="Times New Roman" w:hAnsi="Arial" w:cs="Arial"/>
          <w:noProof/>
        </w:rPr>
        <w:t>ת</w:t>
      </w:r>
      <w:r w:rsidR="00CD6F31" w:rsidRPr="00B740B4">
        <w:rPr>
          <w:rFonts w:ascii="Arial" w:eastAsia="Times New Roman" w:hAnsi="Arial" w:cs="Arial"/>
          <w:noProof/>
        </w:rPr>
        <w:t xml:space="preserve"> </w:t>
      </w:r>
      <w:r w:rsidR="00877097" w:rsidRPr="00B740B4">
        <w:rPr>
          <w:rFonts w:ascii="Arial" w:eastAsia="Times New Roman" w:hAnsi="Arial" w:cs="Arial"/>
          <w:noProof/>
        </w:rPr>
        <w:t>י</w:t>
      </w:r>
      <w:r w:rsidR="00CD6F31" w:rsidRPr="00B740B4">
        <w:rPr>
          <w:rFonts w:ascii="Arial" w:eastAsia="Times New Roman" w:hAnsi="Arial" w:cs="Arial"/>
          <w:noProof/>
        </w:rPr>
        <w:t xml:space="preserve"> </w:t>
      </w:r>
      <w:r w:rsidR="00877097" w:rsidRPr="00B740B4">
        <w:rPr>
          <w:rFonts w:ascii="Arial" w:eastAsia="Times New Roman" w:hAnsi="Arial" w:cs="Arial"/>
          <w:noProof/>
        </w:rPr>
        <w:t xml:space="preserve">א </w:t>
      </w:r>
      <w:r w:rsidRPr="00B740B4">
        <w:rPr>
          <w:rFonts w:eastAsia="Times New Roman"/>
          <w:noProof/>
        </w:rPr>
        <w:t>retains an emphatic sense.</w:t>
      </w:r>
    </w:p>
    <w:p w:rsidR="00850D45" w:rsidRPr="00B740B4" w:rsidRDefault="00584710" w:rsidP="00850D45">
      <w:pPr>
        <w:rPr>
          <w:rFonts w:eastAsia="Times New Roman"/>
          <w:noProof/>
        </w:rPr>
      </w:pPr>
      <w:r w:rsidRPr="00B740B4">
        <w:rPr>
          <w:rFonts w:eastAsia="Times New Roman"/>
          <w:noProof/>
        </w:rPr>
        <w:t xml:space="preserve">15.b. </w:t>
      </w:r>
      <w:r w:rsidR="00850D45" w:rsidRPr="00B740B4">
        <w:rPr>
          <w:rFonts w:eastAsia="Times New Roman"/>
          <w:noProof/>
        </w:rPr>
        <w:t>“</w:t>
      </w:r>
      <w:r w:rsidR="00850D45" w:rsidRPr="00B740B4">
        <w:rPr>
          <w:rFonts w:eastAsiaTheme="minorHAnsi"/>
        </w:rPr>
        <w:t>The fact that the first sentence lacks an explicit apodosis is not disturbing, as there are many parallels for this phenomenon” (Wesselius, “Langua</w:t>
      </w:r>
      <w:r w:rsidR="00EB73E0" w:rsidRPr="00B740B4">
        <w:rPr>
          <w:rFonts w:eastAsiaTheme="minorHAnsi"/>
        </w:rPr>
        <w:t>ge and Style in BA</w:t>
      </w:r>
      <w:r w:rsidR="00850D45" w:rsidRPr="00B740B4">
        <w:rPr>
          <w:rFonts w:eastAsiaTheme="minorHAnsi"/>
        </w:rPr>
        <w:t>,” 205; cf. JM 167r).</w:t>
      </w:r>
    </w:p>
    <w:p w:rsidR="00584710" w:rsidRPr="00B740B4" w:rsidRDefault="00427059" w:rsidP="00584710">
      <w:pPr>
        <w:rPr>
          <w:rFonts w:eastAsia="Times New Roman"/>
          <w:noProof/>
        </w:rPr>
      </w:pPr>
      <w:r w:rsidRPr="00B740B4">
        <w:rPr>
          <w:rFonts w:eastAsia="Times New Roman"/>
          <w:noProof/>
        </w:rPr>
        <w:t xml:space="preserve">15.c. </w:t>
      </w:r>
      <w:r w:rsidR="00584710" w:rsidRPr="00B740B4">
        <w:rPr>
          <w:rFonts w:ascii="Arial" w:eastAsia="Times New Roman" w:hAnsi="Arial" w:cs="Arial"/>
          <w:noProof/>
        </w:rPr>
        <w:t>הוא</w:t>
      </w:r>
      <w:r w:rsidR="00584710" w:rsidRPr="00B740B4">
        <w:rPr>
          <w:rFonts w:eastAsia="Times New Roman"/>
          <w:noProof/>
        </w:rPr>
        <w:t xml:space="preserve"> </w:t>
      </w:r>
      <w:r w:rsidR="00106D1B" w:rsidRPr="00B740B4">
        <w:rPr>
          <w:rFonts w:ascii="Arial" w:eastAsia="Times New Roman" w:hAnsi="Arial" w:cs="Arial"/>
          <w:noProof/>
        </w:rPr>
        <w:t>מן</w:t>
      </w:r>
      <w:r w:rsidR="00106D1B" w:rsidRPr="00B740B4">
        <w:rPr>
          <w:rFonts w:eastAsia="Times New Roman"/>
          <w:noProof/>
        </w:rPr>
        <w:t xml:space="preserve"> </w:t>
      </w:r>
      <w:r w:rsidR="00584710" w:rsidRPr="00B740B4">
        <w:rPr>
          <w:rFonts w:eastAsia="Times New Roman"/>
          <w:noProof/>
        </w:rPr>
        <w:t>(BDB</w:t>
      </w:r>
      <w:r w:rsidR="00504E9A" w:rsidRPr="00B740B4">
        <w:rPr>
          <w:rFonts w:eastAsia="Times New Roman"/>
          <w:noProof/>
        </w:rPr>
        <w:t>,</w:t>
      </w:r>
      <w:r w:rsidR="00584710" w:rsidRPr="00B740B4">
        <w:rPr>
          <w:rFonts w:eastAsia="Times New Roman"/>
          <w:noProof/>
        </w:rPr>
        <w:t xml:space="preserve"> 1100b).</w:t>
      </w:r>
    </w:p>
    <w:p w:rsidR="00584710" w:rsidRPr="00B740B4" w:rsidRDefault="00427059" w:rsidP="00584710">
      <w:pPr>
        <w:rPr>
          <w:rFonts w:eastAsia="Times New Roman"/>
          <w:noProof/>
        </w:rPr>
      </w:pPr>
      <w:r w:rsidRPr="00B740B4">
        <w:rPr>
          <w:rFonts w:eastAsia="Times New Roman"/>
          <w:noProof/>
        </w:rPr>
        <w:t>15.d</w:t>
      </w:r>
      <w:r w:rsidR="00584710" w:rsidRPr="00B740B4">
        <w:rPr>
          <w:rFonts w:eastAsia="Times New Roman"/>
          <w:noProof/>
        </w:rPr>
        <w:t xml:space="preserve">. Reading </w:t>
      </w:r>
      <w:r w:rsidR="00584710" w:rsidRPr="00B740B4">
        <w:rPr>
          <w:rFonts w:ascii="Arial" w:eastAsia="Times New Roman" w:hAnsi="Arial" w:cs="Arial"/>
          <w:noProof/>
        </w:rPr>
        <w:t>דִּי</w:t>
      </w:r>
      <w:r w:rsidR="00584710" w:rsidRPr="00B740B4">
        <w:rPr>
          <w:rFonts w:eastAsia="Times New Roman"/>
          <w:noProof/>
        </w:rPr>
        <w:t xml:space="preserve">, not </w:t>
      </w:r>
      <w:r w:rsidR="00584710" w:rsidRPr="00B740B4">
        <w:rPr>
          <w:rFonts w:ascii="Arial" w:eastAsia="Times New Roman" w:hAnsi="Arial" w:cs="Arial"/>
          <w:noProof/>
        </w:rPr>
        <w:t>דֵּי</w:t>
      </w:r>
      <w:r w:rsidR="00584710" w:rsidRPr="00B740B4">
        <w:rPr>
          <w:rFonts w:eastAsia="Times New Roman"/>
          <w:noProof/>
        </w:rPr>
        <w:t xml:space="preserve"> “sufficient” (BDB</w:t>
      </w:r>
      <w:r w:rsidR="00504E9A" w:rsidRPr="00B740B4">
        <w:rPr>
          <w:rFonts w:eastAsia="Times New Roman"/>
          <w:noProof/>
        </w:rPr>
        <w:t>,</w:t>
      </w:r>
      <w:r w:rsidR="00584710" w:rsidRPr="00B740B4">
        <w:rPr>
          <w:rFonts w:eastAsia="Times New Roman"/>
          <w:noProof/>
        </w:rPr>
        <w:t xml:space="preserve"> 191)—against L.</w:t>
      </w:r>
    </w:p>
    <w:p w:rsidR="00584710" w:rsidRPr="00B740B4" w:rsidRDefault="00427059" w:rsidP="00584710">
      <w:pPr>
        <w:rPr>
          <w:rFonts w:eastAsia="Times New Roman"/>
          <w:noProof/>
        </w:rPr>
      </w:pPr>
      <w:r w:rsidRPr="00B740B4">
        <w:rPr>
          <w:rFonts w:eastAsia="Times New Roman"/>
          <w:noProof/>
        </w:rPr>
        <w:t>15.e</w:t>
      </w:r>
      <w:r w:rsidR="00584710" w:rsidRPr="00B740B4">
        <w:rPr>
          <w:rFonts w:eastAsia="Times New Roman"/>
          <w:noProof/>
        </w:rPr>
        <w:t xml:space="preserve">. MT </w:t>
      </w:r>
      <w:r w:rsidR="00E73CBC" w:rsidRPr="00E73CBC">
        <w:rPr>
          <w:rFonts w:eastAsia="Times New Roman" w:cs="Arial"/>
          <w:noProof/>
        </w:rPr>
        <w:t>has pl.</w:t>
      </w:r>
      <w:r w:rsidR="00584710" w:rsidRPr="00B740B4">
        <w:rPr>
          <w:rFonts w:eastAsia="Times New Roman"/>
          <w:noProof/>
        </w:rPr>
        <w:t xml:space="preserve"> “my hands”; some </w:t>
      </w:r>
      <w:r w:rsidR="003719C4" w:rsidRPr="00B740B4">
        <w:rPr>
          <w:rFonts w:eastAsia="Times New Roman"/>
          <w:noProof/>
        </w:rPr>
        <w:t>medieval</w:t>
      </w:r>
      <w:r w:rsidR="00DC4B1F" w:rsidRPr="00B740B4">
        <w:rPr>
          <w:rFonts w:eastAsia="Times New Roman"/>
          <w:noProof/>
        </w:rPr>
        <w:t xml:space="preserve"> mss,</w:t>
      </w:r>
      <w:r w:rsidR="00584710" w:rsidRPr="00B740B4">
        <w:rPr>
          <w:rFonts w:eastAsia="Times New Roman"/>
          <w:noProof/>
        </w:rPr>
        <w:t xml:space="preserve"> Th</w:t>
      </w:r>
      <w:r w:rsidR="00E73CBC">
        <w:rPr>
          <w:rFonts w:eastAsia="Times New Roman"/>
          <w:noProof/>
        </w:rPr>
        <w:t xml:space="preserve"> have</w:t>
      </w:r>
      <w:r w:rsidR="00584710" w:rsidRPr="00B740B4">
        <w:rPr>
          <w:rFonts w:eastAsia="Times New Roman"/>
          <w:noProof/>
        </w:rPr>
        <w:t xml:space="preserve"> </w:t>
      </w:r>
      <w:r w:rsidR="00584710" w:rsidRPr="00B740B4">
        <w:rPr>
          <w:rFonts w:ascii="Arial" w:eastAsia="Times New Roman" w:hAnsi="Arial" w:cs="Arial"/>
          <w:noProof/>
        </w:rPr>
        <w:t>יְדִי</w:t>
      </w:r>
      <w:r w:rsidR="00584710" w:rsidRPr="00B740B4">
        <w:rPr>
          <w:rFonts w:eastAsia="Times New Roman"/>
          <w:noProof/>
        </w:rPr>
        <w:t xml:space="preserve"> “my hand”; v 17 has s </w:t>
      </w:r>
      <w:r w:rsidR="00584710" w:rsidRPr="00B740B4">
        <w:rPr>
          <w:rFonts w:ascii="Arial" w:eastAsia="Times New Roman" w:hAnsi="Arial" w:cs="Arial"/>
          <w:noProof/>
        </w:rPr>
        <w:t>ידך</w:t>
      </w:r>
      <w:r w:rsidR="00584710" w:rsidRPr="00B740B4">
        <w:rPr>
          <w:rFonts w:eastAsia="Times New Roman"/>
          <w:noProof/>
        </w:rPr>
        <w:t xml:space="preserve"> “your hand.”</w:t>
      </w:r>
    </w:p>
    <w:p w:rsidR="00584710" w:rsidRPr="00B740B4" w:rsidRDefault="00584710" w:rsidP="00584710">
      <w:pPr>
        <w:rPr>
          <w:rFonts w:eastAsia="Times New Roman"/>
          <w:noProof/>
        </w:rPr>
      </w:pPr>
      <w:r w:rsidRPr="00B740B4">
        <w:rPr>
          <w:rFonts w:eastAsia="Times New Roman"/>
          <w:noProof/>
        </w:rPr>
        <w:t xml:space="preserve">16.a. Repunctuating with BHS against MT </w:t>
      </w:r>
      <w:r w:rsidRPr="00B740B4">
        <w:rPr>
          <w:rFonts w:ascii="Arial" w:eastAsia="Times New Roman" w:hAnsi="Arial" w:cs="Arial"/>
          <w:noProof/>
        </w:rPr>
        <w:t>למלכא</w:t>
      </w:r>
      <w:r w:rsidRPr="00B740B4">
        <w:rPr>
          <w:rFonts w:eastAsia="Times New Roman"/>
          <w:noProof/>
        </w:rPr>
        <w:t xml:space="preserve"> </w:t>
      </w:r>
      <w:r w:rsidRPr="00B740B4">
        <w:rPr>
          <w:rFonts w:ascii="Arial" w:eastAsia="Times New Roman" w:hAnsi="Arial" w:cs="Arial"/>
          <w:noProof/>
        </w:rPr>
        <w:t>נבוכדנצר</w:t>
      </w:r>
      <w:r w:rsidRPr="00B740B4">
        <w:rPr>
          <w:rFonts w:eastAsia="Times New Roman"/>
          <w:noProof/>
        </w:rPr>
        <w:t xml:space="preserve"> (“to the king: “</w:t>
      </w:r>
      <w:r w:rsidR="00B403B1" w:rsidRPr="00B740B4">
        <w:rPr>
          <w:rFonts w:eastAsia="Times New Roman"/>
          <w:noProof/>
        </w:rPr>
        <w:t>Nebukadne’ṣṣar</w:t>
      </w:r>
      <w:r w:rsidRPr="00B740B4">
        <w:rPr>
          <w:rFonts w:eastAsia="Times New Roman"/>
          <w:noProof/>
        </w:rPr>
        <w:t> . . .’”), wh</w:t>
      </w:r>
      <w:r w:rsidR="00D42DEC" w:rsidRPr="00B740B4">
        <w:rPr>
          <w:rFonts w:eastAsia="Times New Roman"/>
          <w:noProof/>
        </w:rPr>
        <w:t>ich is implausibly discourteous</w:t>
      </w:r>
      <w:r w:rsidR="005239D6">
        <w:rPr>
          <w:rFonts w:eastAsia="Times New Roman"/>
          <w:noProof/>
        </w:rPr>
        <w:t xml:space="preserve"> (see further Mastin, </w:t>
      </w:r>
      <w:r w:rsidR="005239D6" w:rsidRPr="005239D6">
        <w:rPr>
          <w:rFonts w:eastAsia="Times New Roman"/>
          <w:noProof/>
        </w:rPr>
        <w:t>“</w:t>
      </w:r>
      <w:r w:rsidR="005239D6">
        <w:rPr>
          <w:rFonts w:eastAsia="Times New Roman"/>
          <w:noProof/>
        </w:rPr>
        <w:t>The Text of Daniel 3:16”</w:t>
      </w:r>
      <w:r w:rsidR="00E73CBC">
        <w:rPr>
          <w:rFonts w:eastAsia="Times New Roman"/>
          <w:noProof/>
        </w:rPr>
        <w:t xml:space="preserve">) though it prompts Rashi </w:t>
      </w:r>
      <w:r w:rsidR="003719C4" w:rsidRPr="00B740B4">
        <w:rPr>
          <w:rFonts w:eastAsia="Times New Roman"/>
          <w:noProof/>
        </w:rPr>
        <w:t>to pass on</w:t>
      </w:r>
      <w:r w:rsidR="00D42DEC" w:rsidRPr="00B740B4">
        <w:rPr>
          <w:rFonts w:eastAsia="Times New Roman"/>
          <w:noProof/>
        </w:rPr>
        <w:t xml:space="preserve"> the observation that when Nebuchadnezzar acts legitimately he is “the king,”</w:t>
      </w:r>
      <w:r w:rsidR="0081229E" w:rsidRPr="00B740B4">
        <w:rPr>
          <w:rFonts w:eastAsia="Times New Roman"/>
          <w:noProof/>
        </w:rPr>
        <w:t xml:space="preserve"> but </w:t>
      </w:r>
      <w:r w:rsidR="003719C4" w:rsidRPr="00B740B4">
        <w:rPr>
          <w:rFonts w:eastAsia="Times New Roman"/>
          <w:noProof/>
        </w:rPr>
        <w:t>on an occasions like this one he</w:t>
      </w:r>
      <w:r w:rsidR="0081229E" w:rsidRPr="00B740B4">
        <w:rPr>
          <w:rFonts w:eastAsia="Times New Roman"/>
          <w:noProof/>
        </w:rPr>
        <w:t xml:space="preserve"> is simply </w:t>
      </w:r>
      <w:r w:rsidR="00E73CBC">
        <w:rPr>
          <w:rFonts w:eastAsia="Times New Roman"/>
          <w:noProof/>
        </w:rPr>
        <w:t>“</w:t>
      </w:r>
      <w:r w:rsidR="0081229E" w:rsidRPr="00B740B4">
        <w:rPr>
          <w:rFonts w:eastAsia="Times New Roman"/>
          <w:noProof/>
        </w:rPr>
        <w:t>Nebuchadnezzar.</w:t>
      </w:r>
      <w:r w:rsidR="00E73CBC">
        <w:rPr>
          <w:rFonts w:eastAsia="Times New Roman"/>
          <w:noProof/>
        </w:rPr>
        <w:t>”</w:t>
      </w:r>
    </w:p>
    <w:p w:rsidR="00584710" w:rsidRPr="00B740B4" w:rsidRDefault="00584710" w:rsidP="00584710">
      <w:pPr>
        <w:rPr>
          <w:rFonts w:eastAsia="Times New Roman"/>
          <w:noProof/>
        </w:rPr>
      </w:pPr>
      <w:r w:rsidRPr="00B740B4">
        <w:rPr>
          <w:rFonts w:eastAsia="Times New Roman"/>
          <w:noProof/>
        </w:rPr>
        <w:t xml:space="preserve">16.b. Read </w:t>
      </w:r>
      <w:r w:rsidRPr="00B740B4">
        <w:rPr>
          <w:rFonts w:ascii="Arial" w:eastAsia="Times New Roman" w:hAnsi="Arial" w:cs="Arial"/>
          <w:noProof/>
        </w:rPr>
        <w:t>חָשחין</w:t>
      </w:r>
      <w:r w:rsidRPr="00B740B4">
        <w:rPr>
          <w:rFonts w:eastAsia="Times New Roman"/>
          <w:noProof/>
        </w:rPr>
        <w:t xml:space="preserve"> with some </w:t>
      </w:r>
      <w:r w:rsidR="00DC4B1F" w:rsidRPr="00B740B4">
        <w:rPr>
          <w:rFonts w:eastAsia="Times New Roman"/>
          <w:noProof/>
        </w:rPr>
        <w:t xml:space="preserve">medieval mss, </w:t>
      </w:r>
      <w:r w:rsidRPr="00B740B4">
        <w:rPr>
          <w:rFonts w:eastAsia="Times New Roman"/>
          <w:noProof/>
        </w:rPr>
        <w:t xml:space="preserve">not </w:t>
      </w:r>
      <w:r w:rsidRPr="00B740B4">
        <w:rPr>
          <w:rFonts w:ascii="Arial" w:eastAsia="Times New Roman" w:hAnsi="Arial" w:cs="Arial"/>
          <w:noProof/>
        </w:rPr>
        <w:t>חַשחין</w:t>
      </w:r>
      <w:r w:rsidRPr="00B740B4">
        <w:rPr>
          <w:rFonts w:eastAsia="Times New Roman"/>
          <w:noProof/>
        </w:rPr>
        <w:t xml:space="preserve"> “needed,” against L (</w:t>
      </w:r>
      <w:r w:rsidRPr="00B740B4">
        <w:rPr>
          <w:rFonts w:ascii="Arial" w:eastAsia="Times New Roman" w:hAnsi="Arial" w:cs="Arial"/>
          <w:noProof/>
        </w:rPr>
        <w:t>השחין</w:t>
      </w:r>
      <w:r w:rsidRPr="00B740B4">
        <w:rPr>
          <w:rFonts w:eastAsia="Times New Roman"/>
          <w:noProof/>
        </w:rPr>
        <w:t xml:space="preserve"> in the BHS fascicle is a misprint). “We have no difficulty . . .” (Ehrlich) is attractive, but difficult to justify. “We do not mind/care . . .” (cf. </w:t>
      </w:r>
      <w:r w:rsidRPr="00B740B4">
        <w:rPr>
          <w:rFonts w:eastAsia="Times New Roman"/>
          <w:smallCaps/>
          <w:noProof/>
        </w:rPr>
        <w:t>rv</w:t>
      </w:r>
      <w:r w:rsidR="00086487" w:rsidRPr="00B740B4">
        <w:rPr>
          <w:rFonts w:eastAsia="Times New Roman"/>
          <w:smallCaps/>
          <w:noProof/>
        </w:rPr>
        <w:t xml:space="preserve"> </w:t>
      </w:r>
      <w:r w:rsidRPr="00B740B4">
        <w:rPr>
          <w:rFonts w:eastAsia="Times New Roman"/>
          <w:noProof/>
        </w:rPr>
        <w:t xml:space="preserve">mg, Ps-Saadia) presupposes that </w:t>
      </w:r>
      <w:r w:rsidRPr="00B740B4">
        <w:rPr>
          <w:rFonts w:ascii="Arial" w:eastAsia="Times New Roman" w:hAnsi="Arial" w:cs="Arial"/>
          <w:noProof/>
        </w:rPr>
        <w:t>חשח</w:t>
      </w:r>
      <w:r w:rsidRPr="00B740B4">
        <w:rPr>
          <w:rFonts w:eastAsia="Times New Roman"/>
          <w:noProof/>
        </w:rPr>
        <w:t xml:space="preserve"> = </w:t>
      </w:r>
      <w:r w:rsidRPr="00B740B4">
        <w:rPr>
          <w:rFonts w:ascii="Arial" w:eastAsia="Times New Roman" w:hAnsi="Arial" w:cs="Arial"/>
          <w:noProof/>
        </w:rPr>
        <w:t>חוש</w:t>
      </w:r>
      <w:r w:rsidRPr="00B740B4">
        <w:rPr>
          <w:rFonts w:eastAsia="Times New Roman"/>
          <w:noProof/>
        </w:rPr>
        <w:t>/</w:t>
      </w:r>
      <w:r w:rsidRPr="00B740B4">
        <w:rPr>
          <w:rFonts w:ascii="Arial" w:eastAsia="Times New Roman" w:hAnsi="Arial" w:cs="Arial"/>
          <w:noProof/>
        </w:rPr>
        <w:t>חשש</w:t>
      </w:r>
      <w:r w:rsidRPr="00B740B4">
        <w:rPr>
          <w:rFonts w:eastAsia="Times New Roman"/>
          <w:noProof/>
        </w:rPr>
        <w:t>.</w:t>
      </w:r>
    </w:p>
    <w:p w:rsidR="00584710" w:rsidRPr="00B740B4" w:rsidRDefault="00584710" w:rsidP="00584710">
      <w:pPr>
        <w:rPr>
          <w:rFonts w:eastAsia="Times New Roman"/>
          <w:noProof/>
        </w:rPr>
      </w:pPr>
      <w:r w:rsidRPr="00B740B4">
        <w:rPr>
          <w:rFonts w:eastAsia="Times New Roman"/>
          <w:noProof/>
        </w:rPr>
        <w:t xml:space="preserve">16.c-c. </w:t>
      </w:r>
      <w:r w:rsidRPr="00B740B4">
        <w:rPr>
          <w:rFonts w:ascii="Arial" w:eastAsia="Times New Roman" w:hAnsi="Arial" w:cs="Arial"/>
          <w:noProof/>
        </w:rPr>
        <w:t>פתגם</w:t>
      </w:r>
      <w:r w:rsidR="00086487" w:rsidRPr="00B740B4">
        <w:rPr>
          <w:rFonts w:ascii="Arial" w:eastAsia="Times New Roman" w:hAnsi="Arial" w:cs="Arial"/>
          <w:noProof/>
        </w:rPr>
        <w:t xml:space="preserve"> </w:t>
      </w:r>
      <w:r w:rsidR="00E73CBC" w:rsidRPr="00E73CBC">
        <w:rPr>
          <w:rFonts w:ascii="Arial" w:eastAsia="Times New Roman" w:hAnsi="Arial" w:cs="Arial"/>
          <w:noProof/>
        </w:rPr>
        <w:t>ה נ</w:t>
      </w:r>
      <w:r w:rsidR="00E73CBC">
        <w:rPr>
          <w:rFonts w:ascii="Arial" w:eastAsia="Times New Roman" w:hAnsi="Arial" w:cs="Arial"/>
          <w:noProof/>
        </w:rPr>
        <w:t xml:space="preserve"> </w:t>
      </w:r>
      <w:r w:rsidR="00E73CBC" w:rsidRPr="00E73CBC">
        <w:rPr>
          <w:rFonts w:ascii="Arial" w:eastAsia="Times New Roman" w:hAnsi="Arial" w:cs="Arial"/>
          <w:noProof/>
        </w:rPr>
        <w:t>ד</w:t>
      </w:r>
      <w:r w:rsidR="00E73CBC">
        <w:rPr>
          <w:rFonts w:ascii="Arial" w:eastAsia="Times New Roman" w:hAnsi="Arial" w:cs="Arial"/>
          <w:noProof/>
        </w:rPr>
        <w:t xml:space="preserve"> </w:t>
      </w:r>
      <w:r w:rsidR="00E73CBC" w:rsidRPr="00E73CBC">
        <w:rPr>
          <w:rFonts w:ascii="Arial" w:eastAsia="Times New Roman" w:hAnsi="Arial" w:cs="Arial"/>
          <w:noProof/>
        </w:rPr>
        <w:t>על</w:t>
      </w:r>
      <w:r w:rsidRPr="00B740B4">
        <w:rPr>
          <w:rFonts w:eastAsia="Times New Roman"/>
          <w:noProof/>
        </w:rPr>
        <w:t xml:space="preserve">; cf. Ezra 5:11, 17; </w:t>
      </w:r>
      <w:r w:rsidRPr="00B740B4">
        <w:rPr>
          <w:rFonts w:eastAsia="Times New Roman"/>
          <w:i/>
          <w:noProof/>
        </w:rPr>
        <w:t>TTH</w:t>
      </w:r>
      <w:r w:rsidR="00414FED" w:rsidRPr="00B740B4">
        <w:rPr>
          <w:rFonts w:eastAsia="Times New Roman"/>
          <w:noProof/>
        </w:rPr>
        <w:t xml:space="preserve"> 208. EVV</w:t>
      </w:r>
      <w:r w:rsidRPr="00B740B4">
        <w:rPr>
          <w:rFonts w:eastAsia="Times New Roman"/>
          <w:noProof/>
        </w:rPr>
        <w:t xml:space="preserve"> “in this matter” assumes </w:t>
      </w:r>
      <w:r w:rsidRPr="00B740B4">
        <w:rPr>
          <w:rFonts w:ascii="Arial" w:eastAsia="Times New Roman" w:hAnsi="Arial" w:cs="Arial"/>
          <w:noProof/>
        </w:rPr>
        <w:t>דנה</w:t>
      </w:r>
      <w:r w:rsidRPr="00B740B4">
        <w:rPr>
          <w:rFonts w:eastAsia="Times New Roman"/>
          <w:noProof/>
        </w:rPr>
        <w:t xml:space="preserve"> qualifies </w:t>
      </w:r>
      <w:r w:rsidRPr="00B740B4">
        <w:rPr>
          <w:rFonts w:ascii="Arial" w:eastAsia="Times New Roman" w:hAnsi="Arial" w:cs="Arial"/>
          <w:noProof/>
        </w:rPr>
        <w:t>פתגם</w:t>
      </w:r>
      <w:r w:rsidRPr="00B740B4">
        <w:rPr>
          <w:rFonts w:eastAsia="Times New Roman"/>
          <w:noProof/>
        </w:rPr>
        <w:t xml:space="preserve"> (cf.</w:t>
      </w:r>
      <w:r w:rsidR="009831DB" w:rsidRPr="00B740B4">
        <w:rPr>
          <w:rFonts w:eastAsia="Times New Roman"/>
          <w:noProof/>
        </w:rPr>
        <w:t xml:space="preserve"> G but not Syr</w:t>
      </w:r>
      <w:r w:rsidR="00E73CBC">
        <w:rPr>
          <w:rFonts w:eastAsia="Times New Roman"/>
          <w:noProof/>
        </w:rPr>
        <w:t xml:space="preserve">); this would </w:t>
      </w:r>
      <w:r w:rsidRPr="00B740B4">
        <w:rPr>
          <w:rFonts w:eastAsia="Times New Roman"/>
          <w:noProof/>
        </w:rPr>
        <w:t xml:space="preserve">require </w:t>
      </w:r>
      <w:r w:rsidRPr="00B740B4">
        <w:rPr>
          <w:rFonts w:ascii="Arial" w:eastAsia="Times New Roman" w:hAnsi="Arial" w:cs="Arial"/>
          <w:noProof/>
        </w:rPr>
        <w:t>פמגמא</w:t>
      </w:r>
      <w:r w:rsidRPr="00B740B4">
        <w:rPr>
          <w:rFonts w:eastAsia="Times New Roman"/>
          <w:noProof/>
        </w:rPr>
        <w:t xml:space="preserve"> (emph</w:t>
      </w:r>
      <w:r w:rsidR="009831DB" w:rsidRPr="00B740B4">
        <w:rPr>
          <w:rFonts w:eastAsia="Times New Roman"/>
          <w:noProof/>
        </w:rPr>
        <w:t>atic</w:t>
      </w:r>
      <w:r w:rsidRPr="00B740B4">
        <w:rPr>
          <w:rFonts w:eastAsia="Times New Roman"/>
          <w:noProof/>
        </w:rPr>
        <w:t>).</w:t>
      </w:r>
    </w:p>
    <w:p w:rsidR="00584710" w:rsidRPr="00B740B4" w:rsidRDefault="00584710" w:rsidP="00584710">
      <w:pPr>
        <w:rPr>
          <w:rFonts w:eastAsia="Times New Roman"/>
          <w:noProof/>
        </w:rPr>
      </w:pPr>
      <w:r w:rsidRPr="00B740B4">
        <w:rPr>
          <w:rFonts w:eastAsia="Times New Roman"/>
          <w:noProof/>
        </w:rPr>
        <w:t xml:space="preserve">17.a. </w:t>
      </w:r>
      <w:r w:rsidR="00F750F6" w:rsidRPr="00B740B4">
        <w:rPr>
          <w:rFonts w:eastAsia="Times New Roman"/>
          <w:noProof/>
        </w:rPr>
        <w:t xml:space="preserve">Vg takes </w:t>
      </w:r>
      <w:r w:rsidRPr="00B740B4">
        <w:rPr>
          <w:rFonts w:ascii="Arial" w:eastAsia="Times New Roman" w:hAnsi="Arial" w:cs="Arial"/>
          <w:noProof/>
        </w:rPr>
        <w:t>הן</w:t>
      </w:r>
      <w:r w:rsidR="00F750F6" w:rsidRPr="00B740B4">
        <w:rPr>
          <w:rFonts w:eastAsia="Times New Roman"/>
          <w:noProof/>
        </w:rPr>
        <w:t xml:space="preserve"> to mean “behold,” and G imply the same assumption</w:t>
      </w:r>
      <w:r w:rsidR="00E73CBC">
        <w:rPr>
          <w:rFonts w:eastAsia="Times New Roman"/>
          <w:noProof/>
        </w:rPr>
        <w:t>,</w:t>
      </w:r>
      <w:r w:rsidR="00F750F6" w:rsidRPr="00B740B4">
        <w:rPr>
          <w:rFonts w:eastAsia="Times New Roman"/>
          <w:noProof/>
        </w:rPr>
        <w:t xml:space="preserve"> as they have a statement and </w:t>
      </w:r>
      <w:r w:rsidR="00E73CBC">
        <w:rPr>
          <w:rFonts w:eastAsia="Times New Roman"/>
          <w:noProof/>
        </w:rPr>
        <w:t xml:space="preserve">they </w:t>
      </w:r>
      <w:r w:rsidR="00F750F6" w:rsidRPr="00B740B4">
        <w:rPr>
          <w:rFonts w:eastAsia="Times New Roman"/>
          <w:noProof/>
        </w:rPr>
        <w:t xml:space="preserve">thus avoid what might seem a troubling if-clause, but </w:t>
      </w:r>
      <w:r w:rsidR="00F750F6" w:rsidRPr="00B740B4">
        <w:rPr>
          <w:rFonts w:ascii="Arial" w:eastAsia="Times New Roman" w:hAnsi="Arial" w:cs="Arial"/>
          <w:noProof/>
        </w:rPr>
        <w:t>הן</w:t>
      </w:r>
      <w:r w:rsidR="00E73CBC">
        <w:rPr>
          <w:rFonts w:eastAsia="Times New Roman"/>
          <w:noProof/>
        </w:rPr>
        <w:t xml:space="preserve"> does not mean “behold”</w:t>
      </w:r>
      <w:r w:rsidRPr="00B740B4">
        <w:rPr>
          <w:rFonts w:eastAsia="Times New Roman"/>
          <w:noProof/>
        </w:rPr>
        <w:t xml:space="preserve"> in BA.</w:t>
      </w:r>
    </w:p>
    <w:p w:rsidR="00584710" w:rsidRPr="00B740B4" w:rsidRDefault="00584710" w:rsidP="00584710">
      <w:pPr>
        <w:rPr>
          <w:rFonts w:eastAsia="Times New Roman"/>
          <w:noProof/>
        </w:rPr>
      </w:pPr>
      <w:r w:rsidRPr="00B740B4">
        <w:rPr>
          <w:rFonts w:eastAsia="Times New Roman"/>
          <w:noProof/>
        </w:rPr>
        <w:t xml:space="preserve">17.b. Cf. </w:t>
      </w:r>
      <w:r w:rsidRPr="00B740B4">
        <w:rPr>
          <w:rFonts w:eastAsia="Times New Roman"/>
          <w:smallCaps/>
          <w:noProof/>
        </w:rPr>
        <w:t>neb</w:t>
      </w:r>
      <w:r w:rsidRPr="00B740B4">
        <w:rPr>
          <w:rFonts w:eastAsia="Times New Roman"/>
          <w:noProof/>
        </w:rPr>
        <w:t xml:space="preserve">; </w:t>
      </w:r>
      <w:r w:rsidRPr="00B740B4">
        <w:rPr>
          <w:rFonts w:ascii="Arial" w:eastAsia="Times New Roman" w:hAnsi="Arial" w:cs="Arial"/>
          <w:noProof/>
        </w:rPr>
        <w:t>איתי</w:t>
      </w:r>
      <w:r w:rsidRPr="00B740B4">
        <w:rPr>
          <w:rFonts w:eastAsia="Times New Roman"/>
          <w:noProof/>
        </w:rPr>
        <w:t xml:space="preserve"> thus, uninflected, usually means “is, exists” (cf. esp. v 29). </w:t>
      </w:r>
      <w:r w:rsidRPr="00B740B4">
        <w:rPr>
          <w:rFonts w:eastAsia="Times New Roman"/>
          <w:smallCaps/>
          <w:noProof/>
        </w:rPr>
        <w:t>rsv</w:t>
      </w:r>
      <w:r w:rsidRPr="00B740B4">
        <w:rPr>
          <w:rFonts w:eastAsia="Times New Roman"/>
          <w:noProof/>
        </w:rPr>
        <w:t xml:space="preserve"> </w:t>
      </w:r>
      <w:r w:rsidR="000265D7" w:rsidRPr="00B740B4">
        <w:rPr>
          <w:rFonts w:eastAsia="Times New Roman"/>
          <w:noProof/>
        </w:rPr>
        <w:t xml:space="preserve">has </w:t>
      </w:r>
      <w:r w:rsidRPr="00B740B4">
        <w:rPr>
          <w:rFonts w:eastAsia="Times New Roman"/>
          <w:noProof/>
        </w:rPr>
        <w:t>“If it be so [i.e., if the king d</w:t>
      </w:r>
      <w:r w:rsidR="000265D7" w:rsidRPr="00B740B4">
        <w:rPr>
          <w:rFonts w:eastAsia="Times New Roman"/>
          <w:noProof/>
        </w:rPr>
        <w:t>oes so], our God is able . . .”</w:t>
      </w:r>
      <w:r w:rsidRPr="00B740B4">
        <w:rPr>
          <w:rFonts w:eastAsia="Times New Roman"/>
          <w:noProof/>
        </w:rPr>
        <w:t xml:space="preserve"> </w:t>
      </w:r>
      <w:r w:rsidR="000265D7" w:rsidRPr="00B740B4">
        <w:rPr>
          <w:rFonts w:eastAsia="Times New Roman"/>
          <w:noProof/>
        </w:rPr>
        <w:t>(</w:t>
      </w:r>
      <w:r w:rsidRPr="00B740B4">
        <w:rPr>
          <w:rFonts w:eastAsia="Times New Roman"/>
          <w:noProof/>
        </w:rPr>
        <w:t>cf. Ezra 5:17</w:t>
      </w:r>
      <w:r w:rsidR="000265D7" w:rsidRPr="00B740B4">
        <w:rPr>
          <w:rFonts w:eastAsia="Times New Roman"/>
          <w:noProof/>
        </w:rPr>
        <w:t>)</w:t>
      </w:r>
      <w:r w:rsidRPr="00B740B4">
        <w:rPr>
          <w:rFonts w:eastAsia="Times New Roman"/>
          <w:noProof/>
        </w:rPr>
        <w:t>, but the phrase is abrupt, and the punctuation destroys the parallel with v 15, which v 17 takes up. “If ou</w:t>
      </w:r>
      <w:r w:rsidR="00066E4C">
        <w:rPr>
          <w:rFonts w:eastAsia="Times New Roman"/>
          <w:noProof/>
        </w:rPr>
        <w:t>r God . . . is able . . .” (NRSV</w:t>
      </w:r>
      <w:r w:rsidRPr="00B740B4">
        <w:rPr>
          <w:rFonts w:eastAsia="Times New Roman"/>
          <w:noProof/>
        </w:rPr>
        <w:t xml:space="preserve">) links </w:t>
      </w:r>
      <w:r w:rsidRPr="00B740B4">
        <w:rPr>
          <w:rFonts w:ascii="Arial" w:eastAsia="Times New Roman" w:hAnsi="Arial" w:cs="Arial"/>
          <w:noProof/>
        </w:rPr>
        <w:t>איתי</w:t>
      </w:r>
      <w:r w:rsidRPr="00B740B4">
        <w:rPr>
          <w:rFonts w:eastAsia="Times New Roman"/>
          <w:noProof/>
        </w:rPr>
        <w:t xml:space="preserve"> with </w:t>
      </w:r>
      <w:r w:rsidRPr="00B740B4">
        <w:rPr>
          <w:rFonts w:ascii="Arial" w:eastAsia="Times New Roman" w:hAnsi="Arial" w:cs="Arial"/>
          <w:noProof/>
        </w:rPr>
        <w:t>יכל</w:t>
      </w:r>
      <w:r w:rsidRPr="00B740B4">
        <w:rPr>
          <w:rFonts w:eastAsia="Times New Roman"/>
          <w:noProof/>
        </w:rPr>
        <w:t>, but t</w:t>
      </w:r>
      <w:r w:rsidR="000265D7" w:rsidRPr="00B740B4">
        <w:rPr>
          <w:rFonts w:eastAsia="Times New Roman"/>
          <w:noProof/>
        </w:rPr>
        <w:t>he separating of copula and participle</w:t>
      </w:r>
      <w:r w:rsidRPr="00B740B4">
        <w:rPr>
          <w:rFonts w:eastAsia="Times New Roman"/>
          <w:noProof/>
        </w:rPr>
        <w:t xml:space="preserve"> is unparalleled in BA. Further, it is unlikely that the men would be pictured as questioning God’s power, whe</w:t>
      </w:r>
      <w:r w:rsidR="009831DB" w:rsidRPr="00B740B4">
        <w:rPr>
          <w:rFonts w:eastAsia="Times New Roman"/>
          <w:noProof/>
        </w:rPr>
        <w:t>r</w:t>
      </w:r>
      <w:r w:rsidRPr="00B740B4">
        <w:rPr>
          <w:rFonts w:eastAsia="Times New Roman"/>
          <w:noProof/>
        </w:rPr>
        <w:t>eas the question whether such a God exists has already been raised (v 15), and v 17 takes thi</w:t>
      </w:r>
      <w:r w:rsidR="00072E92" w:rsidRPr="00B740B4">
        <w:rPr>
          <w:rFonts w:eastAsia="Times New Roman"/>
          <w:noProof/>
        </w:rPr>
        <w:t>s up; cf. v 29. See d</w:t>
      </w:r>
      <w:r w:rsidRPr="00B740B4">
        <w:rPr>
          <w:rFonts w:eastAsia="Times New Roman"/>
          <w:noProof/>
        </w:rPr>
        <w:t xml:space="preserve">iscussion in Coxon, </w:t>
      </w:r>
      <w:r w:rsidR="009831DB" w:rsidRPr="00B740B4">
        <w:rPr>
          <w:rFonts w:eastAsia="Times New Roman"/>
          <w:noProof/>
        </w:rPr>
        <w:t>“Daniel iii 17”</w:t>
      </w:r>
      <w:r w:rsidRPr="00B740B4">
        <w:rPr>
          <w:rFonts w:eastAsia="Times New Roman"/>
          <w:noProof/>
        </w:rPr>
        <w:t>; Joubert, 56–58.</w:t>
      </w:r>
    </w:p>
    <w:p w:rsidR="00584710" w:rsidRPr="00B740B4" w:rsidRDefault="00584710" w:rsidP="00584710">
      <w:pPr>
        <w:rPr>
          <w:rFonts w:eastAsia="Times New Roman"/>
          <w:noProof/>
        </w:rPr>
      </w:pPr>
      <w:r w:rsidRPr="00B740B4">
        <w:rPr>
          <w:rFonts w:eastAsia="Times New Roman"/>
          <w:noProof/>
        </w:rPr>
        <w:t>18.a.</w:t>
      </w:r>
      <w:r w:rsidR="009831DB" w:rsidRPr="00B740B4">
        <w:rPr>
          <w:rFonts w:ascii="Arial" w:eastAsia="Times New Roman" w:hAnsi="Arial" w:cs="Arial"/>
          <w:noProof/>
        </w:rPr>
        <w:t xml:space="preserve"> לא</w:t>
      </w:r>
      <w:r w:rsidRPr="00B740B4">
        <w:rPr>
          <w:rFonts w:eastAsia="Times New Roman"/>
          <w:noProof/>
        </w:rPr>
        <w:t xml:space="preserve"> </w:t>
      </w:r>
      <w:r w:rsidRPr="00B740B4">
        <w:rPr>
          <w:rFonts w:ascii="Arial" w:eastAsia="Times New Roman" w:hAnsi="Arial" w:cs="Arial"/>
          <w:noProof/>
        </w:rPr>
        <w:t>והן</w:t>
      </w:r>
      <w:r w:rsidRPr="00B740B4">
        <w:rPr>
          <w:rFonts w:eastAsia="Times New Roman"/>
          <w:noProof/>
        </w:rPr>
        <w:t>, i.e., “</w:t>
      </w:r>
      <w:r w:rsidR="000F5760" w:rsidRPr="00B740B4">
        <w:rPr>
          <w:rFonts w:eastAsia="Times New Roman"/>
          <w:noProof/>
        </w:rPr>
        <w:t xml:space="preserve">even if he does not rescue us,” </w:t>
      </w:r>
      <w:r w:rsidRPr="00B740B4">
        <w:rPr>
          <w:rFonts w:eastAsia="Times New Roman"/>
          <w:noProof/>
        </w:rPr>
        <w:t>not “even if such a God does not exist</w:t>
      </w:r>
      <w:r w:rsidR="000F5760" w:rsidRPr="00B740B4">
        <w:rPr>
          <w:rFonts w:eastAsia="Times New Roman"/>
          <w:noProof/>
        </w:rPr>
        <w:t>.”</w:t>
      </w:r>
      <w:r w:rsidRPr="00B740B4">
        <w:rPr>
          <w:rFonts w:eastAsia="Times New Roman"/>
          <w:noProof/>
        </w:rPr>
        <w:t xml:space="preserve"> The conditional cl</w:t>
      </w:r>
      <w:r w:rsidR="009831DB" w:rsidRPr="00B740B4">
        <w:rPr>
          <w:rFonts w:eastAsia="Times New Roman"/>
          <w:noProof/>
        </w:rPr>
        <w:t>ause</w:t>
      </w:r>
      <w:r w:rsidRPr="00B740B4">
        <w:rPr>
          <w:rFonts w:eastAsia="Times New Roman"/>
          <w:noProof/>
        </w:rPr>
        <w:t xml:space="preserve"> follows on from that in v 17, rather than paralleling it</w:t>
      </w:r>
      <w:r w:rsidR="00F817E9">
        <w:rPr>
          <w:rFonts w:eastAsia="Times New Roman"/>
          <w:noProof/>
        </w:rPr>
        <w:t xml:space="preserve"> (</w:t>
      </w:r>
      <w:r w:rsidR="00F817E9" w:rsidRPr="00F817E9">
        <w:rPr>
          <w:rFonts w:eastAsia="Times New Roman"/>
          <w:noProof/>
        </w:rPr>
        <w:t>Heller</w:t>
      </w:r>
      <w:r w:rsidR="00F817E9">
        <w:rPr>
          <w:rFonts w:eastAsia="Times New Roman"/>
          <w:b/>
          <w:noProof/>
        </w:rPr>
        <w:t xml:space="preserve">, </w:t>
      </w:r>
      <w:r w:rsidR="00F817E9" w:rsidRPr="00F817E9">
        <w:rPr>
          <w:rFonts w:eastAsia="Times New Roman"/>
          <w:noProof/>
        </w:rPr>
        <w:t xml:space="preserve">“ ‘But if not…’ </w:t>
      </w:r>
      <w:r w:rsidR="00F817E9" w:rsidRPr="00F817E9">
        <w:rPr>
          <w:rFonts w:eastAsia="Times New Roman"/>
          <w:i/>
          <w:noProof/>
        </w:rPr>
        <w:t>What?</w:t>
      </w:r>
      <w:r w:rsidR="00F817E9" w:rsidRPr="00F817E9">
        <w:rPr>
          <w:rFonts w:eastAsia="Times New Roman"/>
          <w:noProof/>
        </w:rPr>
        <w:t>”</w:t>
      </w:r>
      <w:r w:rsidR="00F817E9">
        <w:rPr>
          <w:rFonts w:eastAsia="Times New Roman"/>
          <w:noProof/>
        </w:rPr>
        <w:t xml:space="preserve"> argues for “even if you do not throw us into the furnace”)</w:t>
      </w:r>
      <w:r w:rsidRPr="00B740B4">
        <w:rPr>
          <w:rFonts w:eastAsia="Times New Roman"/>
          <w:noProof/>
        </w:rPr>
        <w:t>.</w:t>
      </w:r>
      <w:r w:rsidR="000265D7" w:rsidRPr="00B740B4">
        <w:rPr>
          <w:rFonts w:eastAsia="Times New Roman"/>
          <w:noProof/>
        </w:rPr>
        <w:t xml:space="preserve"> </w:t>
      </w:r>
      <w:r w:rsidR="000F5760" w:rsidRPr="00B740B4">
        <w:rPr>
          <w:rFonts w:eastAsia="Times New Roman"/>
          <w:noProof/>
        </w:rPr>
        <w:t>OG again safeguards against the scandalous possible int</w:t>
      </w:r>
      <w:r w:rsidR="00072E92" w:rsidRPr="00B740B4">
        <w:rPr>
          <w:rFonts w:eastAsia="Times New Roman"/>
          <w:noProof/>
        </w:rPr>
        <w:t>erpretation by turning the if-c</w:t>
      </w:r>
      <w:r w:rsidR="000F5760" w:rsidRPr="00B740B4">
        <w:rPr>
          <w:rFonts w:eastAsia="Times New Roman"/>
          <w:noProof/>
        </w:rPr>
        <w:t>l</w:t>
      </w:r>
      <w:r w:rsidR="00072E92" w:rsidRPr="00B740B4">
        <w:rPr>
          <w:rFonts w:eastAsia="Times New Roman"/>
          <w:noProof/>
        </w:rPr>
        <w:t>au</w:t>
      </w:r>
      <w:r w:rsidR="000F5760" w:rsidRPr="00B740B4">
        <w:rPr>
          <w:rFonts w:eastAsia="Times New Roman"/>
          <w:noProof/>
        </w:rPr>
        <w:t xml:space="preserve">se into an affirmation, “and then it will be clear to you” (cf. Collins, </w:t>
      </w:r>
      <w:r w:rsidR="000F5760" w:rsidRPr="00B740B4">
        <w:rPr>
          <w:rFonts w:eastAsia="Times New Roman"/>
          <w:i/>
          <w:noProof/>
        </w:rPr>
        <w:t>Daniel</w:t>
      </w:r>
      <w:r w:rsidR="000F5760" w:rsidRPr="00B740B4">
        <w:rPr>
          <w:rFonts w:eastAsia="Times New Roman"/>
          <w:noProof/>
        </w:rPr>
        <w:t>, 177).</w:t>
      </w:r>
    </w:p>
    <w:p w:rsidR="00584710" w:rsidRPr="00B740B4" w:rsidRDefault="00584710" w:rsidP="00584710">
      <w:pPr>
        <w:rPr>
          <w:rFonts w:eastAsia="Times New Roman"/>
          <w:noProof/>
        </w:rPr>
      </w:pPr>
      <w:r w:rsidRPr="00B740B4">
        <w:rPr>
          <w:rFonts w:eastAsia="Times New Roman"/>
          <w:noProof/>
        </w:rPr>
        <w:t xml:space="preserve">19.a. </w:t>
      </w:r>
      <w:r w:rsidR="00C93BE4" w:rsidRPr="00B740B4">
        <w:rPr>
          <w:rFonts w:eastAsia="Times New Roman"/>
          <w:noProof/>
        </w:rPr>
        <w:t>Lit.</w:t>
      </w:r>
      <w:r w:rsidR="00AF7918" w:rsidRPr="00B740B4">
        <w:rPr>
          <w:rFonts w:eastAsia="Times New Roman"/>
          <w:noProof/>
        </w:rPr>
        <w:t xml:space="preserve"> “one seven”; a</w:t>
      </w:r>
      <w:r w:rsidRPr="00B740B4">
        <w:rPr>
          <w:rFonts w:eastAsia="Times New Roman"/>
          <w:noProof/>
        </w:rPr>
        <w:t xml:space="preserve"> proverbial hyberbole (cf. Prov 26:16, 25)</w:t>
      </w:r>
      <w:r w:rsidR="00AF7918" w:rsidRPr="00B740B4">
        <w:rPr>
          <w:rFonts w:eastAsia="Times New Roman"/>
          <w:noProof/>
        </w:rPr>
        <w:t>.</w:t>
      </w:r>
    </w:p>
    <w:p w:rsidR="00584710" w:rsidRPr="00B740B4" w:rsidRDefault="00C93BE4" w:rsidP="00584710">
      <w:pPr>
        <w:rPr>
          <w:rFonts w:eastAsia="Times New Roman"/>
          <w:i/>
          <w:noProof/>
        </w:rPr>
      </w:pPr>
      <w:r w:rsidRPr="00B740B4">
        <w:rPr>
          <w:rFonts w:eastAsia="Times New Roman"/>
          <w:noProof/>
        </w:rPr>
        <w:t xml:space="preserve">19.b. </w:t>
      </w:r>
      <w:r w:rsidR="00584710" w:rsidRPr="00B740B4">
        <w:rPr>
          <w:rFonts w:eastAsia="Times New Roman"/>
          <w:noProof/>
        </w:rPr>
        <w:t>“</w:t>
      </w:r>
      <w:r w:rsidRPr="00B740B4">
        <w:rPr>
          <w:rFonts w:eastAsia="Times New Roman"/>
          <w:noProof/>
        </w:rPr>
        <w:t>Lit., “</w:t>
      </w:r>
      <w:r w:rsidR="00584710" w:rsidRPr="00B740B4">
        <w:rPr>
          <w:rFonts w:eastAsia="Times New Roman"/>
          <w:noProof/>
        </w:rPr>
        <w:t>w</w:t>
      </w:r>
      <w:r w:rsidR="00DC7FC3" w:rsidRPr="00B740B4">
        <w:rPr>
          <w:rFonts w:eastAsia="Times New Roman"/>
          <w:noProof/>
        </w:rPr>
        <w:t>as seen” to be heated—than anyone had seen</w:t>
      </w:r>
      <w:r w:rsidR="000265D7" w:rsidRPr="00B740B4">
        <w:rPr>
          <w:rFonts w:eastAsia="Times New Roman"/>
          <w:noProof/>
        </w:rPr>
        <w:t xml:space="preserve"> before</w:t>
      </w:r>
      <w:r w:rsidR="00DC7FC3" w:rsidRPr="00B740B4">
        <w:rPr>
          <w:rFonts w:eastAsia="Times New Roman"/>
          <w:noProof/>
        </w:rPr>
        <w:t xml:space="preserve"> (Behrmann; cf. Koch).</w:t>
      </w:r>
    </w:p>
    <w:p w:rsidR="00584710" w:rsidRPr="00B740B4" w:rsidRDefault="00584710" w:rsidP="00584710">
      <w:pPr>
        <w:rPr>
          <w:rFonts w:eastAsia="Times New Roman"/>
          <w:noProof/>
        </w:rPr>
      </w:pPr>
      <w:r w:rsidRPr="00B740B4">
        <w:rPr>
          <w:rFonts w:eastAsia="Times New Roman"/>
          <w:noProof/>
        </w:rPr>
        <w:t>20.a-a</w:t>
      </w:r>
      <w:r w:rsidR="00C30646" w:rsidRPr="00B740B4">
        <w:rPr>
          <w:rFonts w:eastAsia="Times New Roman"/>
          <w:noProof/>
        </w:rPr>
        <w:t xml:space="preserve">. </w:t>
      </w:r>
      <w:r w:rsidR="00C93BE4" w:rsidRPr="00B740B4">
        <w:rPr>
          <w:rFonts w:eastAsia="Times New Roman"/>
          <w:noProof/>
        </w:rPr>
        <w:t>Lit.</w:t>
      </w:r>
      <w:r w:rsidR="00C30646" w:rsidRPr="00B740B4">
        <w:rPr>
          <w:rFonts w:eastAsia="Times New Roman"/>
          <w:noProof/>
        </w:rPr>
        <w:t xml:space="preserve">, </w:t>
      </w:r>
      <w:r w:rsidRPr="00B740B4">
        <w:rPr>
          <w:rFonts w:eastAsia="Times New Roman"/>
          <w:noProof/>
        </w:rPr>
        <w:t>“men mighty of strength who were in his army”; for this as superlative (</w:t>
      </w:r>
      <w:r w:rsidRPr="00B740B4">
        <w:rPr>
          <w:rFonts w:eastAsia="Times New Roman"/>
          <w:smallCaps/>
          <w:noProof/>
        </w:rPr>
        <w:t>jps</w:t>
      </w:r>
      <w:r w:rsidR="00C93BE4" w:rsidRPr="00B740B4">
        <w:rPr>
          <w:rFonts w:eastAsia="Times New Roman"/>
          <w:smallCaps/>
          <w:noProof/>
        </w:rPr>
        <w:t>V</w:t>
      </w:r>
      <w:r w:rsidRPr="00B740B4">
        <w:rPr>
          <w:rFonts w:eastAsia="Times New Roman"/>
          <w:noProof/>
        </w:rPr>
        <w:t xml:space="preserve">, </w:t>
      </w:r>
      <w:r w:rsidRPr="00B740B4">
        <w:rPr>
          <w:rFonts w:eastAsia="Times New Roman"/>
          <w:smallCaps/>
          <w:noProof/>
        </w:rPr>
        <w:t>neb</w:t>
      </w:r>
      <w:r w:rsidRPr="00B740B4">
        <w:rPr>
          <w:rFonts w:eastAsia="Times New Roman"/>
          <w:noProof/>
        </w:rPr>
        <w:t>), cf.</w:t>
      </w:r>
      <w:r w:rsidR="00C30646" w:rsidRPr="00B740B4">
        <w:rPr>
          <w:rFonts w:eastAsia="Times New Roman"/>
          <w:noProof/>
        </w:rPr>
        <w:t xml:space="preserve"> </w:t>
      </w:r>
      <w:r w:rsidR="00C30646" w:rsidRPr="00B740B4">
        <w:rPr>
          <w:rFonts w:ascii="Arial" w:eastAsia="Times New Roman" w:hAnsi="Arial" w:cs="Arial"/>
          <w:noProof/>
        </w:rPr>
        <w:t>ב</w:t>
      </w:r>
      <w:r w:rsidRPr="00B740B4">
        <w:rPr>
          <w:rFonts w:eastAsia="Times New Roman"/>
          <w:noProof/>
        </w:rPr>
        <w:t xml:space="preserve"> </w:t>
      </w:r>
      <w:r w:rsidRPr="00B740B4">
        <w:rPr>
          <w:rFonts w:ascii="Arial" w:eastAsia="Times New Roman" w:hAnsi="Arial" w:cs="Arial"/>
          <w:noProof/>
        </w:rPr>
        <w:t>גבוד</w:t>
      </w:r>
      <w:r w:rsidRPr="00B740B4">
        <w:rPr>
          <w:rFonts w:eastAsia="Times New Roman"/>
          <w:noProof/>
        </w:rPr>
        <w:t xml:space="preserve">  in Ps 112:2 (</w:t>
      </w:r>
      <w:r w:rsidRPr="00B740B4">
        <w:rPr>
          <w:rFonts w:eastAsia="Times New Roman"/>
          <w:smallCaps/>
          <w:noProof/>
        </w:rPr>
        <w:t>neb</w:t>
      </w:r>
      <w:r w:rsidRPr="00B740B4">
        <w:rPr>
          <w:rFonts w:eastAsia="Times New Roman"/>
          <w:noProof/>
        </w:rPr>
        <w:t>), Prov 30:30 (</w:t>
      </w:r>
      <w:r w:rsidR="00504E9A" w:rsidRPr="00B740B4">
        <w:rPr>
          <w:rFonts w:eastAsia="Times New Roman"/>
          <w:noProof/>
        </w:rPr>
        <w:t xml:space="preserve">BDB, </w:t>
      </w:r>
      <w:r w:rsidRPr="00B740B4">
        <w:rPr>
          <w:rFonts w:eastAsia="Times New Roman"/>
          <w:noProof/>
        </w:rPr>
        <w:t xml:space="preserve">150a). Variants of the same roots are </w:t>
      </w:r>
      <w:r w:rsidR="000265D7" w:rsidRPr="00B740B4">
        <w:rPr>
          <w:rFonts w:eastAsia="Times New Roman"/>
          <w:noProof/>
        </w:rPr>
        <w:t xml:space="preserve">here </w:t>
      </w:r>
      <w:r w:rsidRPr="00B740B4">
        <w:rPr>
          <w:rFonts w:eastAsia="Times New Roman"/>
          <w:noProof/>
        </w:rPr>
        <w:t xml:space="preserve">used for “men” and </w:t>
      </w:r>
      <w:r w:rsidRPr="00B740B4">
        <w:rPr>
          <w:rFonts w:eastAsia="Times New Roman"/>
          <w:noProof/>
        </w:rPr>
        <w:lastRenderedPageBreak/>
        <w:t xml:space="preserve">“mighty,” then for “strength” and “army,” so that the effect is almost “the most forceful he-men in his forces.” </w:t>
      </w:r>
      <w:r w:rsidRPr="00B740B4">
        <w:rPr>
          <w:rFonts w:ascii="Arial" w:eastAsia="Times New Roman" w:hAnsi="Arial" w:cs="Arial"/>
          <w:noProof/>
        </w:rPr>
        <w:t>גבר</w:t>
      </w:r>
      <w:r w:rsidRPr="00B740B4">
        <w:rPr>
          <w:rFonts w:eastAsia="Times New Roman"/>
          <w:noProof/>
        </w:rPr>
        <w:t xml:space="preserve"> itself suggests “man as strong” (</w:t>
      </w:r>
      <w:r w:rsidR="00504E9A" w:rsidRPr="00B740B4">
        <w:rPr>
          <w:rFonts w:eastAsia="Times New Roman"/>
          <w:noProof/>
        </w:rPr>
        <w:t xml:space="preserve">BDB, </w:t>
      </w:r>
      <w:r w:rsidRPr="00B740B4">
        <w:rPr>
          <w:rFonts w:eastAsia="Times New Roman"/>
          <w:noProof/>
        </w:rPr>
        <w:t>150).</w:t>
      </w:r>
    </w:p>
    <w:p w:rsidR="00584710" w:rsidRPr="00B740B4" w:rsidRDefault="00584710" w:rsidP="00584710">
      <w:pPr>
        <w:rPr>
          <w:rFonts w:eastAsia="Times New Roman"/>
          <w:noProof/>
        </w:rPr>
      </w:pPr>
      <w:r w:rsidRPr="00B740B4">
        <w:rPr>
          <w:rFonts w:eastAsia="Times New Roman"/>
          <w:noProof/>
        </w:rPr>
        <w:t>20.b. The second inf</w:t>
      </w:r>
      <w:r w:rsidR="00B37409">
        <w:rPr>
          <w:rFonts w:eastAsia="Times New Roman"/>
          <w:noProof/>
        </w:rPr>
        <w:t>.</w:t>
      </w:r>
      <w:r w:rsidRPr="00B740B4">
        <w:rPr>
          <w:rFonts w:eastAsia="Times New Roman"/>
          <w:noProof/>
        </w:rPr>
        <w:t xml:space="preserve"> </w:t>
      </w:r>
      <w:r w:rsidRPr="00B740B4">
        <w:rPr>
          <w:rFonts w:ascii="Arial" w:eastAsia="Times New Roman" w:hAnsi="Arial" w:cs="Arial"/>
          <w:noProof/>
        </w:rPr>
        <w:t>למרמא</w:t>
      </w:r>
      <w:r w:rsidRPr="00B740B4">
        <w:rPr>
          <w:rFonts w:eastAsia="Times New Roman"/>
          <w:noProof/>
        </w:rPr>
        <w:t xml:space="preserve"> is dependent on the first </w:t>
      </w:r>
      <w:r w:rsidRPr="00B740B4">
        <w:rPr>
          <w:rFonts w:ascii="Arial" w:eastAsia="Times New Roman" w:hAnsi="Arial" w:cs="Arial"/>
          <w:noProof/>
        </w:rPr>
        <w:t>לכפתה</w:t>
      </w:r>
      <w:r w:rsidR="00414FED" w:rsidRPr="00B740B4">
        <w:rPr>
          <w:rFonts w:eastAsia="Times New Roman"/>
          <w:noProof/>
        </w:rPr>
        <w:t xml:space="preserve"> “to tie up”; cf. BL 85a. EVV</w:t>
      </w:r>
      <w:r w:rsidRPr="00B740B4">
        <w:rPr>
          <w:rFonts w:eastAsia="Times New Roman"/>
          <w:noProof/>
        </w:rPr>
        <w:t xml:space="preserve"> “and to throw them” requires </w:t>
      </w:r>
      <w:r w:rsidRPr="00B740B4">
        <w:rPr>
          <w:rFonts w:ascii="Arial" w:eastAsia="Times New Roman" w:hAnsi="Arial" w:cs="Arial"/>
          <w:noProof/>
        </w:rPr>
        <w:t>ו</w:t>
      </w:r>
      <w:r w:rsidRPr="00B740B4">
        <w:rPr>
          <w:rFonts w:eastAsia="Times New Roman"/>
          <w:noProof/>
        </w:rPr>
        <w:t xml:space="preserve"> before the v</w:t>
      </w:r>
      <w:r w:rsidR="00C30646" w:rsidRPr="00B740B4">
        <w:rPr>
          <w:rFonts w:eastAsia="Times New Roman"/>
          <w:noProof/>
        </w:rPr>
        <w:t>er</w:t>
      </w:r>
      <w:r w:rsidRPr="00B740B4">
        <w:rPr>
          <w:rFonts w:eastAsia="Times New Roman"/>
          <w:noProof/>
        </w:rPr>
        <w:t>b (haplog?).</w:t>
      </w:r>
    </w:p>
    <w:p w:rsidR="00584710" w:rsidRPr="00B740B4" w:rsidRDefault="00584710" w:rsidP="00584710">
      <w:pPr>
        <w:rPr>
          <w:rFonts w:eastAsia="Times New Roman"/>
          <w:noProof/>
        </w:rPr>
      </w:pPr>
      <w:r w:rsidRPr="00B740B4">
        <w:rPr>
          <w:rFonts w:eastAsia="Times New Roman"/>
          <w:noProof/>
        </w:rPr>
        <w:t xml:space="preserve">21.a. See Lacocque. Less plausibly </w:t>
      </w:r>
      <w:r w:rsidRPr="00B740B4">
        <w:rPr>
          <w:rFonts w:ascii="Arial" w:eastAsia="Times New Roman" w:hAnsi="Arial" w:cs="Arial"/>
          <w:noProof/>
        </w:rPr>
        <w:t>טרליהון</w:t>
      </w:r>
      <w:r w:rsidR="00C30646" w:rsidRPr="00B740B4">
        <w:rPr>
          <w:rFonts w:eastAsia="Times New Roman"/>
          <w:noProof/>
        </w:rPr>
        <w:t xml:space="preserve"> is taken to denote</w:t>
      </w:r>
      <w:r w:rsidRPr="00B740B4">
        <w:rPr>
          <w:rFonts w:eastAsia="Times New Roman"/>
          <w:noProof/>
        </w:rPr>
        <w:t xml:space="preserve"> cloaks (Cook, </w:t>
      </w:r>
      <w:r w:rsidR="00C30646" w:rsidRPr="00B740B4">
        <w:rPr>
          <w:rFonts w:eastAsia="Times New Roman"/>
          <w:noProof/>
        </w:rPr>
        <w:t>“The Articles of Dress in Dan. iii, 21</w:t>
      </w:r>
      <w:r w:rsidRPr="00B740B4">
        <w:rPr>
          <w:rFonts w:eastAsia="Times New Roman"/>
          <w:noProof/>
        </w:rPr>
        <w:t xml:space="preserve">; BDB; </w:t>
      </w:r>
      <w:r w:rsidRPr="00B740B4">
        <w:rPr>
          <w:rFonts w:eastAsia="Times New Roman"/>
          <w:i/>
          <w:noProof/>
        </w:rPr>
        <w:t>DTT</w:t>
      </w:r>
      <w:r w:rsidRPr="00B740B4">
        <w:rPr>
          <w:rFonts w:eastAsia="Times New Roman"/>
          <w:noProof/>
        </w:rPr>
        <w:t xml:space="preserve">) or headwear (Nyberg, </w:t>
      </w:r>
      <w:r w:rsidR="00DC72F2" w:rsidRPr="00B740B4">
        <w:rPr>
          <w:rFonts w:eastAsia="Times New Roman"/>
          <w:noProof/>
        </w:rPr>
        <w:t>“Ein iranisches Wort im Buche Daniel,”</w:t>
      </w:r>
      <w:r w:rsidRPr="00B740B4">
        <w:rPr>
          <w:rFonts w:eastAsia="Times New Roman"/>
          <w:noProof/>
        </w:rPr>
        <w:t xml:space="preserve"> 178–87).</w:t>
      </w:r>
    </w:p>
    <w:p w:rsidR="00584710" w:rsidRPr="00B740B4" w:rsidRDefault="00584710" w:rsidP="00584710">
      <w:pPr>
        <w:rPr>
          <w:rFonts w:eastAsia="Times New Roman"/>
          <w:noProof/>
        </w:rPr>
      </w:pPr>
      <w:r w:rsidRPr="00B740B4">
        <w:rPr>
          <w:rFonts w:eastAsia="Times New Roman"/>
          <w:noProof/>
        </w:rPr>
        <w:t xml:space="preserve">21.b. </w:t>
      </w:r>
      <w:r w:rsidRPr="00B740B4">
        <w:rPr>
          <w:rFonts w:ascii="Arial" w:eastAsia="Times New Roman" w:hAnsi="Arial" w:cs="Arial"/>
          <w:noProof/>
        </w:rPr>
        <w:t>פטישיהון</w:t>
      </w:r>
      <w:r w:rsidRPr="00B740B4">
        <w:rPr>
          <w:rFonts w:eastAsia="Times New Roman"/>
          <w:noProof/>
        </w:rPr>
        <w:t xml:space="preserve"> is the most puzzling of the four words in the list. </w:t>
      </w:r>
      <w:r w:rsidRPr="00B740B4">
        <w:rPr>
          <w:rFonts w:eastAsia="Times New Roman"/>
          <w:i/>
          <w:noProof/>
        </w:rPr>
        <w:t>DTT</w:t>
      </w:r>
      <w:r w:rsidR="00777327">
        <w:rPr>
          <w:rFonts w:eastAsia="Times New Roman"/>
          <w:noProof/>
        </w:rPr>
        <w:t xml:space="preserve"> suggests “trousers”;</w:t>
      </w:r>
      <w:r w:rsidR="00877097" w:rsidRPr="00B740B4">
        <w:rPr>
          <w:rFonts w:eastAsia="Times New Roman"/>
          <w:noProof/>
        </w:rPr>
        <w:t xml:space="preserve"> G</w:t>
      </w:r>
      <w:r w:rsidR="00E43525" w:rsidRPr="00B740B4">
        <w:rPr>
          <w:rFonts w:eastAsia="Times New Roman"/>
          <w:noProof/>
        </w:rPr>
        <w:t>k.</w:t>
      </w:r>
      <w:r w:rsidR="00877097" w:rsidRPr="00B740B4">
        <w:rPr>
          <w:rFonts w:eastAsia="Times New Roman"/>
          <w:noProof/>
        </w:rPr>
        <w:t xml:space="preserve"> </w:t>
      </w:r>
      <w:r w:rsidR="00B403B1" w:rsidRPr="00B740B4">
        <w:rPr>
          <w:rFonts w:eastAsia="Times New Roman"/>
          <w:noProof/>
        </w:rPr>
        <w:t>πέτα</w:t>
      </w:r>
      <w:r w:rsidRPr="00B740B4">
        <w:rPr>
          <w:rFonts w:eastAsia="Times New Roman"/>
          <w:noProof/>
        </w:rPr>
        <w:t>σος means “headwear.” Possibly at least one of the words is an explanatory gl</w:t>
      </w:r>
      <w:r w:rsidR="00B403B1" w:rsidRPr="00B740B4">
        <w:rPr>
          <w:rFonts w:eastAsia="Times New Roman"/>
          <w:noProof/>
        </w:rPr>
        <w:t>oss</w:t>
      </w:r>
      <w:r w:rsidRPr="00B740B4">
        <w:rPr>
          <w:rFonts w:eastAsia="Times New Roman"/>
          <w:noProof/>
        </w:rPr>
        <w:t xml:space="preserve"> on an unfamiliar expression (see Nyberg, </w:t>
      </w:r>
      <w:r w:rsidR="00DC72F2" w:rsidRPr="00B740B4">
        <w:rPr>
          <w:rFonts w:eastAsia="Times New Roman"/>
          <w:noProof/>
        </w:rPr>
        <w:t>“Ein iranisches Wort im Buche Daniel”</w:t>
      </w:r>
      <w:r w:rsidR="000265D7" w:rsidRPr="00B740B4">
        <w:rPr>
          <w:rFonts w:eastAsia="Times New Roman"/>
          <w:noProof/>
        </w:rPr>
        <w:t>)</w:t>
      </w:r>
      <w:r w:rsidRPr="00B740B4">
        <w:rPr>
          <w:rFonts w:eastAsia="Times New Roman"/>
          <w:noProof/>
        </w:rPr>
        <w:t>; I have thus transliterated this word</w:t>
      </w:r>
      <w:r w:rsidR="00443802" w:rsidRPr="00B740B4">
        <w:rPr>
          <w:rFonts w:eastAsia="Times New Roman"/>
          <w:noProof/>
        </w:rPr>
        <w:t>,</w:t>
      </w:r>
      <w:r w:rsidRPr="00B740B4">
        <w:rPr>
          <w:rFonts w:eastAsia="Times New Roman"/>
          <w:noProof/>
        </w:rPr>
        <w:t xml:space="preserve"> which may have been strange to the original hearers.</w:t>
      </w:r>
    </w:p>
    <w:p w:rsidR="00584710" w:rsidRPr="00B740B4" w:rsidRDefault="00584710" w:rsidP="00584710">
      <w:pPr>
        <w:rPr>
          <w:rFonts w:eastAsia="Times New Roman"/>
          <w:noProof/>
        </w:rPr>
      </w:pPr>
      <w:r w:rsidRPr="00B740B4">
        <w:rPr>
          <w:rFonts w:eastAsia="Times New Roman"/>
          <w:noProof/>
        </w:rPr>
        <w:t>23.a. The v</w:t>
      </w:r>
      <w:r w:rsidR="00DC72F2" w:rsidRPr="00B740B4">
        <w:rPr>
          <w:rFonts w:eastAsia="Times New Roman"/>
          <w:noProof/>
        </w:rPr>
        <w:t>erse</w:t>
      </w:r>
      <w:r w:rsidRPr="00B740B4">
        <w:rPr>
          <w:rFonts w:eastAsia="Times New Roman"/>
          <w:noProof/>
        </w:rPr>
        <w:t xml:space="preserve"> reads better as a resumptive lead-in to a new paragraph than as (otiose) repetition at the end of the previous paragraph (against MT).</w:t>
      </w:r>
    </w:p>
    <w:p w:rsidR="00584710" w:rsidRPr="00B740B4" w:rsidRDefault="00584710" w:rsidP="00584710">
      <w:pPr>
        <w:rPr>
          <w:rFonts w:eastAsia="Times New Roman"/>
          <w:noProof/>
        </w:rPr>
      </w:pPr>
      <w:r w:rsidRPr="00B740B4">
        <w:rPr>
          <w:rFonts w:eastAsia="Times New Roman"/>
          <w:noProof/>
        </w:rPr>
        <w:t xml:space="preserve">24.a-a. </w:t>
      </w:r>
      <w:r w:rsidRPr="00B740B4">
        <w:rPr>
          <w:rFonts w:ascii="Arial" w:eastAsia="Times New Roman" w:hAnsi="Arial" w:cs="Arial"/>
          <w:noProof/>
        </w:rPr>
        <w:t>בהתבהלה</w:t>
      </w:r>
      <w:r w:rsidRPr="00B740B4">
        <w:rPr>
          <w:rFonts w:eastAsia="Times New Roman"/>
          <w:noProof/>
        </w:rPr>
        <w:t xml:space="preserve"> </w:t>
      </w:r>
      <w:r w:rsidR="00DC72F2" w:rsidRPr="00B740B4">
        <w:rPr>
          <w:rFonts w:ascii="Arial" w:eastAsia="Times New Roman" w:hAnsi="Arial" w:cs="Arial"/>
          <w:noProof/>
        </w:rPr>
        <w:t>וקם</w:t>
      </w:r>
      <w:r w:rsidR="00DC72F2" w:rsidRPr="00B740B4">
        <w:rPr>
          <w:rFonts w:eastAsia="Times New Roman"/>
          <w:noProof/>
        </w:rPr>
        <w:t xml:space="preserve"> </w:t>
      </w:r>
      <w:r w:rsidR="00DC72F2" w:rsidRPr="00B740B4">
        <w:rPr>
          <w:rFonts w:ascii="Arial" w:eastAsia="Times New Roman" w:hAnsi="Arial" w:cs="Arial"/>
          <w:noProof/>
        </w:rPr>
        <w:t>ה</w:t>
      </w:r>
      <w:r w:rsidR="00DC72F2" w:rsidRPr="00B740B4">
        <w:rPr>
          <w:rFonts w:eastAsia="Times New Roman"/>
          <w:noProof/>
        </w:rPr>
        <w:t xml:space="preserve"> </w:t>
      </w:r>
      <w:r w:rsidR="00DC72F2" w:rsidRPr="00B740B4">
        <w:rPr>
          <w:rFonts w:ascii="Arial" w:eastAsia="Times New Roman" w:hAnsi="Arial" w:cs="Arial"/>
          <w:noProof/>
        </w:rPr>
        <w:t>נ</w:t>
      </w:r>
      <w:r w:rsidR="00DC72F2" w:rsidRPr="00B740B4">
        <w:rPr>
          <w:rFonts w:eastAsia="Times New Roman"/>
          <w:noProof/>
        </w:rPr>
        <w:t xml:space="preserve"> </w:t>
      </w:r>
      <w:r w:rsidR="00DC72F2" w:rsidRPr="00B740B4">
        <w:rPr>
          <w:rFonts w:ascii="Arial" w:eastAsia="Times New Roman" w:hAnsi="Arial" w:cs="Arial"/>
          <w:noProof/>
        </w:rPr>
        <w:t>ת</w:t>
      </w:r>
      <w:r w:rsidR="00DC72F2" w:rsidRPr="00B740B4">
        <w:rPr>
          <w:rFonts w:eastAsia="Times New Roman"/>
          <w:noProof/>
        </w:rPr>
        <w:t xml:space="preserve"> </w:t>
      </w:r>
      <w:r w:rsidRPr="00B740B4">
        <w:rPr>
          <w:rFonts w:eastAsia="Times New Roman"/>
          <w:noProof/>
        </w:rPr>
        <w:t>suggests fear, not mere amazement (BDB)</w:t>
      </w:r>
      <w:r w:rsidR="007F0165" w:rsidRPr="00B740B4">
        <w:rPr>
          <w:rFonts w:eastAsia="Times New Roman"/>
          <w:noProof/>
        </w:rPr>
        <w:t>, as Syr makes explicit</w:t>
      </w:r>
      <w:r w:rsidRPr="00B740B4">
        <w:rPr>
          <w:rFonts w:eastAsia="Times New Roman"/>
          <w:noProof/>
        </w:rPr>
        <w:t>: cf. n. 2:25.a.</w:t>
      </w:r>
    </w:p>
    <w:p w:rsidR="00584710" w:rsidRPr="00B740B4" w:rsidRDefault="00584710" w:rsidP="00584710">
      <w:pPr>
        <w:rPr>
          <w:rFonts w:eastAsia="Times New Roman"/>
          <w:noProof/>
        </w:rPr>
      </w:pPr>
      <w:r w:rsidRPr="00B740B4">
        <w:rPr>
          <w:rFonts w:eastAsia="Times New Roman"/>
          <w:noProof/>
        </w:rPr>
        <w:t xml:space="preserve">24.b. </w:t>
      </w:r>
      <w:r w:rsidRPr="00B740B4">
        <w:rPr>
          <w:rFonts w:ascii="Arial" w:eastAsia="Times New Roman" w:hAnsi="Arial" w:cs="Arial"/>
          <w:noProof/>
        </w:rPr>
        <w:t>הדברוהי</w:t>
      </w:r>
      <w:r w:rsidR="002B6994" w:rsidRPr="00B740B4">
        <w:rPr>
          <w:rFonts w:eastAsia="Times New Roman"/>
          <w:noProof/>
        </w:rPr>
        <w:t>, cf. 3:27; 4:36 [33</w:t>
      </w:r>
      <w:r w:rsidR="003C73C9" w:rsidRPr="00B740B4">
        <w:rPr>
          <w:rFonts w:eastAsia="Times New Roman"/>
          <w:noProof/>
        </w:rPr>
        <w:t>]; 6:7 [8</w:t>
      </w:r>
      <w:r w:rsidRPr="00B740B4">
        <w:rPr>
          <w:rFonts w:eastAsia="Times New Roman"/>
          <w:noProof/>
        </w:rPr>
        <w:t>]. The term i</w:t>
      </w:r>
      <w:r w:rsidR="00DC72F2" w:rsidRPr="00B740B4">
        <w:rPr>
          <w:rFonts w:eastAsia="Times New Roman"/>
          <w:noProof/>
        </w:rPr>
        <w:t>s not</w:t>
      </w:r>
      <w:r w:rsidR="00C66AB6" w:rsidRPr="00B740B4">
        <w:rPr>
          <w:rFonts w:eastAsia="Times New Roman"/>
          <w:noProof/>
        </w:rPr>
        <w:t xml:space="preserve"> used in a consistent way and it is not clear  </w:t>
      </w:r>
      <w:r w:rsidR="00DC72F2" w:rsidRPr="00B740B4">
        <w:rPr>
          <w:rFonts w:eastAsia="Times New Roman"/>
          <w:noProof/>
        </w:rPr>
        <w:t>how th</w:t>
      </w:r>
      <w:r w:rsidRPr="00B740B4">
        <w:rPr>
          <w:rFonts w:eastAsia="Times New Roman"/>
          <w:noProof/>
        </w:rPr>
        <w:t>e</w:t>
      </w:r>
      <w:r w:rsidR="00777327">
        <w:rPr>
          <w:rFonts w:eastAsia="Times New Roman"/>
          <w:noProof/>
        </w:rPr>
        <w:t>se</w:t>
      </w:r>
      <w:r w:rsidRPr="00B740B4">
        <w:rPr>
          <w:rFonts w:eastAsia="Times New Roman"/>
          <w:noProof/>
        </w:rPr>
        <w:t xml:space="preserve"> </w:t>
      </w:r>
      <w:r w:rsidR="00DC72F2" w:rsidRPr="00B740B4">
        <w:rPr>
          <w:rFonts w:eastAsia="Times New Roman"/>
          <w:noProof/>
        </w:rPr>
        <w:t xml:space="preserve">people </w:t>
      </w:r>
      <w:r w:rsidRPr="00B740B4">
        <w:rPr>
          <w:rFonts w:eastAsia="Times New Roman"/>
          <w:noProof/>
        </w:rPr>
        <w:t>relate to the groups listed in v 2. In v 27 it may summarize the sec</w:t>
      </w:r>
      <w:r w:rsidR="00DC72F2" w:rsidRPr="00B740B4">
        <w:rPr>
          <w:rFonts w:eastAsia="Times New Roman"/>
          <w:noProof/>
        </w:rPr>
        <w:t>ond, subordinate group of</w:t>
      </w:r>
      <w:r w:rsidRPr="00B740B4">
        <w:rPr>
          <w:rFonts w:eastAsia="Times New Roman"/>
          <w:noProof/>
        </w:rPr>
        <w:t xml:space="preserve"> officials in that list.</w:t>
      </w:r>
    </w:p>
    <w:p w:rsidR="00584710" w:rsidRPr="00B740B4" w:rsidRDefault="00584710" w:rsidP="00584710">
      <w:pPr>
        <w:rPr>
          <w:rFonts w:eastAsia="Times New Roman"/>
          <w:noProof/>
        </w:rPr>
      </w:pPr>
      <w:r w:rsidRPr="00B740B4">
        <w:rPr>
          <w:rFonts w:eastAsia="Times New Roman"/>
          <w:noProof/>
        </w:rPr>
        <w:t xml:space="preserve">25.a. On the vocalization of </w:t>
      </w:r>
      <w:r w:rsidRPr="00B740B4">
        <w:rPr>
          <w:rFonts w:ascii="Arial" w:eastAsia="Times New Roman" w:hAnsi="Arial" w:cs="Arial"/>
          <w:noProof/>
        </w:rPr>
        <w:t>מהלכין</w:t>
      </w:r>
      <w:r w:rsidRPr="00B740B4">
        <w:rPr>
          <w:rFonts w:eastAsia="Times New Roman"/>
          <w:noProof/>
        </w:rPr>
        <w:t>, see Eitan.</w:t>
      </w:r>
    </w:p>
    <w:p w:rsidR="00584710" w:rsidRPr="00B740B4" w:rsidRDefault="00584710" w:rsidP="00584710">
      <w:pPr>
        <w:rPr>
          <w:rFonts w:eastAsia="Times New Roman"/>
          <w:noProof/>
        </w:rPr>
      </w:pPr>
      <w:r w:rsidRPr="00B740B4">
        <w:rPr>
          <w:rFonts w:eastAsia="Times New Roman"/>
          <w:noProof/>
        </w:rPr>
        <w:t xml:space="preserve">25.b. </w:t>
      </w:r>
      <w:r w:rsidRPr="00B740B4">
        <w:rPr>
          <w:rFonts w:ascii="Arial" w:eastAsia="Times New Roman" w:hAnsi="Arial" w:cs="Arial"/>
          <w:noProof/>
        </w:rPr>
        <w:t>אלהין</w:t>
      </w:r>
      <w:r w:rsidRPr="00B740B4">
        <w:rPr>
          <w:rFonts w:eastAsia="Times New Roman"/>
          <w:noProof/>
        </w:rPr>
        <w:t xml:space="preserve"> </w:t>
      </w:r>
      <w:r w:rsidR="000E6BC6" w:rsidRPr="00B740B4">
        <w:rPr>
          <w:rFonts w:ascii="Arial" w:eastAsia="Times New Roman" w:hAnsi="Arial" w:cs="Arial"/>
          <w:noProof/>
        </w:rPr>
        <w:t>בר.</w:t>
      </w:r>
      <w:r w:rsidR="000E6BC6" w:rsidRPr="00B740B4">
        <w:rPr>
          <w:rFonts w:eastAsia="Times New Roman"/>
          <w:noProof/>
        </w:rPr>
        <w:t xml:space="preserve"> </w:t>
      </w:r>
      <w:r w:rsidRPr="00B740B4">
        <w:rPr>
          <w:rFonts w:eastAsia="Times New Roman"/>
          <w:noProof/>
        </w:rPr>
        <w:t>“The Son of God” (</w:t>
      </w:r>
      <w:r w:rsidR="0042687F" w:rsidRPr="00B740B4">
        <w:rPr>
          <w:rFonts w:eastAsia="Times New Roman"/>
          <w:smallCaps/>
          <w:noProof/>
        </w:rPr>
        <w:t>KJV</w:t>
      </w:r>
      <w:r w:rsidRPr="00B740B4">
        <w:rPr>
          <w:rFonts w:eastAsia="Times New Roman"/>
          <w:noProof/>
        </w:rPr>
        <w:t>) would require emph</w:t>
      </w:r>
      <w:r w:rsidR="009831DB" w:rsidRPr="00B740B4">
        <w:rPr>
          <w:rFonts w:eastAsia="Times New Roman"/>
          <w:noProof/>
        </w:rPr>
        <w:t>atic</w:t>
      </w:r>
      <w:r w:rsidRPr="00B740B4">
        <w:rPr>
          <w:rFonts w:eastAsia="Times New Roman"/>
          <w:noProof/>
        </w:rPr>
        <w:t xml:space="preserve"> </w:t>
      </w:r>
      <w:r w:rsidRPr="00B740B4">
        <w:rPr>
          <w:rFonts w:ascii="Arial" w:eastAsia="Times New Roman" w:hAnsi="Arial" w:cs="Arial"/>
          <w:noProof/>
        </w:rPr>
        <w:t>אלהיא</w:t>
      </w:r>
      <w:r w:rsidRPr="00B740B4">
        <w:rPr>
          <w:rFonts w:eastAsia="Times New Roman"/>
          <w:noProof/>
        </w:rPr>
        <w:t>, or better emph</w:t>
      </w:r>
      <w:r w:rsidR="009831DB" w:rsidRPr="00B740B4">
        <w:rPr>
          <w:rFonts w:eastAsia="Times New Roman"/>
          <w:noProof/>
        </w:rPr>
        <w:t>atic</w:t>
      </w:r>
      <w:r w:rsidRPr="00B740B4">
        <w:rPr>
          <w:rFonts w:eastAsia="Times New Roman"/>
          <w:noProof/>
        </w:rPr>
        <w:t xml:space="preserve"> s</w:t>
      </w:r>
      <w:r w:rsidR="009831DB" w:rsidRPr="00B740B4">
        <w:rPr>
          <w:rFonts w:eastAsia="Times New Roman"/>
          <w:noProof/>
        </w:rPr>
        <w:t>.</w:t>
      </w:r>
      <w:r w:rsidRPr="00B740B4">
        <w:rPr>
          <w:rFonts w:eastAsia="Times New Roman"/>
          <w:noProof/>
        </w:rPr>
        <w:t xml:space="preserve"> </w:t>
      </w:r>
      <w:r w:rsidRPr="00B740B4">
        <w:rPr>
          <w:rFonts w:ascii="Arial" w:eastAsia="Times New Roman" w:hAnsi="Arial" w:cs="Arial"/>
          <w:noProof/>
        </w:rPr>
        <w:t>אלהא</w:t>
      </w:r>
      <w:r w:rsidRPr="00B740B4">
        <w:rPr>
          <w:rFonts w:eastAsia="Times New Roman"/>
          <w:noProof/>
        </w:rPr>
        <w:t xml:space="preserve">. Further, in BA pl. </w:t>
      </w:r>
      <w:r w:rsidRPr="00B740B4">
        <w:rPr>
          <w:rFonts w:ascii="Arial" w:eastAsia="Times New Roman" w:hAnsi="Arial" w:cs="Arial"/>
          <w:noProof/>
        </w:rPr>
        <w:t>אלהין</w:t>
      </w:r>
      <w:r w:rsidRPr="00B740B4">
        <w:rPr>
          <w:rFonts w:eastAsia="Times New Roman"/>
          <w:noProof/>
        </w:rPr>
        <w:t xml:space="preserve"> does not elsewhere have s</w:t>
      </w:r>
      <w:r w:rsidR="000E6BC6" w:rsidRPr="00B740B4">
        <w:rPr>
          <w:rFonts w:eastAsia="Times New Roman"/>
          <w:noProof/>
        </w:rPr>
        <w:t>.</w:t>
      </w:r>
      <w:r w:rsidRPr="00B740B4">
        <w:rPr>
          <w:rFonts w:eastAsia="Times New Roman"/>
          <w:noProof/>
        </w:rPr>
        <w:t xml:space="preserve"> meaning like BH </w:t>
      </w:r>
      <w:r w:rsidRPr="00B740B4">
        <w:rPr>
          <w:rFonts w:ascii="Arial" w:eastAsia="Times New Roman" w:hAnsi="Arial" w:cs="Arial"/>
          <w:noProof/>
        </w:rPr>
        <w:t>אלהים</w:t>
      </w:r>
      <w:r w:rsidRPr="00B740B4">
        <w:rPr>
          <w:rFonts w:eastAsia="Times New Roman"/>
          <w:noProof/>
        </w:rPr>
        <w:t xml:space="preserve"> (Ginsberg, </w:t>
      </w:r>
      <w:r w:rsidRPr="00B740B4">
        <w:rPr>
          <w:rFonts w:eastAsia="Times New Roman"/>
          <w:i/>
          <w:noProof/>
        </w:rPr>
        <w:t>Handbook</w:t>
      </w:r>
      <w:r w:rsidRPr="00B740B4">
        <w:rPr>
          <w:rFonts w:eastAsia="Times New Roman"/>
          <w:noProof/>
        </w:rPr>
        <w:t xml:space="preserve"> i, 2:17; BL 87f).</w:t>
      </w:r>
      <w:r w:rsidR="003C2766" w:rsidRPr="00B740B4">
        <w:rPr>
          <w:rFonts w:eastAsia="Times New Roman"/>
          <w:noProof/>
        </w:rPr>
        <w:t xml:space="preserve"> OG has “angel of God,” Th “a son of God,” Vg “a/the son of God.”</w:t>
      </w:r>
      <w:r w:rsidR="00B33AEF" w:rsidRPr="00B740B4">
        <w:rPr>
          <w:rFonts w:eastAsia="Times New Roman"/>
          <w:noProof/>
        </w:rPr>
        <w:t xml:space="preserve"> Jewish tradition identifies the aide with Gabriel, who appears in Dan 8 and 9 (see Pace, </w:t>
      </w:r>
      <w:r w:rsidR="00B33AEF" w:rsidRPr="00B740B4">
        <w:rPr>
          <w:rFonts w:eastAsia="Times New Roman"/>
          <w:i/>
          <w:noProof/>
        </w:rPr>
        <w:t>Daniel</w:t>
      </w:r>
      <w:r w:rsidR="00B33AEF" w:rsidRPr="00B740B4">
        <w:rPr>
          <w:rFonts w:eastAsia="Times New Roman"/>
          <w:noProof/>
        </w:rPr>
        <w:t>, 107).</w:t>
      </w:r>
    </w:p>
    <w:p w:rsidR="00584710" w:rsidRPr="00B740B4" w:rsidRDefault="00584710" w:rsidP="00584710">
      <w:pPr>
        <w:rPr>
          <w:rFonts w:eastAsia="Times New Roman"/>
          <w:noProof/>
        </w:rPr>
      </w:pPr>
      <w:r w:rsidRPr="00B740B4">
        <w:rPr>
          <w:rFonts w:eastAsia="Times New Roman"/>
          <w:noProof/>
        </w:rPr>
        <w:t>27.a. See n. 24.b.</w:t>
      </w:r>
    </w:p>
    <w:p w:rsidR="00584710" w:rsidRPr="00B740B4" w:rsidRDefault="00584710" w:rsidP="00584710">
      <w:pPr>
        <w:rPr>
          <w:rFonts w:eastAsia="Times New Roman"/>
          <w:noProof/>
        </w:rPr>
      </w:pPr>
      <w:r w:rsidRPr="00B740B4">
        <w:rPr>
          <w:rFonts w:eastAsia="Times New Roman"/>
          <w:noProof/>
        </w:rPr>
        <w:t>27.b. See BL 107h.</w:t>
      </w:r>
    </w:p>
    <w:p w:rsidR="00584710" w:rsidRPr="00B740B4" w:rsidRDefault="00584710" w:rsidP="00584710">
      <w:pPr>
        <w:rPr>
          <w:rFonts w:eastAsia="Times New Roman"/>
          <w:noProof/>
        </w:rPr>
      </w:pPr>
      <w:r w:rsidRPr="00B740B4">
        <w:rPr>
          <w:rFonts w:eastAsia="Times New Roman"/>
          <w:noProof/>
        </w:rPr>
        <w:t xml:space="preserve">28.a. </w:t>
      </w:r>
      <w:r w:rsidRPr="00B740B4">
        <w:rPr>
          <w:rFonts w:ascii="Arial" w:eastAsia="Times New Roman" w:hAnsi="Arial" w:cs="Arial"/>
          <w:noProof/>
        </w:rPr>
        <w:t>בריך</w:t>
      </w:r>
      <w:r w:rsidRPr="00B740B4">
        <w:rPr>
          <w:rFonts w:eastAsia="Times New Roman"/>
          <w:noProof/>
        </w:rPr>
        <w:t xml:space="preserve"> is pe’al (contrast 2:20), perhaps impl</w:t>
      </w:r>
      <w:r w:rsidR="000E6BC6" w:rsidRPr="00B740B4">
        <w:rPr>
          <w:rFonts w:eastAsia="Times New Roman"/>
          <w:noProof/>
        </w:rPr>
        <w:t xml:space="preserve">ying “blessed is . . .” (cf. </w:t>
      </w:r>
      <w:r w:rsidRPr="00B740B4">
        <w:rPr>
          <w:rFonts w:eastAsia="Times New Roman"/>
          <w:noProof/>
        </w:rPr>
        <w:t>Bick</w:t>
      </w:r>
      <w:r w:rsidR="000E6BC6" w:rsidRPr="00B740B4">
        <w:rPr>
          <w:rFonts w:eastAsia="Times New Roman"/>
          <w:noProof/>
        </w:rPr>
        <w:t>erman,</w:t>
      </w:r>
      <w:r w:rsidR="00777327">
        <w:rPr>
          <w:rFonts w:eastAsia="Times New Roman"/>
          <w:noProof/>
        </w:rPr>
        <w:t xml:space="preserve"> “Bénédiction et prière,” 527</w:t>
      </w:r>
      <w:r w:rsidRPr="00B740B4">
        <w:rPr>
          <w:rFonts w:eastAsia="Times New Roman"/>
          <w:noProof/>
        </w:rPr>
        <w:t>).</w:t>
      </w:r>
    </w:p>
    <w:p w:rsidR="00584710" w:rsidRPr="00B740B4" w:rsidRDefault="00584710" w:rsidP="00584710">
      <w:pPr>
        <w:rPr>
          <w:rFonts w:eastAsia="Times New Roman"/>
          <w:noProof/>
        </w:rPr>
      </w:pPr>
      <w:r w:rsidRPr="00B740B4">
        <w:rPr>
          <w:rFonts w:eastAsia="Times New Roman"/>
          <w:noProof/>
        </w:rPr>
        <w:t>28.b. So EV</w:t>
      </w:r>
      <w:r w:rsidR="00414FED" w:rsidRPr="00B740B4">
        <w:rPr>
          <w:rFonts w:eastAsia="Times New Roman"/>
          <w:noProof/>
        </w:rPr>
        <w:t>V</w:t>
      </w:r>
      <w:r w:rsidRPr="00B740B4">
        <w:rPr>
          <w:rFonts w:eastAsia="Times New Roman"/>
          <w:noProof/>
        </w:rPr>
        <w:t xml:space="preserve"> for </w:t>
      </w:r>
      <w:r w:rsidRPr="00B740B4">
        <w:rPr>
          <w:rFonts w:ascii="Arial" w:eastAsia="Times New Roman" w:hAnsi="Arial" w:cs="Arial"/>
          <w:noProof/>
        </w:rPr>
        <w:t>שנא</w:t>
      </w:r>
      <w:r w:rsidRPr="00B740B4">
        <w:rPr>
          <w:rFonts w:eastAsia="Times New Roman"/>
          <w:noProof/>
        </w:rPr>
        <w:t xml:space="preserve"> (lit., “change”); </w:t>
      </w:r>
      <w:r w:rsidR="0042687F" w:rsidRPr="00B740B4">
        <w:rPr>
          <w:rFonts w:eastAsia="Times New Roman"/>
          <w:noProof/>
        </w:rPr>
        <w:t>BDB</w:t>
      </w:r>
      <w:r w:rsidR="00F20527" w:rsidRPr="00B740B4">
        <w:rPr>
          <w:rFonts w:eastAsia="Times New Roman"/>
          <w:noProof/>
        </w:rPr>
        <w:t>,</w:t>
      </w:r>
      <w:r w:rsidR="00504E9A" w:rsidRPr="00B740B4">
        <w:rPr>
          <w:rFonts w:eastAsia="Times New Roman"/>
          <w:noProof/>
        </w:rPr>
        <w:t xml:space="preserve"> </w:t>
      </w:r>
      <w:r w:rsidRPr="00B740B4">
        <w:rPr>
          <w:rFonts w:eastAsia="Times New Roman"/>
          <w:noProof/>
        </w:rPr>
        <w:t>“frustrate.”</w:t>
      </w:r>
    </w:p>
    <w:p w:rsidR="00584710" w:rsidRPr="00B740B4" w:rsidRDefault="00584710" w:rsidP="00584710">
      <w:pPr>
        <w:rPr>
          <w:rFonts w:eastAsia="Times New Roman"/>
          <w:noProof/>
        </w:rPr>
      </w:pPr>
      <w:r w:rsidRPr="00B740B4">
        <w:rPr>
          <w:rFonts w:eastAsia="Times New Roman"/>
          <w:noProof/>
        </w:rPr>
        <w:t xml:space="preserve">28.c. </w:t>
      </w:r>
      <w:r w:rsidR="0042687F" w:rsidRPr="00B740B4">
        <w:rPr>
          <w:rFonts w:eastAsia="Times New Roman"/>
          <w:smallCaps/>
          <w:noProof/>
        </w:rPr>
        <w:t>G</w:t>
      </w:r>
      <w:r w:rsidRPr="00B740B4">
        <w:rPr>
          <w:rFonts w:eastAsia="Times New Roman"/>
          <w:noProof/>
        </w:rPr>
        <w:t xml:space="preserve"> “to the fire” adds </w:t>
      </w:r>
      <w:r w:rsidRPr="00B740B4">
        <w:rPr>
          <w:rFonts w:ascii="Arial" w:eastAsia="Times New Roman" w:hAnsi="Arial" w:cs="Arial"/>
          <w:noProof/>
        </w:rPr>
        <w:t>לנורא</w:t>
      </w:r>
      <w:r w:rsidRPr="00B740B4">
        <w:rPr>
          <w:rFonts w:eastAsia="Times New Roman"/>
          <w:noProof/>
        </w:rPr>
        <w:t xml:space="preserve"> (cf. 1 Cor 13:3).</w:t>
      </w:r>
    </w:p>
    <w:p w:rsidR="00584710" w:rsidRPr="00B740B4" w:rsidRDefault="00584710" w:rsidP="00584710">
      <w:pPr>
        <w:rPr>
          <w:rFonts w:eastAsia="Times New Roman"/>
          <w:noProof/>
        </w:rPr>
      </w:pPr>
      <w:r w:rsidRPr="00B740B4">
        <w:rPr>
          <w:rFonts w:eastAsia="Times New Roman"/>
          <w:noProof/>
        </w:rPr>
        <w:t xml:space="preserve">29.a. While </w:t>
      </w:r>
      <w:r w:rsidRPr="00B740B4">
        <w:rPr>
          <w:rFonts w:ascii="Arial" w:eastAsia="Times New Roman" w:hAnsi="Arial" w:cs="Arial"/>
          <w:noProof/>
        </w:rPr>
        <w:t>שלה</w:t>
      </w:r>
      <w:r w:rsidRPr="00B740B4">
        <w:rPr>
          <w:rFonts w:eastAsia="Times New Roman"/>
          <w:noProof/>
        </w:rPr>
        <w:t xml:space="preserve"> might be a misspelling of </w:t>
      </w:r>
      <w:r w:rsidRPr="00B740B4">
        <w:rPr>
          <w:rFonts w:ascii="Arial" w:eastAsia="Times New Roman" w:hAnsi="Arial" w:cs="Arial"/>
          <w:noProof/>
        </w:rPr>
        <w:t>שאלה</w:t>
      </w:r>
      <w:r w:rsidRPr="00B740B4">
        <w:rPr>
          <w:rFonts w:eastAsia="Times New Roman"/>
          <w:noProof/>
        </w:rPr>
        <w:t xml:space="preserve"> (“thing,” 4:</w:t>
      </w:r>
      <w:r w:rsidR="000E6BC6" w:rsidRPr="00B740B4">
        <w:rPr>
          <w:rFonts w:eastAsia="Times New Roman"/>
          <w:noProof/>
        </w:rPr>
        <w:t>17 [</w:t>
      </w:r>
      <w:r w:rsidRPr="00B740B4">
        <w:rPr>
          <w:rFonts w:eastAsia="Times New Roman"/>
          <w:noProof/>
        </w:rPr>
        <w:t>14</w:t>
      </w:r>
      <w:r w:rsidR="000E6BC6" w:rsidRPr="00B740B4">
        <w:rPr>
          <w:rFonts w:eastAsia="Times New Roman"/>
          <w:noProof/>
        </w:rPr>
        <w:t>]</w:t>
      </w:r>
      <w:r w:rsidR="00777327">
        <w:rPr>
          <w:rFonts w:eastAsia="Times New Roman"/>
          <w:noProof/>
        </w:rPr>
        <w:t>), the latter</w:t>
      </w:r>
      <w:r w:rsidRPr="00B740B4">
        <w:rPr>
          <w:rFonts w:eastAsia="Times New Roman"/>
          <w:noProof/>
        </w:rPr>
        <w:t xml:space="preserve"> would be a weak word here—hence perhaps Q </w:t>
      </w:r>
      <w:r w:rsidRPr="00B740B4">
        <w:rPr>
          <w:rFonts w:ascii="Arial" w:eastAsia="Times New Roman" w:hAnsi="Arial" w:cs="Arial"/>
          <w:noProof/>
        </w:rPr>
        <w:t>שלו</w:t>
      </w:r>
      <w:r w:rsidRPr="00B740B4">
        <w:rPr>
          <w:rFonts w:eastAsia="Times New Roman"/>
          <w:noProof/>
        </w:rPr>
        <w:t xml:space="preserve"> (“remissness,” 6:5</w:t>
      </w:r>
      <w:r w:rsidR="000E6BC6" w:rsidRPr="00B740B4">
        <w:rPr>
          <w:rFonts w:eastAsia="Times New Roman"/>
          <w:noProof/>
        </w:rPr>
        <w:t xml:space="preserve"> [6]</w:t>
      </w:r>
      <w:r w:rsidRPr="00B740B4">
        <w:rPr>
          <w:rFonts w:eastAsia="Times New Roman"/>
          <w:noProof/>
        </w:rPr>
        <w:t xml:space="preserve">). Perhaps K is </w:t>
      </w:r>
      <w:r w:rsidRPr="00B740B4">
        <w:rPr>
          <w:rFonts w:ascii="Arial" w:eastAsia="Times New Roman" w:hAnsi="Arial" w:cs="Arial"/>
          <w:noProof/>
        </w:rPr>
        <w:t>שֹׂלָּה</w:t>
      </w:r>
      <w:r w:rsidRPr="00B740B4">
        <w:rPr>
          <w:rFonts w:eastAsia="Times New Roman"/>
          <w:noProof/>
        </w:rPr>
        <w:t xml:space="preserve"> “insult, blasphemy” (</w:t>
      </w:r>
      <w:r w:rsidRPr="00B740B4">
        <w:rPr>
          <w:rFonts w:eastAsia="Times New Roman"/>
          <w:smallCaps/>
          <w:noProof/>
        </w:rPr>
        <w:t>neb</w:t>
      </w:r>
      <w:r w:rsidRPr="00B740B4">
        <w:rPr>
          <w:rFonts w:eastAsia="Times New Roman"/>
          <w:noProof/>
        </w:rPr>
        <w:t xml:space="preserve">; Akk. </w:t>
      </w:r>
      <w:r w:rsidRPr="00B740B4">
        <w:rPr>
          <w:rFonts w:eastAsia="Times New Roman"/>
          <w:i/>
          <w:noProof/>
        </w:rPr>
        <w:t>sillatu</w:t>
      </w:r>
      <w:r w:rsidRPr="00B740B4">
        <w:rPr>
          <w:rFonts w:eastAsia="Times New Roman"/>
          <w:noProof/>
        </w:rPr>
        <w:t xml:space="preserve">, BHS; and cf. BH </w:t>
      </w:r>
      <w:r w:rsidRPr="00B740B4">
        <w:rPr>
          <w:rFonts w:ascii="Arial" w:eastAsia="Times New Roman" w:hAnsi="Arial" w:cs="Arial"/>
          <w:noProof/>
        </w:rPr>
        <w:t>ה</w:t>
      </w:r>
      <w:r w:rsidR="00777327">
        <w:rPr>
          <w:rFonts w:ascii="Arial" w:eastAsia="Times New Roman" w:hAnsi="Arial" w:cs="Arial"/>
          <w:noProof/>
        </w:rPr>
        <w:t xml:space="preserve"> </w:t>
      </w:r>
      <w:r w:rsidR="00777327" w:rsidRPr="00777327">
        <w:rPr>
          <w:rFonts w:ascii="Arial" w:eastAsia="Times New Roman" w:hAnsi="Arial" w:cs="Arial"/>
          <w:noProof/>
        </w:rPr>
        <w:t>ל</w:t>
      </w:r>
      <w:r w:rsidR="00777327">
        <w:rPr>
          <w:rFonts w:ascii="Arial" w:eastAsia="Times New Roman" w:hAnsi="Arial" w:cs="Arial"/>
          <w:noProof/>
        </w:rPr>
        <w:t xml:space="preserve"> </w:t>
      </w:r>
      <w:r w:rsidR="00777327" w:rsidRPr="00777327">
        <w:rPr>
          <w:rFonts w:ascii="Arial" w:eastAsia="Times New Roman" w:hAnsi="Arial" w:cs="Arial"/>
          <w:noProof/>
        </w:rPr>
        <w:t>ס</w:t>
      </w:r>
      <w:r w:rsidRPr="00B740B4">
        <w:rPr>
          <w:rFonts w:eastAsia="Times New Roman"/>
          <w:noProof/>
        </w:rPr>
        <w:t>, J</w:t>
      </w:r>
      <w:r w:rsidR="005B70DC" w:rsidRPr="00B740B4">
        <w:rPr>
          <w:rFonts w:eastAsia="Times New Roman"/>
          <w:noProof/>
        </w:rPr>
        <w:t xml:space="preserve">ewish </w:t>
      </w:r>
      <w:r w:rsidRPr="00B740B4">
        <w:rPr>
          <w:rFonts w:eastAsia="Times New Roman"/>
          <w:noProof/>
        </w:rPr>
        <w:t>A</w:t>
      </w:r>
      <w:r w:rsidR="005B70DC" w:rsidRPr="00B740B4">
        <w:rPr>
          <w:rFonts w:eastAsia="Times New Roman"/>
          <w:noProof/>
        </w:rPr>
        <w:t>ramaic</w:t>
      </w:r>
      <w:r w:rsidRPr="00B740B4">
        <w:rPr>
          <w:rFonts w:eastAsia="Times New Roman"/>
          <w:noProof/>
        </w:rPr>
        <w:t xml:space="preserve"> </w:t>
      </w:r>
      <w:r w:rsidRPr="00B740B4">
        <w:rPr>
          <w:rFonts w:ascii="Arial" w:eastAsia="Times New Roman" w:hAnsi="Arial" w:cs="Arial"/>
          <w:noProof/>
        </w:rPr>
        <w:t>סלא</w:t>
      </w:r>
      <w:r w:rsidR="00777327">
        <w:rPr>
          <w:rFonts w:eastAsia="Times New Roman"/>
          <w:noProof/>
        </w:rPr>
        <w:t>; see</w:t>
      </w:r>
      <w:r w:rsidR="0074041D" w:rsidRPr="00B740B4">
        <w:rPr>
          <w:rFonts w:eastAsia="Times New Roman"/>
          <w:noProof/>
        </w:rPr>
        <w:t xml:space="preserve"> Paul, “Daniel 3:29”).</w:t>
      </w:r>
    </w:p>
    <w:p w:rsidR="00584710" w:rsidRPr="00B740B4" w:rsidRDefault="00584710" w:rsidP="00584710">
      <w:pPr>
        <w:rPr>
          <w:rFonts w:eastAsia="Times New Roman"/>
          <w:noProof/>
        </w:rPr>
      </w:pPr>
      <w:r w:rsidRPr="00B740B4">
        <w:rPr>
          <w:rFonts w:eastAsia="Times New Roman"/>
          <w:noProof/>
        </w:rPr>
        <w:t xml:space="preserve">29.b. </w:t>
      </w:r>
      <w:r w:rsidRPr="00B740B4">
        <w:rPr>
          <w:rFonts w:ascii="Arial" w:eastAsia="Times New Roman" w:hAnsi="Arial" w:cs="Arial"/>
          <w:noProof/>
        </w:rPr>
        <w:t>כדנה</w:t>
      </w:r>
      <w:r w:rsidRPr="00B740B4">
        <w:rPr>
          <w:rFonts w:eastAsia="Times New Roman"/>
          <w:noProof/>
        </w:rPr>
        <w:t>: “like this [god]” (Bentzen) is grammatically possible, but would be unusual.</w:t>
      </w:r>
    </w:p>
    <w:p w:rsidR="00584710" w:rsidRPr="00B740B4" w:rsidRDefault="00584710" w:rsidP="00584710">
      <w:pPr>
        <w:rPr>
          <w:rFonts w:eastAsia="Times New Roman"/>
          <w:noProof/>
        </w:rPr>
      </w:pPr>
      <w:r w:rsidRPr="00B740B4">
        <w:rPr>
          <w:rFonts w:eastAsia="Times New Roman"/>
          <w:noProof/>
        </w:rPr>
        <w:t>30.a. MT correctly marks a</w:t>
      </w:r>
      <w:r w:rsidR="00414FED" w:rsidRPr="00B740B4">
        <w:rPr>
          <w:rFonts w:eastAsia="Times New Roman"/>
          <w:noProof/>
        </w:rPr>
        <w:t xml:space="preserve"> section division here (cf. EVV</w:t>
      </w:r>
      <w:r w:rsidRPr="00B740B4">
        <w:rPr>
          <w:rFonts w:eastAsia="Times New Roman"/>
          <w:noProof/>
        </w:rPr>
        <w:t>)</w:t>
      </w:r>
      <w:r w:rsidR="005B70DC" w:rsidRPr="00B740B4">
        <w:rPr>
          <w:rFonts w:eastAsia="Times New Roman"/>
          <w:noProof/>
        </w:rPr>
        <w:t>. The printed Hebrew Bible</w:t>
      </w:r>
      <w:r w:rsidRPr="00B740B4">
        <w:rPr>
          <w:rFonts w:eastAsia="Times New Roman"/>
          <w:noProof/>
        </w:rPr>
        <w:t xml:space="preserve"> locate</w:t>
      </w:r>
      <w:r w:rsidR="005B70DC" w:rsidRPr="00B740B4">
        <w:rPr>
          <w:rFonts w:eastAsia="Times New Roman"/>
          <w:noProof/>
        </w:rPr>
        <w:t>s</w:t>
      </w:r>
      <w:r w:rsidRPr="00B740B4">
        <w:rPr>
          <w:rFonts w:eastAsia="Times New Roman"/>
          <w:noProof/>
        </w:rPr>
        <w:t xml:space="preserve"> it three verses later</w:t>
      </w:r>
      <w:r w:rsidR="00CD0668" w:rsidRPr="00B740B4">
        <w:rPr>
          <w:rFonts w:eastAsia="Times New Roman"/>
          <w:noProof/>
        </w:rPr>
        <w:t>.</w:t>
      </w:r>
    </w:p>
    <w:p w:rsidR="00584710" w:rsidRPr="00B740B4" w:rsidRDefault="00584710" w:rsidP="009479B1">
      <w:pPr>
        <w:pStyle w:val="Heading2"/>
      </w:pPr>
      <w:r w:rsidRPr="00B740B4">
        <w:t>Form/Structure/Setting</w:t>
      </w:r>
    </w:p>
    <w:p w:rsidR="00584710" w:rsidRPr="00B740B4" w:rsidRDefault="00584710" w:rsidP="00584710">
      <w:pPr>
        <w:pStyle w:val="Heading3"/>
      </w:pPr>
      <w:r w:rsidRPr="00B740B4">
        <w:t xml:space="preserve">Form </w:t>
      </w:r>
    </w:p>
    <w:p w:rsidR="00584710" w:rsidRPr="00B740B4" w:rsidRDefault="00584710" w:rsidP="009955B8">
      <w:pPr>
        <w:rPr>
          <w:rFonts w:eastAsia="Times New Roman"/>
          <w:noProof/>
        </w:rPr>
      </w:pPr>
    </w:p>
    <w:p w:rsidR="00D27965" w:rsidRPr="00B740B4" w:rsidRDefault="00777327" w:rsidP="009955B8">
      <w:pPr>
        <w:rPr>
          <w:rFonts w:eastAsia="Times New Roman"/>
          <w:noProof/>
        </w:rPr>
      </w:pPr>
      <w:r>
        <w:rPr>
          <w:rFonts w:eastAsia="Times New Roman"/>
          <w:noProof/>
        </w:rPr>
        <w:t>See chap</w:t>
      </w:r>
      <w:r w:rsidR="00D27965" w:rsidRPr="00B740B4">
        <w:rPr>
          <w:rFonts w:eastAsia="Times New Roman"/>
          <w:noProof/>
        </w:rPr>
        <w:t>.</w:t>
      </w:r>
      <w:r w:rsidR="009955B8" w:rsidRPr="00B740B4">
        <w:rPr>
          <w:rFonts w:eastAsia="Times New Roman"/>
          <w:noProof/>
        </w:rPr>
        <w:t xml:space="preserve"> 1 </w:t>
      </w:r>
      <w:r w:rsidR="009955B8" w:rsidRPr="00B740B4">
        <w:rPr>
          <w:rFonts w:eastAsia="Times New Roman"/>
          <w:i/>
          <w:noProof/>
        </w:rPr>
        <w:t>Form</w:t>
      </w:r>
      <w:r w:rsidR="00D27965" w:rsidRPr="00B740B4">
        <w:rPr>
          <w:rFonts w:eastAsia="Times New Roman"/>
          <w:noProof/>
        </w:rPr>
        <w:t>. Along w</w:t>
      </w:r>
      <w:r w:rsidR="005B70DC" w:rsidRPr="00B740B4">
        <w:rPr>
          <w:rFonts w:eastAsia="Times New Roman"/>
          <w:noProof/>
        </w:rPr>
        <w:t>ith chap.</w:t>
      </w:r>
      <w:r w:rsidR="009955B8" w:rsidRPr="00B740B4">
        <w:rPr>
          <w:rFonts w:eastAsia="Times New Roman"/>
          <w:noProof/>
        </w:rPr>
        <w:t xml:space="preserve"> 6, Dan 3 can be seen as a tale of court conflict</w:t>
      </w:r>
      <w:r w:rsidR="005B70DC" w:rsidRPr="00B740B4">
        <w:rPr>
          <w:rFonts w:eastAsia="Times New Roman"/>
          <w:noProof/>
        </w:rPr>
        <w:t>,</w:t>
      </w:r>
      <w:r w:rsidR="009955B8" w:rsidRPr="00B740B4">
        <w:rPr>
          <w:rFonts w:eastAsia="Times New Roman"/>
          <w:noProof/>
        </w:rPr>
        <w:t xml:space="preserve"> concerning three men who have been p</w:t>
      </w:r>
      <w:r>
        <w:rPr>
          <w:rFonts w:eastAsia="Times New Roman"/>
          <w:noProof/>
        </w:rPr>
        <w:t>romoted in the administration; a</w:t>
      </w:r>
      <w:r w:rsidR="009955B8" w:rsidRPr="00B740B4">
        <w:rPr>
          <w:rFonts w:eastAsia="Times New Roman"/>
          <w:noProof/>
        </w:rPr>
        <w:t xml:space="preserve"> royal edict gives their rivals the opportunity to attack them for</w:t>
      </w:r>
      <w:r>
        <w:rPr>
          <w:rFonts w:eastAsia="Times New Roman"/>
          <w:noProof/>
        </w:rPr>
        <w:t xml:space="preserve"> treason, t</w:t>
      </w:r>
      <w:r w:rsidR="009955B8" w:rsidRPr="00B740B4">
        <w:rPr>
          <w:rFonts w:eastAsia="Times New Roman"/>
          <w:noProof/>
        </w:rPr>
        <w:t xml:space="preserve">hey are found guilty, but </w:t>
      </w:r>
      <w:r w:rsidR="005B70DC" w:rsidRPr="00B740B4">
        <w:rPr>
          <w:rFonts w:eastAsia="Times New Roman"/>
          <w:noProof/>
        </w:rPr>
        <w:t xml:space="preserve">they </w:t>
      </w:r>
      <w:r w:rsidR="009955B8" w:rsidRPr="00B740B4">
        <w:rPr>
          <w:rFonts w:eastAsia="Times New Roman"/>
          <w:noProof/>
        </w:rPr>
        <w:t>are then vi</w:t>
      </w:r>
      <w:r w:rsidR="005B70DC" w:rsidRPr="00B740B4">
        <w:rPr>
          <w:rFonts w:eastAsia="Times New Roman"/>
          <w:noProof/>
        </w:rPr>
        <w:t>ndicated and</w:t>
      </w:r>
      <w:r w:rsidR="00D27965" w:rsidRPr="00B740B4">
        <w:rPr>
          <w:rFonts w:eastAsia="Times New Roman"/>
          <w:noProof/>
        </w:rPr>
        <w:t xml:space="preserve"> further promoted. </w:t>
      </w:r>
    </w:p>
    <w:p w:rsidR="009955B8" w:rsidRPr="00B740B4" w:rsidRDefault="00D27965" w:rsidP="009955B8">
      <w:pPr>
        <w:rPr>
          <w:rFonts w:eastAsia="Times New Roman"/>
          <w:noProof/>
        </w:rPr>
      </w:pPr>
      <w:r w:rsidRPr="00B740B4">
        <w:rPr>
          <w:rFonts w:eastAsia="Times New Roman"/>
          <w:noProof/>
        </w:rPr>
        <w:t>Given that the story</w:t>
      </w:r>
      <w:r w:rsidR="005B70DC" w:rsidRPr="00B740B4">
        <w:rPr>
          <w:rFonts w:eastAsia="Times New Roman"/>
          <w:noProof/>
        </w:rPr>
        <w:t xml:space="preserve"> concerns</w:t>
      </w:r>
      <w:r w:rsidR="009955B8" w:rsidRPr="00B740B4">
        <w:rPr>
          <w:rFonts w:eastAsia="Times New Roman"/>
          <w:noProof/>
        </w:rPr>
        <w:t xml:space="preserve"> a religious and not merely a political offense, it can also be seen as a confessor legend telling of heroes </w:t>
      </w:r>
      <w:r w:rsidR="005B70DC" w:rsidRPr="00B740B4">
        <w:rPr>
          <w:rFonts w:eastAsia="Times New Roman"/>
          <w:noProof/>
        </w:rPr>
        <w:t>of faith who defy a royal edict</w:t>
      </w:r>
      <w:r w:rsidR="009955B8" w:rsidRPr="00B740B4">
        <w:rPr>
          <w:rFonts w:eastAsia="Times New Roman"/>
          <w:noProof/>
        </w:rPr>
        <w:t xml:space="preserve"> despite the sanction of execution, because obeying it would mean contravening a fundamental aspect of their religious commitment. The sceptical king examines them and gives them a final opportunity to obey, but </w:t>
      </w:r>
      <w:r w:rsidR="005B70DC" w:rsidRPr="00B740B4">
        <w:rPr>
          <w:rFonts w:eastAsia="Times New Roman"/>
          <w:noProof/>
        </w:rPr>
        <w:t xml:space="preserve">he thereby </w:t>
      </w:r>
      <w:r w:rsidR="009955B8" w:rsidRPr="00B740B4">
        <w:rPr>
          <w:rFonts w:eastAsia="Times New Roman"/>
          <w:noProof/>
        </w:rPr>
        <w:t>only p</w:t>
      </w:r>
      <w:r w:rsidR="005B70DC" w:rsidRPr="00B740B4">
        <w:rPr>
          <w:rFonts w:eastAsia="Times New Roman"/>
          <w:noProof/>
        </w:rPr>
        <w:t xml:space="preserve">rovides </w:t>
      </w:r>
      <w:r w:rsidR="005B70DC" w:rsidRPr="00B740B4">
        <w:rPr>
          <w:rFonts w:eastAsia="Times New Roman"/>
          <w:noProof/>
        </w:rPr>
        <w:lastRenderedPageBreak/>
        <w:t>them with a chance</w:t>
      </w:r>
      <w:r w:rsidR="009955B8" w:rsidRPr="00B740B4">
        <w:rPr>
          <w:rFonts w:eastAsia="Times New Roman"/>
          <w:noProof/>
        </w:rPr>
        <w:t xml:space="preserve"> to make their confession before the king himself, despite the reiterated threat of death. The penalty is duly exacted.</w:t>
      </w:r>
    </w:p>
    <w:p w:rsidR="00D27965" w:rsidRPr="00B740B4" w:rsidRDefault="009955B8" w:rsidP="009955B8">
      <w:pPr>
        <w:rPr>
          <w:rFonts w:eastAsia="Times New Roman"/>
        </w:rPr>
      </w:pPr>
      <w:r w:rsidRPr="00B740B4">
        <w:rPr>
          <w:rFonts w:eastAsia="Times New Roman"/>
        </w:rPr>
        <w:t>Matters do not turn out as the king expected, because the story also has features of an aretalogy</w:t>
      </w:r>
      <w:r w:rsidR="00AF7EF4" w:rsidRPr="00B740B4">
        <w:rPr>
          <w:rFonts w:eastAsia="Times New Roman"/>
        </w:rPr>
        <w:t>—it is not merely about their amazing faithfulness but about God’s amazing faithfulness</w:t>
      </w:r>
      <w:r w:rsidRPr="00B740B4">
        <w:rPr>
          <w:rFonts w:eastAsia="Times New Roman"/>
        </w:rPr>
        <w:t>. The confessors’ peril is underlined by repeated motifs such as the king’s personal initiative regarding the statue (vv 1, 2, 3, 5, 7, 12, 14, 15, 18) and the ceremony (vv 2, 4–5, 10–11, 12, 15), his wrath (vv 13, 19), the red-hot blazing furnace (vv 6, 11</w:t>
      </w:r>
      <w:r w:rsidR="005B70DC" w:rsidRPr="00B740B4">
        <w:rPr>
          <w:rFonts w:eastAsia="Times New Roman"/>
        </w:rPr>
        <w:t xml:space="preserve">, </w:t>
      </w:r>
      <w:r w:rsidR="00D27965" w:rsidRPr="00B740B4">
        <w:rPr>
          <w:rFonts w:eastAsia="Times New Roman"/>
        </w:rPr>
        <w:t>15, 17, 20, 21, 23, 26)</w:t>
      </w:r>
      <w:r w:rsidRPr="00B740B4">
        <w:rPr>
          <w:rFonts w:eastAsia="Times New Roman"/>
        </w:rPr>
        <w:t xml:space="preserve"> heated extraordinarily high (vv 19, 22), and the men’s being tied up, by particularly strong soldiers (vv 20,</w:t>
      </w:r>
      <w:r w:rsidR="00D27965" w:rsidRPr="00B740B4">
        <w:rPr>
          <w:rFonts w:eastAsia="Times New Roman"/>
        </w:rPr>
        <w:t xml:space="preserve"> 21, 23). The theological possibil</w:t>
      </w:r>
      <w:r w:rsidRPr="00B740B4">
        <w:rPr>
          <w:rFonts w:eastAsia="Times New Roman"/>
        </w:rPr>
        <w:t xml:space="preserve">ity of some act of God is underlined by </w:t>
      </w:r>
      <w:r w:rsidR="005B70DC" w:rsidRPr="00B740B4">
        <w:rPr>
          <w:rFonts w:eastAsia="Times New Roman"/>
        </w:rPr>
        <w:t>the overt blasphemy (v 15b) which</w:t>
      </w:r>
      <w:r w:rsidRPr="00B740B4">
        <w:rPr>
          <w:rFonts w:eastAsia="Times New Roman"/>
        </w:rPr>
        <w:t xml:space="preserve"> makes explicit the statue’s o</w:t>
      </w:r>
      <w:r w:rsidR="00AF7EF4" w:rsidRPr="00B740B4">
        <w:rPr>
          <w:rFonts w:eastAsia="Times New Roman"/>
        </w:rPr>
        <w:t xml:space="preserve">wn significance, and the </w:t>
      </w:r>
      <w:r w:rsidRPr="00B740B4">
        <w:rPr>
          <w:rFonts w:eastAsia="Times New Roman"/>
        </w:rPr>
        <w:t>possibility of such an act of Go</w:t>
      </w:r>
      <w:r w:rsidR="00D27965" w:rsidRPr="00B740B4">
        <w:rPr>
          <w:rFonts w:eastAsia="Times New Roman"/>
        </w:rPr>
        <w:t>d is raised by the men’s confession (</w:t>
      </w:r>
      <w:r w:rsidRPr="00B740B4">
        <w:rPr>
          <w:rFonts w:eastAsia="Times New Roman"/>
        </w:rPr>
        <w:t>v 17</w:t>
      </w:r>
      <w:r w:rsidR="00D27965" w:rsidRPr="00B740B4">
        <w:rPr>
          <w:rFonts w:eastAsia="Times New Roman"/>
        </w:rPr>
        <w:t>)</w:t>
      </w:r>
      <w:r w:rsidRPr="00B740B4">
        <w:rPr>
          <w:rFonts w:eastAsia="Times New Roman"/>
        </w:rPr>
        <w:t>. The act itself comes at the last moment; the event is announced first by the king’s reaction (v 24). It constitutes an extraordinarily c</w:t>
      </w:r>
      <w:r w:rsidR="00D27965" w:rsidRPr="00B740B4">
        <w:rPr>
          <w:rFonts w:eastAsia="Times New Roman"/>
        </w:rPr>
        <w:t>omplete preserving of the men,</w:t>
      </w:r>
      <w:r w:rsidRPr="00B740B4">
        <w:rPr>
          <w:rFonts w:eastAsia="Times New Roman"/>
        </w:rPr>
        <w:t xml:space="preserve"> </w:t>
      </w:r>
      <w:r w:rsidR="00D27965" w:rsidRPr="00B740B4">
        <w:rPr>
          <w:rFonts w:eastAsia="Times New Roman"/>
        </w:rPr>
        <w:t>by clearly supernatural means (</w:t>
      </w:r>
      <w:r w:rsidRPr="00B740B4">
        <w:rPr>
          <w:rFonts w:eastAsia="Times New Roman"/>
        </w:rPr>
        <w:t>v</w:t>
      </w:r>
      <w:r w:rsidR="00D27965" w:rsidRPr="00B740B4">
        <w:rPr>
          <w:rFonts w:eastAsia="Times New Roman"/>
        </w:rPr>
        <w:t>v 25-26</w:t>
      </w:r>
      <w:r w:rsidRPr="00B740B4">
        <w:rPr>
          <w:rFonts w:eastAsia="Times New Roman"/>
        </w:rPr>
        <w:t>), whose results are also witnessed b</w:t>
      </w:r>
      <w:r w:rsidR="00D27965" w:rsidRPr="00B740B4">
        <w:rPr>
          <w:rFonts w:eastAsia="Times New Roman"/>
        </w:rPr>
        <w:t xml:space="preserve">y the ministers of state (v </w:t>
      </w:r>
      <w:r w:rsidRPr="00B740B4">
        <w:rPr>
          <w:rFonts w:eastAsia="Times New Roman"/>
        </w:rPr>
        <w:t>27). Blasphemy is replaced by blessing, confrontation by recognition, opposition and persecution by tolerance and protection (v 28–29).</w:t>
      </w:r>
      <w:r w:rsidR="00692514" w:rsidRPr="00B740B4">
        <w:rPr>
          <w:rFonts w:eastAsia="Times New Roman"/>
        </w:rPr>
        <w:t xml:space="preserve"> </w:t>
      </w:r>
    </w:p>
    <w:p w:rsidR="009955B8" w:rsidRPr="00B740B4" w:rsidRDefault="00142222" w:rsidP="009955B8">
      <w:pPr>
        <w:rPr>
          <w:rFonts w:eastAsia="Times New Roman"/>
        </w:rPr>
      </w:pPr>
      <w:r>
        <w:rPr>
          <w:rFonts w:eastAsia="Times New Roman"/>
        </w:rPr>
        <w:t>I</w:t>
      </w:r>
      <w:r w:rsidR="00692514" w:rsidRPr="00B740B4">
        <w:rPr>
          <w:rFonts w:eastAsia="Times New Roman"/>
        </w:rPr>
        <w:t>n effect</w:t>
      </w:r>
      <w:r w:rsidR="00D27965" w:rsidRPr="00B740B4">
        <w:rPr>
          <w:rFonts w:eastAsia="Times New Roman"/>
        </w:rPr>
        <w:t>,</w:t>
      </w:r>
      <w:r w:rsidR="00692514" w:rsidRPr="00B740B4">
        <w:rPr>
          <w:rFonts w:eastAsia="Times New Roman"/>
        </w:rPr>
        <w:t xml:space="preserve"> as a result of the act of God</w:t>
      </w:r>
      <w:r w:rsidR="00D27965" w:rsidRPr="00B740B4">
        <w:rPr>
          <w:rFonts w:eastAsia="Times New Roman"/>
        </w:rPr>
        <w:t>,</w:t>
      </w:r>
      <w:r w:rsidR="00692514" w:rsidRPr="00B740B4">
        <w:rPr>
          <w:rFonts w:eastAsia="Times New Roman"/>
        </w:rPr>
        <w:t xml:space="preserve"> the chapter</w:t>
      </w:r>
      <w:r w:rsidR="00D27965" w:rsidRPr="00B740B4">
        <w:rPr>
          <w:rFonts w:eastAsia="Times New Roman"/>
        </w:rPr>
        <w:t xml:space="preserve"> ends up as a conversion story. The three men do not emerge as individual</w:t>
      </w:r>
      <w:r>
        <w:rPr>
          <w:rFonts w:eastAsia="Times New Roman"/>
        </w:rPr>
        <w:t xml:space="preserve">s in the story, and they themselves give us no account of their </w:t>
      </w:r>
      <w:r w:rsidR="00D27965" w:rsidRPr="00B740B4">
        <w:rPr>
          <w:rFonts w:eastAsia="Times New Roman"/>
        </w:rPr>
        <w:t xml:space="preserve">experience. The one who gives </w:t>
      </w:r>
      <w:r>
        <w:rPr>
          <w:rFonts w:eastAsia="Times New Roman"/>
        </w:rPr>
        <w:t>the account is Nebuchadnezzar; t</w:t>
      </w:r>
      <w:r w:rsidR="00D27965" w:rsidRPr="00B740B4">
        <w:rPr>
          <w:rFonts w:eastAsia="Times New Roman"/>
        </w:rPr>
        <w:t>he story is about him.</w:t>
      </w:r>
      <w:r w:rsidR="00D27965" w:rsidRPr="00B740B4">
        <w:rPr>
          <w:rFonts w:eastAsia="Times New Roman"/>
          <w:vertAlign w:val="superscript"/>
        </w:rPr>
        <w:footnoteReference w:id="599"/>
      </w:r>
      <w:r w:rsidR="00D27965" w:rsidRPr="00B740B4">
        <w:rPr>
          <w:rFonts w:eastAsia="Times New Roman"/>
        </w:rPr>
        <w:t xml:space="preserve"> The chapter</w:t>
      </w:r>
      <w:r w:rsidR="00692514" w:rsidRPr="00B740B4">
        <w:rPr>
          <w:rFonts w:eastAsia="Times New Roman"/>
        </w:rPr>
        <w:t xml:space="preserve"> begins with Nebuchadnezzar as something like </w:t>
      </w:r>
      <w:r>
        <w:rPr>
          <w:rFonts w:eastAsia="Times New Roman"/>
        </w:rPr>
        <w:t xml:space="preserve">a </w:t>
      </w:r>
      <w:r w:rsidR="00692514" w:rsidRPr="00B740B4">
        <w:rPr>
          <w:rFonts w:eastAsia="Times New Roman"/>
        </w:rPr>
        <w:t xml:space="preserve">blasphemer and ends up with him as </w:t>
      </w:r>
      <w:r w:rsidR="00741BC7" w:rsidRPr="00B740B4">
        <w:rPr>
          <w:rFonts w:eastAsia="Times New Roman"/>
        </w:rPr>
        <w:t>someone who is blessing God</w:t>
      </w:r>
      <w:r w:rsidR="00692514" w:rsidRPr="00B740B4">
        <w:rPr>
          <w:rStyle w:val="FootnoteReference"/>
          <w:rFonts w:eastAsia="Times New Roman"/>
        </w:rPr>
        <w:footnoteReference w:id="600"/>
      </w:r>
      <w:r w:rsidR="00741BC7" w:rsidRPr="00B740B4">
        <w:rPr>
          <w:rFonts w:eastAsia="Times New Roman"/>
        </w:rPr>
        <w:t>--even if it will turn out that he has been only “half-converted.”</w:t>
      </w:r>
      <w:r w:rsidR="00741BC7" w:rsidRPr="00B740B4">
        <w:rPr>
          <w:rStyle w:val="FootnoteReference"/>
          <w:rFonts w:eastAsia="Times New Roman"/>
        </w:rPr>
        <w:footnoteReference w:id="601"/>
      </w:r>
    </w:p>
    <w:p w:rsidR="00070E1D" w:rsidRPr="00B740B4" w:rsidRDefault="009955B8" w:rsidP="009955B8">
      <w:pPr>
        <w:rPr>
          <w:rFonts w:eastAsia="Times New Roman"/>
        </w:rPr>
      </w:pPr>
      <w:r w:rsidRPr="00B740B4">
        <w:rPr>
          <w:rFonts w:eastAsia="Times New Roman"/>
        </w:rPr>
        <w:t>The story combines factual allusions and traditional motifs</w:t>
      </w:r>
      <w:r w:rsidR="00AF7EF4" w:rsidRPr="00B740B4">
        <w:rPr>
          <w:rFonts w:eastAsia="Times New Roman"/>
        </w:rPr>
        <w:t xml:space="preserve"> that appear in</w:t>
      </w:r>
      <w:r w:rsidRPr="00B740B4">
        <w:rPr>
          <w:rFonts w:eastAsia="Times New Roman"/>
        </w:rPr>
        <w:t xml:space="preserve"> </w:t>
      </w:r>
      <w:r w:rsidR="00AF7EF4" w:rsidRPr="00B740B4">
        <w:rPr>
          <w:rFonts w:eastAsia="Times New Roman"/>
        </w:rPr>
        <w:t>many oriental court folktales.</w:t>
      </w:r>
      <w:r w:rsidR="00AF7EF4" w:rsidRPr="00B740B4">
        <w:rPr>
          <w:rStyle w:val="FootnoteReference"/>
          <w:rFonts w:eastAsia="Times New Roman"/>
        </w:rPr>
        <w:footnoteReference w:id="602"/>
      </w:r>
      <w:r w:rsidR="00AF7EF4" w:rsidRPr="00B740B4">
        <w:rPr>
          <w:rFonts w:eastAsia="Times New Roman"/>
        </w:rPr>
        <w:t xml:space="preserve"> A place called</w:t>
      </w:r>
      <w:r w:rsidRPr="00B740B4">
        <w:rPr>
          <w:rFonts w:eastAsia="Times New Roman"/>
        </w:rPr>
        <w:t xml:space="preserve"> Dura, colossal gold-plated statues or monuments, dedication ceremonies, lists of state officials, the use of a variety of musical instruments, brick furnaces, and execution by burning are all known from the Babylonian</w:t>
      </w:r>
      <w:r w:rsidR="00142222">
        <w:rPr>
          <w:rFonts w:eastAsia="Times New Roman"/>
        </w:rPr>
        <w:t xml:space="preserve"> or Persian periods. They </w:t>
      </w:r>
      <w:r w:rsidRPr="00B740B4">
        <w:rPr>
          <w:rFonts w:eastAsia="Times New Roman"/>
        </w:rPr>
        <w:t xml:space="preserve">indicate </w:t>
      </w:r>
      <w:r w:rsidR="00142222">
        <w:rPr>
          <w:rFonts w:eastAsia="Times New Roman"/>
        </w:rPr>
        <w:t xml:space="preserve">either </w:t>
      </w:r>
      <w:r w:rsidRPr="00B740B4">
        <w:rPr>
          <w:rFonts w:eastAsia="Times New Roman"/>
        </w:rPr>
        <w:t xml:space="preserve">that </w:t>
      </w:r>
      <w:r w:rsidR="00AF7EF4" w:rsidRPr="00B740B4">
        <w:rPr>
          <w:rFonts w:eastAsia="Times New Roman"/>
        </w:rPr>
        <w:t>the story has factual reference</w:t>
      </w:r>
      <w:r w:rsidRPr="00B740B4">
        <w:rPr>
          <w:rFonts w:eastAsia="Times New Roman"/>
        </w:rPr>
        <w:t xml:space="preserve"> or that the storyteller is giving local color to his fiction. Jer 29:21–23 tells of the burning of two patriotic prophets by Nebuchadnezzar, </w:t>
      </w:r>
      <w:r w:rsidR="00AF7EF4" w:rsidRPr="00B740B4">
        <w:rPr>
          <w:rFonts w:eastAsia="Times New Roman"/>
        </w:rPr>
        <w:t xml:space="preserve">and </w:t>
      </w:r>
      <w:r w:rsidRPr="00B740B4">
        <w:rPr>
          <w:rFonts w:eastAsia="Times New Roman"/>
        </w:rPr>
        <w:t xml:space="preserve">Dan 3 </w:t>
      </w:r>
      <w:r w:rsidR="00AF7EF4" w:rsidRPr="00B740B4">
        <w:rPr>
          <w:rFonts w:eastAsia="Times New Roman"/>
        </w:rPr>
        <w:t xml:space="preserve">has been seen </w:t>
      </w:r>
      <w:r w:rsidRPr="00B740B4">
        <w:rPr>
          <w:rFonts w:eastAsia="Times New Roman"/>
        </w:rPr>
        <w:t>as a legend based on that event.</w:t>
      </w:r>
      <w:r w:rsidR="00AF7EF4" w:rsidRPr="00B740B4">
        <w:rPr>
          <w:rStyle w:val="FootnoteReference"/>
          <w:rFonts w:eastAsia="Times New Roman"/>
        </w:rPr>
        <w:footnoteReference w:id="603"/>
      </w:r>
      <w:r w:rsidR="00AF7EF4" w:rsidRPr="00B740B4">
        <w:rPr>
          <w:rFonts w:eastAsia="Times New Roman"/>
        </w:rPr>
        <w:t xml:space="preserve"> With Dan 6, the companion</w:t>
      </w:r>
      <w:r w:rsidRPr="00B740B4">
        <w:rPr>
          <w:rFonts w:eastAsia="Times New Roman"/>
        </w:rPr>
        <w:t xml:space="preserve"> court conflict tale/confessor legend</w:t>
      </w:r>
      <w:r w:rsidR="00AF7EF4" w:rsidRPr="00B740B4">
        <w:rPr>
          <w:rFonts w:eastAsia="Times New Roman"/>
        </w:rPr>
        <w:t>/aretalogy</w:t>
      </w:r>
      <w:r w:rsidR="00D27965" w:rsidRPr="00B740B4">
        <w:rPr>
          <w:rFonts w:eastAsia="Times New Roman"/>
        </w:rPr>
        <w:t>/conversion story, the chapter</w:t>
      </w:r>
      <w:r w:rsidRPr="00B740B4">
        <w:rPr>
          <w:rFonts w:eastAsia="Times New Roman"/>
        </w:rPr>
        <w:t xml:space="preserve"> as a whole is closer to oral models than are other stories in Daniel. This </w:t>
      </w:r>
      <w:r w:rsidR="00142222">
        <w:rPr>
          <w:rFonts w:eastAsia="Times New Roman"/>
        </w:rPr>
        <w:t xml:space="preserve">aspect </w:t>
      </w:r>
      <w:r w:rsidRPr="00B740B4">
        <w:rPr>
          <w:rFonts w:eastAsia="Times New Roman"/>
        </w:rPr>
        <w:t>is reflected in the extensive use of repetition</w:t>
      </w:r>
      <w:r w:rsidR="00AF7EF4" w:rsidRPr="00B740B4">
        <w:rPr>
          <w:rFonts w:eastAsia="Times New Roman"/>
        </w:rPr>
        <w:t xml:space="preserve"> (much of which OG removes)</w:t>
      </w:r>
      <w:r w:rsidRPr="00B740B4">
        <w:rPr>
          <w:rFonts w:eastAsia="Times New Roman"/>
        </w:rPr>
        <w:t>:</w:t>
      </w:r>
      <w:r w:rsidR="00AF7EF4" w:rsidRPr="00B740B4">
        <w:rPr>
          <w:rStyle w:val="FootnoteReference"/>
          <w:rFonts w:eastAsia="Times New Roman"/>
        </w:rPr>
        <w:footnoteReference w:id="604"/>
      </w:r>
      <w:r w:rsidRPr="00B740B4">
        <w:rPr>
          <w:rFonts w:eastAsia="Times New Roman"/>
        </w:rPr>
        <w:t xml:space="preserve"> “the satraps, governors, and commissioners . . .,” “the [gold] statue which King Nebuchadnezzar had</w:t>
      </w:r>
      <w:r w:rsidR="00142222">
        <w:rPr>
          <w:rFonts w:eastAsia="Times New Roman"/>
        </w:rPr>
        <w:t>s</w:t>
      </w:r>
      <w:r w:rsidRPr="00B740B4">
        <w:rPr>
          <w:rFonts w:eastAsia="Times New Roman"/>
        </w:rPr>
        <w:t>set up,” “people of all races, nations, and languages,” “the moment you hear the sound of the horn, the pipe . .</w:t>
      </w:r>
      <w:r w:rsidR="00AF7EF4" w:rsidRPr="00B740B4">
        <w:rPr>
          <w:rFonts w:eastAsia="Times New Roman"/>
        </w:rPr>
        <w:t> .,” “fall prostrate,” “Shadrak, Meshak</w:t>
      </w:r>
      <w:r w:rsidR="005C24CD">
        <w:rPr>
          <w:rFonts w:eastAsia="Times New Roman"/>
        </w:rPr>
        <w:t>, and Abed N</w:t>
      </w:r>
      <w:r w:rsidRPr="00B740B4">
        <w:rPr>
          <w:rFonts w:eastAsia="Times New Roman"/>
        </w:rPr>
        <w:t xml:space="preserve">ego,” </w:t>
      </w:r>
      <w:r w:rsidR="00D27965" w:rsidRPr="00B740B4">
        <w:rPr>
          <w:rFonts w:eastAsia="Times New Roman"/>
        </w:rPr>
        <w:t xml:space="preserve">and </w:t>
      </w:r>
      <w:r w:rsidRPr="00B740B4">
        <w:rPr>
          <w:rFonts w:eastAsia="Times New Roman"/>
        </w:rPr>
        <w:t xml:space="preserve">“[thrown inside the] red-hot blazing furnace”; the ten occurrences of </w:t>
      </w:r>
      <w:r w:rsidRPr="00B740B4">
        <w:rPr>
          <w:rFonts w:ascii="Arial" w:eastAsia="Times New Roman" w:hAnsi="Arial" w:cs="Arial"/>
        </w:rPr>
        <w:t>גברין</w:t>
      </w:r>
      <w:r w:rsidR="00AF7EF4" w:rsidRPr="00B740B4">
        <w:rPr>
          <w:rFonts w:eastAsia="Times New Roman"/>
        </w:rPr>
        <w:t xml:space="preserve"> “men” are also noticeable</w:t>
      </w:r>
      <w:r w:rsidRPr="00B740B4">
        <w:rPr>
          <w:rFonts w:eastAsia="Times New Roman"/>
        </w:rPr>
        <w:t xml:space="preserve">. </w:t>
      </w:r>
      <w:r w:rsidR="00142222">
        <w:rPr>
          <w:rFonts w:eastAsia="Times New Roman"/>
        </w:rPr>
        <w:t xml:space="preserve">In </w:t>
      </w:r>
      <w:r w:rsidR="00070E1D" w:rsidRPr="00B740B4">
        <w:rPr>
          <w:rFonts w:eastAsia="Times New Roman"/>
        </w:rPr>
        <w:t xml:space="preserve">other instances, words or phrases recur with different meanings: the king gives notice (v 10), the men take no notice (v 12), the king gives notice in the opposite direction (v 29) (each time </w:t>
      </w:r>
      <w:r w:rsidR="00070E1D" w:rsidRPr="00B740B4">
        <w:rPr>
          <w:rFonts w:ascii="Arial" w:eastAsia="Times New Roman" w:hAnsi="Arial" w:cs="Arial"/>
        </w:rPr>
        <w:t>טצם</w:t>
      </w:r>
      <w:r w:rsidR="00070E1D" w:rsidRPr="00B740B4">
        <w:rPr>
          <w:rFonts w:eastAsia="Times New Roman"/>
        </w:rPr>
        <w:t xml:space="preserve"> </w:t>
      </w:r>
      <w:r w:rsidR="00070E1D" w:rsidRPr="00B740B4">
        <w:rPr>
          <w:rFonts w:ascii="Arial" w:eastAsia="Times New Roman" w:hAnsi="Arial" w:cs="Arial"/>
        </w:rPr>
        <w:t>שם</w:t>
      </w:r>
      <w:r w:rsidR="00070E1D" w:rsidRPr="00B740B4">
        <w:rPr>
          <w:rFonts w:eastAsia="Times New Roman"/>
        </w:rPr>
        <w:t>). Nebuchadnezzar’s attitude changes (v 19), the men’s appearance is not changed (v 27), they change the king’s word (v 29).</w:t>
      </w:r>
      <w:r w:rsidR="00070E1D" w:rsidRPr="00B740B4">
        <w:rPr>
          <w:rFonts w:eastAsia="Times New Roman"/>
          <w:vertAlign w:val="superscript"/>
        </w:rPr>
        <w:footnoteReference w:id="605"/>
      </w:r>
      <w:r w:rsidR="00142222">
        <w:rPr>
          <w:rFonts w:eastAsia="Times New Roman"/>
        </w:rPr>
        <w:t xml:space="preserve"> </w:t>
      </w:r>
      <w:r w:rsidR="005C5531" w:rsidRPr="00B740B4">
        <w:rPr>
          <w:rFonts w:eastAsia="Times New Roman"/>
        </w:rPr>
        <w:t>R</w:t>
      </w:r>
      <w:r w:rsidR="00D27965" w:rsidRPr="00B740B4">
        <w:rPr>
          <w:rFonts w:eastAsia="Times New Roman"/>
        </w:rPr>
        <w:t xml:space="preserve">epetition need </w:t>
      </w:r>
      <w:r w:rsidR="005C5531" w:rsidRPr="00B740B4">
        <w:rPr>
          <w:rFonts w:eastAsia="Times New Roman"/>
        </w:rPr>
        <w:t xml:space="preserve">not suggest </w:t>
      </w:r>
      <w:r w:rsidR="00142222">
        <w:rPr>
          <w:rFonts w:eastAsia="Times New Roman"/>
        </w:rPr>
        <w:t>mockery or humor (</w:t>
      </w:r>
      <w:r w:rsidR="00D27965" w:rsidRPr="00B740B4">
        <w:rPr>
          <w:rFonts w:eastAsia="Times New Roman"/>
        </w:rPr>
        <w:t>repetition</w:t>
      </w:r>
      <w:r w:rsidR="00142222">
        <w:rPr>
          <w:rFonts w:eastAsia="Times New Roman"/>
        </w:rPr>
        <w:t xml:space="preserve"> i</w:t>
      </w:r>
      <w:r w:rsidR="005C5531" w:rsidRPr="00B740B4">
        <w:rPr>
          <w:rFonts w:eastAsia="Times New Roman"/>
        </w:rPr>
        <w:t>s a stylistic feature in Gen 1), but in this story s</w:t>
      </w:r>
      <w:r w:rsidRPr="00B740B4">
        <w:rPr>
          <w:rFonts w:eastAsia="Times New Roman"/>
        </w:rPr>
        <w:t xml:space="preserve">everal of the repetitions </w:t>
      </w:r>
      <w:r w:rsidR="005C5531" w:rsidRPr="00B740B4">
        <w:rPr>
          <w:rFonts w:eastAsia="Times New Roman"/>
        </w:rPr>
        <w:lastRenderedPageBreak/>
        <w:t xml:space="preserve">do </w:t>
      </w:r>
      <w:r w:rsidRPr="00B740B4">
        <w:rPr>
          <w:rFonts w:eastAsia="Times New Roman"/>
        </w:rPr>
        <w:t>convey a humorous, mocking impressi</w:t>
      </w:r>
      <w:r w:rsidR="005C5531" w:rsidRPr="00B740B4">
        <w:rPr>
          <w:rFonts w:eastAsia="Times New Roman"/>
        </w:rPr>
        <w:t>on</w:t>
      </w:r>
      <w:r w:rsidRPr="00B740B4">
        <w:rPr>
          <w:rFonts w:eastAsia="Times New Roman"/>
        </w:rPr>
        <w:t xml:space="preserve">, and thus heighten a </w:t>
      </w:r>
      <w:r w:rsidR="005C5531" w:rsidRPr="00B740B4">
        <w:rPr>
          <w:rFonts w:eastAsia="Times New Roman"/>
        </w:rPr>
        <w:t>sense of satire about the story.</w:t>
      </w:r>
      <w:r w:rsidR="000413D2" w:rsidRPr="00B740B4">
        <w:rPr>
          <w:rStyle w:val="FootnoteReference"/>
          <w:rFonts w:eastAsia="Times New Roman"/>
        </w:rPr>
        <w:footnoteReference w:id="606"/>
      </w:r>
      <w:r w:rsidRPr="00B740B4">
        <w:rPr>
          <w:rFonts w:eastAsia="Times New Roman"/>
        </w:rPr>
        <w:t xml:space="preserve"> </w:t>
      </w:r>
      <w:r w:rsidR="005C5531" w:rsidRPr="00B740B4">
        <w:rPr>
          <w:rFonts w:eastAsia="Times New Roman"/>
        </w:rPr>
        <w:t>It is “a parody of this ruthless king.”</w:t>
      </w:r>
      <w:r w:rsidR="005C5531" w:rsidRPr="00B740B4">
        <w:rPr>
          <w:rStyle w:val="FootnoteReference"/>
          <w:rFonts w:eastAsia="Times New Roman"/>
        </w:rPr>
        <w:footnoteReference w:id="607"/>
      </w:r>
      <w:r w:rsidR="00EE0EEA" w:rsidRPr="00B740B4">
        <w:rPr>
          <w:rFonts w:eastAsia="Times New Roman"/>
        </w:rPr>
        <w:t xml:space="preserve"> </w:t>
      </w:r>
    </w:p>
    <w:p w:rsidR="009955B8" w:rsidRPr="00B740B4" w:rsidRDefault="009955B8" w:rsidP="009955B8">
      <w:pPr>
        <w:rPr>
          <w:rFonts w:eastAsia="Times New Roman"/>
        </w:rPr>
      </w:pPr>
      <w:r w:rsidRPr="00B740B4">
        <w:rPr>
          <w:rFonts w:eastAsia="Times New Roman"/>
        </w:rPr>
        <w:t>Dan 3 can also be seen as a midrash, the story taking as its text Isa 43:</w:t>
      </w:r>
      <w:r w:rsidR="00070E1D" w:rsidRPr="00B740B4">
        <w:rPr>
          <w:rFonts w:eastAsia="Times New Roman"/>
        </w:rPr>
        <w:t>1–3 (cf. Ps 27:2; 66:10–12); compare</w:t>
      </w:r>
      <w:r w:rsidRPr="00B740B4">
        <w:rPr>
          <w:rFonts w:eastAsia="Times New Roman"/>
        </w:rPr>
        <w:t xml:space="preserve"> Isa 48:10; 50:11.</w:t>
      </w:r>
      <w:r w:rsidR="00EE0EEA" w:rsidRPr="00B740B4">
        <w:rPr>
          <w:rStyle w:val="FootnoteReference"/>
          <w:rFonts w:eastAsia="Times New Roman"/>
        </w:rPr>
        <w:footnoteReference w:id="608"/>
      </w:r>
      <w:r w:rsidRPr="00B740B4">
        <w:rPr>
          <w:rFonts w:eastAsia="Times New Roman"/>
        </w:rPr>
        <w:t xml:space="preserve"> Its polemic against idolatry gives concrete form to the sarcastic attacks on idolatry in Isa 40:18–20; 41:6–7; 44:9–20; 46:1–7 (cf. Jer 10); </w:t>
      </w:r>
      <w:r w:rsidRPr="00B740B4">
        <w:rPr>
          <w:rFonts w:ascii="Arial" w:eastAsia="Times New Roman" w:hAnsi="Arial" w:cs="Arial"/>
        </w:rPr>
        <w:t>סגד</w:t>
      </w:r>
      <w:r w:rsidRPr="00B740B4">
        <w:rPr>
          <w:rFonts w:eastAsia="Times New Roman"/>
        </w:rPr>
        <w:t xml:space="preserve"> “bow down” occurs in the OT only </w:t>
      </w:r>
      <w:r w:rsidR="00EE0EEA" w:rsidRPr="00B740B4">
        <w:rPr>
          <w:rFonts w:eastAsia="Times New Roman"/>
        </w:rPr>
        <w:t>in Isa 44:15–19; 46:6; Dan 3 (ten</w:t>
      </w:r>
      <w:r w:rsidRPr="00B740B4">
        <w:rPr>
          <w:rFonts w:eastAsia="Times New Roman"/>
        </w:rPr>
        <w:t xml:space="preserve"> times), also 2:46</w:t>
      </w:r>
      <w:r w:rsidR="00EE0EEA" w:rsidRPr="00B740B4">
        <w:rPr>
          <w:rFonts w:eastAsia="Times New Roman"/>
        </w:rPr>
        <w:t>.</w:t>
      </w:r>
      <w:r w:rsidR="00EE0EEA" w:rsidRPr="00B740B4">
        <w:rPr>
          <w:rStyle w:val="FootnoteReference"/>
          <w:rFonts w:eastAsia="Times New Roman"/>
        </w:rPr>
        <w:footnoteReference w:id="609"/>
      </w:r>
      <w:r w:rsidRPr="00B740B4">
        <w:rPr>
          <w:rFonts w:eastAsia="Times New Roman"/>
        </w:rPr>
        <w:t xml:space="preserve"> OT promises about Yahweh’s heavenly aid</w:t>
      </w:r>
      <w:r w:rsidR="00B403B1" w:rsidRPr="00B740B4">
        <w:rPr>
          <w:rFonts w:eastAsia="Times New Roman"/>
        </w:rPr>
        <w:t>e</w:t>
      </w:r>
      <w:r w:rsidRPr="00B740B4">
        <w:rPr>
          <w:rFonts w:eastAsia="Times New Roman"/>
        </w:rPr>
        <w:t>s protecting his people (Ps 34:8 [7]; 91:11) become concrete reality here.</w:t>
      </w:r>
      <w:r w:rsidR="006B68F5" w:rsidRPr="00B740B4">
        <w:rPr>
          <w:rFonts w:eastAsia="Times New Roman"/>
        </w:rPr>
        <w:t xml:space="preserve"> The story also parallels Gen 38, the one other OT story about someone who escapes judgment by fire.</w:t>
      </w:r>
      <w:r w:rsidR="006B68F5" w:rsidRPr="00B740B4">
        <w:rPr>
          <w:rStyle w:val="FootnoteReference"/>
          <w:rFonts w:eastAsia="Times New Roman"/>
        </w:rPr>
        <w:footnoteReference w:id="610"/>
      </w:r>
      <w:r w:rsidR="006B68F5" w:rsidRPr="00B740B4">
        <w:rPr>
          <w:rFonts w:eastAsia="Times New Roman"/>
        </w:rPr>
        <w:t xml:space="preserve"> </w:t>
      </w:r>
    </w:p>
    <w:p w:rsidR="00584710" w:rsidRPr="00B740B4" w:rsidRDefault="00584710" w:rsidP="00584710">
      <w:pPr>
        <w:pStyle w:val="Heading3"/>
      </w:pPr>
      <w:r w:rsidRPr="00B740B4">
        <w:t xml:space="preserve">Structure </w:t>
      </w:r>
    </w:p>
    <w:p w:rsidR="00584710" w:rsidRPr="00B740B4" w:rsidRDefault="00584710" w:rsidP="009955B8">
      <w:pPr>
        <w:rPr>
          <w:rFonts w:eastAsia="Times New Roman"/>
          <w:noProof/>
        </w:rPr>
      </w:pPr>
    </w:p>
    <w:p w:rsidR="009955B8" w:rsidRPr="00B740B4" w:rsidRDefault="009955B8" w:rsidP="009955B8">
      <w:pPr>
        <w:rPr>
          <w:rFonts w:eastAsia="Times New Roman"/>
          <w:noProof/>
        </w:rPr>
      </w:pPr>
      <w:r w:rsidRPr="00B740B4">
        <w:rPr>
          <w:rFonts w:eastAsia="Times New Roman"/>
          <w:noProof/>
        </w:rPr>
        <w:t>After the opening statement setting the scene (v 1), the story begins (vv 2–7) with a paragraph involving Nebuchadnezzar/his herald and the state offic</w:t>
      </w:r>
      <w:r w:rsidR="00014B14" w:rsidRPr="00B740B4">
        <w:rPr>
          <w:rFonts w:eastAsia="Times New Roman"/>
          <w:noProof/>
        </w:rPr>
        <w:t xml:space="preserve">ers </w:t>
      </w:r>
      <w:r w:rsidR="00070E1D" w:rsidRPr="00B740B4">
        <w:rPr>
          <w:rFonts w:eastAsia="Times New Roman"/>
          <w:noProof/>
        </w:rPr>
        <w:t xml:space="preserve">who are </w:t>
      </w:r>
      <w:r w:rsidR="00014B14" w:rsidRPr="00B740B4">
        <w:rPr>
          <w:rFonts w:eastAsia="Times New Roman"/>
          <w:noProof/>
        </w:rPr>
        <w:t>summoned for the ceremony. This</w:t>
      </w:r>
      <w:r w:rsidRPr="00B740B4">
        <w:rPr>
          <w:rFonts w:eastAsia="Times New Roman"/>
          <w:noProof/>
        </w:rPr>
        <w:t xml:space="preserve"> paragraph hints at the difficulty that becomes explicit in the second </w:t>
      </w:r>
      <w:r w:rsidR="00014B14" w:rsidRPr="00B740B4">
        <w:rPr>
          <w:rFonts w:eastAsia="Times New Roman"/>
          <w:noProof/>
        </w:rPr>
        <w:t>paragraph (vv 8–12), which</w:t>
      </w:r>
      <w:r w:rsidRPr="00B740B4">
        <w:rPr>
          <w:rFonts w:eastAsia="Times New Roman"/>
          <w:noProof/>
        </w:rPr>
        <w:t xml:space="preserve"> involves Nebuchadnezzar and the accusers</w:t>
      </w:r>
      <w:r w:rsidR="00070E1D" w:rsidRPr="00B740B4">
        <w:rPr>
          <w:rFonts w:eastAsia="Times New Roman"/>
          <w:noProof/>
        </w:rPr>
        <w:t>,</w:t>
      </w:r>
      <w:r w:rsidRPr="00B740B4">
        <w:rPr>
          <w:rFonts w:eastAsia="Times New Roman"/>
          <w:noProof/>
        </w:rPr>
        <w:t xml:space="preserve"> and is dominated by the words of the latter. The third </w:t>
      </w:r>
      <w:r w:rsidR="00014B14" w:rsidRPr="00B740B4">
        <w:rPr>
          <w:rFonts w:eastAsia="Times New Roman"/>
          <w:noProof/>
        </w:rPr>
        <w:t xml:space="preserve">paragraph </w:t>
      </w:r>
      <w:r w:rsidRPr="00B740B4">
        <w:rPr>
          <w:rFonts w:eastAsia="Times New Roman"/>
          <w:noProof/>
        </w:rPr>
        <w:t xml:space="preserve">(vv 13–18) comprises a confrontation between </w:t>
      </w:r>
      <w:r w:rsidR="00070E1D" w:rsidRPr="00B740B4">
        <w:rPr>
          <w:rFonts w:eastAsia="Times New Roman"/>
          <w:noProof/>
        </w:rPr>
        <w:t>Nebuchadnezzar and the three Judahites</w:t>
      </w:r>
      <w:r w:rsidRPr="00B740B4">
        <w:rPr>
          <w:rFonts w:eastAsia="Times New Roman"/>
          <w:noProof/>
        </w:rPr>
        <w:t>, which brings the confessor legend to its climax. The plot</w:t>
      </w:r>
      <w:r w:rsidR="00070E1D" w:rsidRPr="00B740B4">
        <w:rPr>
          <w:rFonts w:eastAsia="Times New Roman"/>
          <w:noProof/>
        </w:rPr>
        <w:t xml:space="preserve"> thus far is </w:t>
      </w:r>
      <w:r w:rsidR="00014B14" w:rsidRPr="00B740B4">
        <w:rPr>
          <w:rFonts w:eastAsia="Times New Roman"/>
          <w:noProof/>
        </w:rPr>
        <w:t xml:space="preserve">simple, and </w:t>
      </w:r>
      <w:r w:rsidRPr="00B740B4">
        <w:rPr>
          <w:rFonts w:eastAsia="Times New Roman"/>
          <w:noProof/>
        </w:rPr>
        <w:t>dominated by dialogue.</w:t>
      </w:r>
      <w:r w:rsidR="00014B14" w:rsidRPr="00B740B4">
        <w:rPr>
          <w:rStyle w:val="FootnoteReference"/>
          <w:rFonts w:eastAsia="Times New Roman"/>
          <w:noProof/>
        </w:rPr>
        <w:footnoteReference w:id="611"/>
      </w:r>
      <w:r w:rsidR="00070E1D" w:rsidRPr="00B740B4">
        <w:rPr>
          <w:rFonts w:eastAsia="Times New Roman"/>
          <w:noProof/>
        </w:rPr>
        <w:t xml:space="preserve"> Vv</w:t>
      </w:r>
      <w:r w:rsidRPr="00B740B4">
        <w:rPr>
          <w:rFonts w:eastAsia="Times New Roman"/>
          <w:noProof/>
        </w:rPr>
        <w:t xml:space="preserve"> 19–29 are more complex. They interweave dialogue and action, bring several actors onto the stage at once, and describe feelings as well as words and deeds (vv 19, 24). The straightforward narrating of words and events is also varied by the suspenseful device of recording the king’s response to what happens before relating the event itself; indeed, the main description of the event is given via Nebuchadnezzar’s words (vv 24–25), as is the main theological response to its significance</w:t>
      </w:r>
      <w:r w:rsidR="00606AB0" w:rsidRPr="00B740B4">
        <w:rPr>
          <w:rFonts w:eastAsia="Times New Roman"/>
          <w:noProof/>
        </w:rPr>
        <w:t xml:space="preserve"> (vv 28</w:t>
      </w:r>
      <w:r w:rsidR="00070E1D" w:rsidRPr="00B740B4">
        <w:rPr>
          <w:rFonts w:eastAsia="Times New Roman"/>
          <w:noProof/>
        </w:rPr>
        <w:t>–29). V</w:t>
      </w:r>
      <w:r w:rsidRPr="00B740B4">
        <w:rPr>
          <w:rFonts w:eastAsia="Times New Roman"/>
          <w:noProof/>
        </w:rPr>
        <w:t xml:space="preserve"> 30 rounds off the </w:t>
      </w:r>
      <w:r w:rsidR="00594626" w:rsidRPr="00B740B4">
        <w:rPr>
          <w:rFonts w:eastAsia="Times New Roman"/>
          <w:noProof/>
        </w:rPr>
        <w:t xml:space="preserve">court </w:t>
      </w:r>
      <w:r w:rsidRPr="00B740B4">
        <w:rPr>
          <w:rFonts w:eastAsia="Times New Roman"/>
          <w:noProof/>
        </w:rPr>
        <w:t>tale aspect to the story.</w:t>
      </w:r>
      <w:r w:rsidR="0002391F" w:rsidRPr="00B740B4">
        <w:rPr>
          <w:rFonts w:eastAsia="Times New Roman"/>
          <w:noProof/>
        </w:rPr>
        <w:t xml:space="preserve"> MT has section breaks after v 12, 18, and 25 and a chapter break after v 23.</w:t>
      </w:r>
    </w:p>
    <w:p w:rsidR="009955B8" w:rsidRDefault="00A82373" w:rsidP="009955B8">
      <w:pPr>
        <w:rPr>
          <w:rFonts w:eastAsia="Times New Roman"/>
        </w:rPr>
      </w:pPr>
      <w:r w:rsidRPr="00B740B4">
        <w:rPr>
          <w:rFonts w:eastAsia="Times New Roman"/>
        </w:rPr>
        <w:t>T</w:t>
      </w:r>
      <w:r w:rsidR="009955B8" w:rsidRPr="00B740B4">
        <w:rPr>
          <w:rFonts w:eastAsia="Times New Roman"/>
        </w:rPr>
        <w:t xml:space="preserve">he story relates how the </w:t>
      </w:r>
      <w:r w:rsidRPr="00B740B4">
        <w:rPr>
          <w:rFonts w:eastAsia="Times New Roman"/>
        </w:rPr>
        <w:t xml:space="preserve">three </w:t>
      </w:r>
      <w:r w:rsidR="009955B8" w:rsidRPr="00B740B4">
        <w:rPr>
          <w:rFonts w:eastAsia="Times New Roman"/>
        </w:rPr>
        <w:t>men are put on the spot, denounced, interrogated, executed, delivered, and promoted. The arrogant k</w:t>
      </w:r>
      <w:r w:rsidR="006C16DE" w:rsidRPr="00B740B4">
        <w:rPr>
          <w:rFonts w:eastAsia="Times New Roman"/>
        </w:rPr>
        <w:t>ing is humbled, the faithful Judahite</w:t>
      </w:r>
      <w:r w:rsidR="009955B8" w:rsidRPr="00B740B4">
        <w:rPr>
          <w:rFonts w:eastAsia="Times New Roman"/>
        </w:rPr>
        <w:t>s are exalted. Put diagrammatically:</w:t>
      </w:r>
    </w:p>
    <w:p w:rsidR="00142222" w:rsidRPr="00B740B4" w:rsidRDefault="00142222" w:rsidP="009955B8">
      <w:pPr>
        <w:rPr>
          <w:rFonts w:eastAsia="Times New Roman"/>
        </w:rPr>
      </w:pPr>
    </w:p>
    <w:p w:rsidR="009955B8" w:rsidRPr="00B740B4" w:rsidRDefault="009955B8" w:rsidP="009955B8">
      <w:pPr>
        <w:rPr>
          <w:rFonts w:eastAsia="Times New Roman"/>
          <w:noProof/>
        </w:rPr>
      </w:pPr>
      <w:r w:rsidRPr="00B740B4">
        <w:rPr>
          <w:rFonts w:eastAsia="Times New Roman"/>
          <w:noProof/>
        </w:rPr>
        <w:t>The king command</w:t>
      </w:r>
      <w:r w:rsidR="006C16DE" w:rsidRPr="00B740B4">
        <w:rPr>
          <w:rFonts w:eastAsia="Times New Roman"/>
          <w:noProof/>
        </w:rPr>
        <w:t>s all to bow to the statue → Judahite</w:t>
      </w:r>
      <w:r w:rsidRPr="00B740B4">
        <w:rPr>
          <w:rFonts w:eastAsia="Times New Roman"/>
          <w:noProof/>
        </w:rPr>
        <w:t>s sentenced</w:t>
      </w:r>
    </w:p>
    <w:p w:rsidR="009955B8" w:rsidRPr="00B740B4" w:rsidRDefault="009955B8" w:rsidP="009955B8">
      <w:pPr>
        <w:rPr>
          <w:rFonts w:eastAsia="Times New Roman"/>
          <w:noProof/>
        </w:rPr>
      </w:pPr>
      <w:r w:rsidRPr="00B740B4">
        <w:rPr>
          <w:rFonts w:eastAsia="Times New Roman"/>
          <w:noProof/>
        </w:rPr>
        <w:t>The king commands a</w:t>
      </w:r>
      <w:r w:rsidR="00D02D10" w:rsidRPr="00B740B4">
        <w:rPr>
          <w:rFonts w:eastAsia="Times New Roman"/>
          <w:noProof/>
        </w:rPr>
        <w:t xml:space="preserve">ll to bow to God On </w:t>
      </w:r>
      <w:r w:rsidR="006C16DE" w:rsidRPr="00B740B4">
        <w:rPr>
          <w:rFonts w:eastAsia="Times New Roman"/>
          <w:noProof/>
        </w:rPr>
        <w:t>High ← Judahite</w:t>
      </w:r>
      <w:r w:rsidRPr="00B740B4">
        <w:rPr>
          <w:rFonts w:eastAsia="Times New Roman"/>
          <w:noProof/>
        </w:rPr>
        <w:t>s saved</w:t>
      </w:r>
      <w:r w:rsidR="00584710" w:rsidRPr="00B740B4">
        <w:rPr>
          <w:rFonts w:eastAsia="Times New Roman"/>
          <w:noProof/>
        </w:rPr>
        <w:t>.</w:t>
      </w:r>
      <w:r w:rsidR="00584710" w:rsidRPr="00B740B4">
        <w:rPr>
          <w:rStyle w:val="FootnoteReference"/>
          <w:rFonts w:eastAsia="Times New Roman"/>
          <w:noProof/>
        </w:rPr>
        <w:footnoteReference w:id="612"/>
      </w:r>
    </w:p>
    <w:p w:rsidR="009E0425" w:rsidRPr="00B740B4" w:rsidRDefault="009E0425" w:rsidP="009955B8">
      <w:pPr>
        <w:rPr>
          <w:rFonts w:eastAsia="Times New Roman"/>
          <w:noProof/>
        </w:rPr>
      </w:pPr>
    </w:p>
    <w:p w:rsidR="009E0425" w:rsidRPr="00B740B4" w:rsidRDefault="00A82373" w:rsidP="009955B8">
      <w:pPr>
        <w:rPr>
          <w:rFonts w:eastAsia="Times New Roman"/>
          <w:noProof/>
        </w:rPr>
      </w:pPr>
      <w:r w:rsidRPr="00B740B4">
        <w:rPr>
          <w:rFonts w:eastAsia="Times New Roman"/>
          <w:noProof/>
        </w:rPr>
        <w:t xml:space="preserve">After v 23 G includes a song of praise by the confessors, closing with a prayer, and nicely adds that it was the sound of the singing from the furnace that gained the king’s attention. </w:t>
      </w:r>
      <w:r w:rsidR="009E0425" w:rsidRPr="00B740B4">
        <w:rPr>
          <w:rFonts w:eastAsia="Times New Roman"/>
          <w:noProof/>
        </w:rPr>
        <w:t>The effect of the ad</w:t>
      </w:r>
      <w:r w:rsidRPr="00B740B4">
        <w:rPr>
          <w:rFonts w:eastAsia="Times New Roman"/>
          <w:noProof/>
        </w:rPr>
        <w:t xml:space="preserve">ditions </w:t>
      </w:r>
      <w:r w:rsidR="009E0425" w:rsidRPr="00B740B4">
        <w:rPr>
          <w:rFonts w:eastAsia="Times New Roman"/>
          <w:noProof/>
        </w:rPr>
        <w:t xml:space="preserve">is </w:t>
      </w:r>
      <w:r w:rsidR="009A0C59">
        <w:rPr>
          <w:rFonts w:eastAsia="Times New Roman"/>
          <w:noProof/>
        </w:rPr>
        <w:t>to suggest a link between prayer and deliverance,</w:t>
      </w:r>
      <w:r w:rsidR="009A0C59">
        <w:rPr>
          <w:rStyle w:val="FootnoteReference"/>
          <w:rFonts w:eastAsia="Times New Roman"/>
          <w:noProof/>
        </w:rPr>
        <w:footnoteReference w:id="613"/>
      </w:r>
      <w:r w:rsidR="00142222">
        <w:rPr>
          <w:rFonts w:eastAsia="Times New Roman"/>
          <w:noProof/>
        </w:rPr>
        <w:t xml:space="preserve"> </w:t>
      </w:r>
      <w:r w:rsidR="009E0425" w:rsidRPr="00B740B4">
        <w:rPr>
          <w:rFonts w:eastAsia="Times New Roman"/>
          <w:noProof/>
        </w:rPr>
        <w:t xml:space="preserve">to slow the narrative down </w:t>
      </w:r>
      <w:r w:rsidR="00142222">
        <w:rPr>
          <w:rFonts w:eastAsia="Times New Roman"/>
          <w:noProof/>
        </w:rPr>
        <w:t xml:space="preserve">markedly, </w:t>
      </w:r>
      <w:r w:rsidR="009E0425" w:rsidRPr="00B740B4">
        <w:rPr>
          <w:rFonts w:eastAsia="Times New Roman"/>
          <w:noProof/>
        </w:rPr>
        <w:t>and to shift the center of the chapter from the story to the prayer and song.</w:t>
      </w:r>
      <w:r w:rsidR="009E0425" w:rsidRPr="00B740B4">
        <w:rPr>
          <w:rStyle w:val="FootnoteReference"/>
          <w:rFonts w:eastAsia="Times New Roman"/>
          <w:noProof/>
        </w:rPr>
        <w:footnoteReference w:id="614"/>
      </w:r>
    </w:p>
    <w:p w:rsidR="00584710" w:rsidRPr="00B740B4" w:rsidRDefault="00584710" w:rsidP="00584710">
      <w:pPr>
        <w:pStyle w:val="Heading3"/>
      </w:pPr>
      <w:r w:rsidRPr="00B740B4">
        <w:lastRenderedPageBreak/>
        <w:t>Setting</w:t>
      </w:r>
    </w:p>
    <w:p w:rsidR="009955B8" w:rsidRPr="00B740B4" w:rsidRDefault="009955B8" w:rsidP="009955B8">
      <w:pPr>
        <w:rPr>
          <w:rFonts w:eastAsia="Times New Roman"/>
          <w:noProof/>
        </w:rPr>
      </w:pPr>
    </w:p>
    <w:p w:rsidR="009955B8" w:rsidRPr="00B740B4" w:rsidRDefault="009955B8" w:rsidP="00A82373">
      <w:pPr>
        <w:rPr>
          <w:rFonts w:eastAsia="Times New Roman"/>
          <w:noProof/>
        </w:rPr>
      </w:pPr>
      <w:r w:rsidRPr="00B740B4">
        <w:rPr>
          <w:rFonts w:eastAsia="Times New Roman"/>
          <w:noProof/>
        </w:rPr>
        <w:t xml:space="preserve">The pressure to assimilation and the mortal price that may be paid for faithfulness suggest a setting </w:t>
      </w:r>
      <w:r w:rsidR="00A06ACA" w:rsidRPr="00B740B4">
        <w:rPr>
          <w:rFonts w:eastAsia="Times New Roman"/>
          <w:noProof/>
        </w:rPr>
        <w:t xml:space="preserve">in the dispersion, though </w:t>
      </w:r>
      <w:r w:rsidRPr="00B740B4">
        <w:rPr>
          <w:rFonts w:eastAsia="Times New Roman"/>
          <w:noProof/>
        </w:rPr>
        <w:t>the challenge to resist pagan pressure, if necessary to t</w:t>
      </w:r>
      <w:r w:rsidR="00A82373" w:rsidRPr="00B740B4">
        <w:rPr>
          <w:rFonts w:eastAsia="Times New Roman"/>
          <w:noProof/>
        </w:rPr>
        <w:t>he death, would also be urgent</w:t>
      </w:r>
      <w:r w:rsidR="00A06ACA" w:rsidRPr="00B740B4">
        <w:rPr>
          <w:rFonts w:eastAsia="Times New Roman"/>
          <w:noProof/>
        </w:rPr>
        <w:t>ly relevant</w:t>
      </w:r>
      <w:r w:rsidRPr="00B740B4">
        <w:rPr>
          <w:rFonts w:eastAsia="Times New Roman"/>
          <w:noProof/>
        </w:rPr>
        <w:t xml:space="preserve"> in the Antiochene crisis in Jerusalem. Three of the terms for musical instruments are of Greek</w:t>
      </w:r>
      <w:r w:rsidR="00B403B1" w:rsidRPr="00B740B4">
        <w:rPr>
          <w:rFonts w:eastAsia="Times New Roman"/>
          <w:noProof/>
        </w:rPr>
        <w:t xml:space="preserve"> origin, which </w:t>
      </w:r>
      <w:r w:rsidR="00A06ACA" w:rsidRPr="00B740B4">
        <w:rPr>
          <w:rFonts w:eastAsia="Times New Roman"/>
          <w:noProof/>
        </w:rPr>
        <w:t>could point</w:t>
      </w:r>
      <w:r w:rsidR="00B403B1" w:rsidRPr="00B740B4">
        <w:rPr>
          <w:rFonts w:eastAsia="Times New Roman"/>
          <w:noProof/>
        </w:rPr>
        <w:t xml:space="preserve"> </w:t>
      </w:r>
      <w:r w:rsidR="002D4FFF" w:rsidRPr="00B740B4">
        <w:rPr>
          <w:rFonts w:eastAsia="Times New Roman"/>
          <w:noProof/>
        </w:rPr>
        <w:t xml:space="preserve">towards </w:t>
      </w:r>
      <w:r w:rsidRPr="00B740B4">
        <w:rPr>
          <w:rFonts w:eastAsia="Times New Roman"/>
          <w:noProof/>
        </w:rPr>
        <w:t>a setting in th</w:t>
      </w:r>
      <w:r w:rsidR="00A82373" w:rsidRPr="00B740B4">
        <w:rPr>
          <w:rFonts w:eastAsia="Times New Roman"/>
          <w:noProof/>
        </w:rPr>
        <w:t>e Greek period, though the evidence for Greek influence in Asia in the Persian era means it does not require it.</w:t>
      </w:r>
      <w:r w:rsidR="00A06ACA" w:rsidRPr="00B740B4">
        <w:rPr>
          <w:rStyle w:val="FootnoteReference"/>
          <w:rFonts w:eastAsia="Times New Roman"/>
          <w:noProof/>
        </w:rPr>
        <w:footnoteReference w:id="615"/>
      </w:r>
      <w:r w:rsidRPr="00B740B4">
        <w:rPr>
          <w:rFonts w:eastAsia="Times New Roman"/>
          <w:noProof/>
        </w:rPr>
        <w:t xml:space="preserve"> </w:t>
      </w:r>
      <w:r w:rsidR="00A06ACA" w:rsidRPr="00B740B4">
        <w:rPr>
          <w:rFonts w:eastAsia="Times New Roman"/>
          <w:noProof/>
        </w:rPr>
        <w:t>T</w:t>
      </w:r>
      <w:r w:rsidRPr="00B740B4">
        <w:rPr>
          <w:rFonts w:eastAsia="Times New Roman"/>
          <w:noProof/>
        </w:rPr>
        <w:t xml:space="preserve">he event </w:t>
      </w:r>
      <w:r w:rsidR="00A06ACA" w:rsidRPr="00B740B4">
        <w:rPr>
          <w:rFonts w:eastAsia="Times New Roman"/>
          <w:noProof/>
        </w:rPr>
        <w:t xml:space="preserve">has been connected </w:t>
      </w:r>
      <w:r w:rsidRPr="00B740B4">
        <w:rPr>
          <w:rFonts w:eastAsia="Times New Roman"/>
          <w:noProof/>
        </w:rPr>
        <w:t>with a ceremonial convocation to pledge loyalty to Nebuchadnezzar referred to in Jer 51:59–64</w:t>
      </w:r>
      <w:r w:rsidR="00A06ACA" w:rsidRPr="00B740B4">
        <w:rPr>
          <w:rStyle w:val="FootnoteReference"/>
          <w:rFonts w:eastAsia="Times New Roman"/>
          <w:noProof/>
        </w:rPr>
        <w:footnoteReference w:id="616"/>
      </w:r>
      <w:r w:rsidR="00A06ACA" w:rsidRPr="00B740B4">
        <w:rPr>
          <w:rFonts w:eastAsia="Times New Roman"/>
          <w:noProof/>
        </w:rPr>
        <w:t xml:space="preserve"> and with </w:t>
      </w:r>
      <w:r w:rsidRPr="00B740B4">
        <w:rPr>
          <w:rFonts w:eastAsia="Times New Roman"/>
          <w:noProof/>
        </w:rPr>
        <w:t>Nabonidus’s introduc</w:t>
      </w:r>
      <w:r w:rsidR="00A06ACA" w:rsidRPr="00B740B4">
        <w:rPr>
          <w:rFonts w:eastAsia="Times New Roman"/>
          <w:noProof/>
        </w:rPr>
        <w:t>tion of the Sin cult in Babylon.</w:t>
      </w:r>
      <w:r w:rsidR="00A06ACA" w:rsidRPr="00B740B4">
        <w:rPr>
          <w:rStyle w:val="FootnoteReference"/>
          <w:rFonts w:eastAsia="Times New Roman"/>
          <w:noProof/>
        </w:rPr>
        <w:footnoteReference w:id="617"/>
      </w:r>
      <w:r w:rsidR="00FD5C0F" w:rsidRPr="00B740B4">
        <w:rPr>
          <w:rFonts w:eastAsia="Times New Roman"/>
          <w:noProof/>
        </w:rPr>
        <w:t xml:space="preserve"> Herodotus</w:t>
      </w:r>
      <w:r w:rsidR="00B24F98">
        <w:rPr>
          <w:rFonts w:eastAsia="Times New Roman"/>
          <w:noProof/>
        </w:rPr>
        <w:t xml:space="preserve">, </w:t>
      </w:r>
      <w:r w:rsidR="00B24F98">
        <w:rPr>
          <w:rFonts w:eastAsia="Times New Roman"/>
          <w:i/>
          <w:noProof/>
        </w:rPr>
        <w:t>Histories</w:t>
      </w:r>
      <w:r w:rsidR="00FD5C0F" w:rsidRPr="00B740B4">
        <w:rPr>
          <w:rFonts w:eastAsia="Times New Roman"/>
          <w:noProof/>
        </w:rPr>
        <w:t xml:space="preserve"> 1.86–87 relates a story about Cyrus putting Croesus, the king he had defeated, on a funeral pyre, wondering if some god would save him; Croesus is saved by a rainstorm in response to his prayer to Apollo.</w:t>
      </w:r>
    </w:p>
    <w:p w:rsidR="009955B8" w:rsidRPr="00B740B4" w:rsidRDefault="009955B8" w:rsidP="009955B8">
      <w:pPr>
        <w:rPr>
          <w:rFonts w:eastAsia="Times New Roman"/>
        </w:rPr>
      </w:pPr>
      <w:r w:rsidRPr="00B740B4">
        <w:rPr>
          <w:rFonts w:eastAsia="Times New Roman"/>
        </w:rPr>
        <w:t xml:space="preserve">Dan 3 comprises a sharpened version of Dan 1. The </w:t>
      </w:r>
      <w:r w:rsidR="007479D0" w:rsidRPr="00B740B4">
        <w:rPr>
          <w:rFonts w:eastAsia="Times New Roman"/>
        </w:rPr>
        <w:t xml:space="preserve">three men are put into a </w:t>
      </w:r>
      <w:r w:rsidRPr="00B740B4">
        <w:rPr>
          <w:rFonts w:eastAsia="Times New Roman"/>
        </w:rPr>
        <w:t>diffi</w:t>
      </w:r>
      <w:r w:rsidR="007479D0" w:rsidRPr="00B740B4">
        <w:rPr>
          <w:rFonts w:eastAsia="Times New Roman"/>
        </w:rPr>
        <w:t>culty that</w:t>
      </w:r>
      <w:r w:rsidRPr="00B740B4">
        <w:rPr>
          <w:rFonts w:eastAsia="Times New Roman"/>
        </w:rPr>
        <w:t xml:space="preserve"> follows from 2:49, though Nebuchadnezzar’s own behavior and his sceptical questio</w:t>
      </w:r>
      <w:r w:rsidR="007479D0" w:rsidRPr="00B740B4">
        <w:rPr>
          <w:rFonts w:eastAsia="Times New Roman"/>
        </w:rPr>
        <w:t xml:space="preserve">n (v 15) do not follow on from </w:t>
      </w:r>
      <w:r w:rsidRPr="00B740B4">
        <w:rPr>
          <w:rFonts w:eastAsia="Times New Roman"/>
        </w:rPr>
        <w:t>his e</w:t>
      </w:r>
      <w:r w:rsidR="00A82373" w:rsidRPr="00B740B4">
        <w:rPr>
          <w:rFonts w:eastAsia="Times New Roman"/>
        </w:rPr>
        <w:t>xperience in chap.</w:t>
      </w:r>
      <w:r w:rsidR="007479D0" w:rsidRPr="00B740B4">
        <w:rPr>
          <w:rFonts w:eastAsia="Times New Roman"/>
        </w:rPr>
        <w:t xml:space="preserve"> 2 and </w:t>
      </w:r>
      <w:r w:rsidR="004431E7">
        <w:rPr>
          <w:rFonts w:eastAsia="Times New Roman"/>
        </w:rPr>
        <w:t>his confession in 2:47</w:t>
      </w:r>
      <w:r w:rsidRPr="00B740B4">
        <w:rPr>
          <w:rFonts w:eastAsia="Times New Roman"/>
        </w:rPr>
        <w:t xml:space="preserve">. The stories </w:t>
      </w:r>
      <w:r w:rsidR="007479D0" w:rsidRPr="00B740B4">
        <w:rPr>
          <w:rFonts w:eastAsia="Times New Roman"/>
        </w:rPr>
        <w:t xml:space="preserve">in Daniel </w:t>
      </w:r>
      <w:r w:rsidRPr="00B740B4">
        <w:rPr>
          <w:rFonts w:eastAsia="Times New Roman"/>
        </w:rPr>
        <w:t>are separate</w:t>
      </w:r>
      <w:r w:rsidR="007479D0" w:rsidRPr="00B740B4">
        <w:rPr>
          <w:rFonts w:eastAsia="Times New Roman"/>
        </w:rPr>
        <w:t xml:space="preserve"> and largely independent</w:t>
      </w:r>
      <w:r w:rsidRPr="00B740B4">
        <w:rPr>
          <w:rFonts w:eastAsia="Times New Roman"/>
        </w:rPr>
        <w:t xml:space="preserve">, and they deal in types and cartoons rather than rounded characterization; there is no character development in them, </w:t>
      </w:r>
      <w:r w:rsidR="007479D0" w:rsidRPr="00B740B4">
        <w:rPr>
          <w:rFonts w:eastAsia="Times New Roman"/>
        </w:rPr>
        <w:t>as if they were a modern novel.</w:t>
      </w:r>
      <w:r w:rsidR="007479D0" w:rsidRPr="00B740B4">
        <w:rPr>
          <w:rStyle w:val="FootnoteReference"/>
          <w:rFonts w:eastAsia="Times New Roman"/>
        </w:rPr>
        <w:footnoteReference w:id="618"/>
      </w:r>
      <w:r w:rsidR="007479D0" w:rsidRPr="00B740B4">
        <w:rPr>
          <w:rFonts w:eastAsia="Times New Roman"/>
        </w:rPr>
        <w:t xml:space="preserve"> But the order of the book might imply</w:t>
      </w:r>
      <w:r w:rsidRPr="00B740B4">
        <w:rPr>
          <w:rFonts w:eastAsia="Times New Roman"/>
        </w:rPr>
        <w:t xml:space="preserve"> that building a real statue arose from seeing</w:t>
      </w:r>
      <w:r w:rsidR="007479D0" w:rsidRPr="00B740B4">
        <w:rPr>
          <w:rFonts w:eastAsia="Times New Roman"/>
        </w:rPr>
        <w:t xml:space="preserve"> the visionary statue of chap.</w:t>
      </w:r>
      <w:r w:rsidRPr="00B740B4">
        <w:rPr>
          <w:rFonts w:eastAsia="Times New Roman"/>
        </w:rPr>
        <w:t xml:space="preserve"> 2</w:t>
      </w:r>
      <w:r w:rsidR="007479D0" w:rsidRPr="00B740B4">
        <w:rPr>
          <w:rStyle w:val="FootnoteReference"/>
          <w:rFonts w:eastAsia="Times New Roman"/>
        </w:rPr>
        <w:footnoteReference w:id="619"/>
      </w:r>
      <w:r w:rsidRPr="00B740B4">
        <w:rPr>
          <w:rFonts w:eastAsia="Times New Roman"/>
        </w:rPr>
        <w:t xml:space="preserve"> and sought to consolidate the empire that the dream threatened.</w:t>
      </w:r>
      <w:r w:rsidR="00171A41">
        <w:rPr>
          <w:rFonts w:eastAsia="Times New Roman"/>
        </w:rPr>
        <w:t xml:space="preserve"> And/or the story about a statue clarifies the significance of the dream statue in the preceding story.</w:t>
      </w:r>
      <w:r w:rsidR="00171A41">
        <w:rPr>
          <w:rStyle w:val="FootnoteReference"/>
          <w:rFonts w:eastAsia="Times New Roman"/>
        </w:rPr>
        <w:footnoteReference w:id="620"/>
      </w:r>
      <w:r w:rsidR="00171A41">
        <w:rPr>
          <w:rFonts w:eastAsia="Times New Roman"/>
        </w:rPr>
        <w:t xml:space="preserve"> The gold statue affirms that Nebuchadnezzar is the head of gold and ignores what happens later to the statue, in a way that parallels the cynical reading of Isa 39:8.</w:t>
      </w:r>
    </w:p>
    <w:p w:rsidR="00A40F7C" w:rsidRPr="00B740B4" w:rsidRDefault="00A40F7C" w:rsidP="009955B8">
      <w:pPr>
        <w:rPr>
          <w:rFonts w:eastAsia="Times New Roman"/>
        </w:rPr>
      </w:pPr>
      <w:r w:rsidRPr="00B740B4">
        <w:rPr>
          <w:rFonts w:eastAsia="Times New Roman"/>
        </w:rPr>
        <w:t>One can only guess at the reason behind Daniel’s</w:t>
      </w:r>
      <w:r w:rsidR="00A82373" w:rsidRPr="00B740B4">
        <w:rPr>
          <w:rFonts w:eastAsia="Times New Roman"/>
        </w:rPr>
        <w:t xml:space="preserve"> absence from the chapter. T</w:t>
      </w:r>
      <w:r w:rsidRPr="00B740B4">
        <w:rPr>
          <w:rFonts w:eastAsia="Times New Roman"/>
        </w:rPr>
        <w:t>he effect of his absence is to make the story complement the p</w:t>
      </w:r>
      <w:r w:rsidR="00A82373" w:rsidRPr="00B740B4">
        <w:rPr>
          <w:rFonts w:eastAsia="Times New Roman"/>
        </w:rPr>
        <w:t>revious chapters in which he</w:t>
      </w:r>
      <w:r w:rsidRPr="00B740B4">
        <w:rPr>
          <w:rFonts w:eastAsia="Times New Roman"/>
        </w:rPr>
        <w:t xml:space="preserve"> has</w:t>
      </w:r>
      <w:r w:rsidR="00A82373" w:rsidRPr="00B740B4">
        <w:rPr>
          <w:rFonts w:eastAsia="Times New Roman"/>
        </w:rPr>
        <w:t xml:space="preserve"> been the key figure. While the three men</w:t>
      </w:r>
      <w:r w:rsidRPr="00B740B4">
        <w:rPr>
          <w:rFonts w:eastAsia="Times New Roman"/>
        </w:rPr>
        <w:t xml:space="preserve"> are not exactly ordinary Judahites, they are n</w:t>
      </w:r>
      <w:r w:rsidR="00A82373" w:rsidRPr="00B740B4">
        <w:rPr>
          <w:rFonts w:eastAsia="Times New Roman"/>
        </w:rPr>
        <w:t xml:space="preserve">ot in the </w:t>
      </w:r>
      <w:r w:rsidR="004431E7">
        <w:rPr>
          <w:rFonts w:eastAsia="Times New Roman"/>
        </w:rPr>
        <w:t xml:space="preserve">same league as Daniel, and </w:t>
      </w:r>
      <w:r w:rsidR="00A82373" w:rsidRPr="00B740B4">
        <w:rPr>
          <w:rFonts w:eastAsia="Times New Roman"/>
        </w:rPr>
        <w:t>th</w:t>
      </w:r>
      <w:r w:rsidR="00171A41">
        <w:rPr>
          <w:rFonts w:eastAsia="Times New Roman"/>
        </w:rPr>
        <w:t>eir story might speak in a disti</w:t>
      </w:r>
      <w:r w:rsidR="00A82373" w:rsidRPr="00B740B4">
        <w:rPr>
          <w:rFonts w:eastAsia="Times New Roman"/>
        </w:rPr>
        <w:t>nctive way to ordinary Judahites.</w:t>
      </w:r>
    </w:p>
    <w:p w:rsidR="009955B8" w:rsidRPr="00B740B4" w:rsidRDefault="009955B8" w:rsidP="009479B1">
      <w:pPr>
        <w:pStyle w:val="Heading2"/>
        <w:rPr>
          <w:rFonts w:eastAsia="Times New Roman"/>
        </w:rPr>
      </w:pPr>
      <w:r w:rsidRPr="00B740B4">
        <w:rPr>
          <w:rFonts w:eastAsia="Times New Roman"/>
        </w:rPr>
        <w:t>Comment</w:t>
      </w:r>
    </w:p>
    <w:p w:rsidR="009955B8" w:rsidRPr="00B740B4" w:rsidRDefault="009955B8" w:rsidP="009955B8">
      <w:pPr>
        <w:rPr>
          <w:rFonts w:eastAsia="Times New Roman"/>
          <w:noProof/>
        </w:rPr>
      </w:pPr>
      <w:r w:rsidRPr="00B740B4">
        <w:rPr>
          <w:rFonts w:eastAsia="Times New Roman"/>
          <w:b/>
          <w:noProof/>
        </w:rPr>
        <w:t>1</w:t>
      </w:r>
      <w:r w:rsidR="00F05BCA" w:rsidRPr="00B740B4">
        <w:rPr>
          <w:rFonts w:eastAsia="Times New Roman"/>
          <w:b/>
          <w:noProof/>
        </w:rPr>
        <w:t>-3</w:t>
      </w:r>
      <w:r w:rsidR="00A82373" w:rsidRPr="00B740B4">
        <w:rPr>
          <w:rFonts w:eastAsia="Times New Roman"/>
          <w:noProof/>
        </w:rPr>
        <w:t xml:space="preserve"> Setting up </w:t>
      </w:r>
      <w:r w:rsidRPr="00B740B4">
        <w:rPr>
          <w:rFonts w:eastAsia="Times New Roman"/>
          <w:noProof/>
        </w:rPr>
        <w:t>statues is a familiar feature of the Babylonian, Persian, and Greek empires.</w:t>
      </w:r>
      <w:r w:rsidR="007479D0" w:rsidRPr="00B740B4">
        <w:rPr>
          <w:rStyle w:val="FootnoteReference"/>
          <w:rFonts w:eastAsia="Times New Roman"/>
          <w:noProof/>
        </w:rPr>
        <w:footnoteReference w:id="621"/>
      </w:r>
      <w:r w:rsidRPr="00B740B4">
        <w:rPr>
          <w:rFonts w:eastAsia="Times New Roman"/>
          <w:noProof/>
        </w:rPr>
        <w:t xml:space="preserve"> </w:t>
      </w:r>
      <w:r w:rsidR="00F14C8C">
        <w:rPr>
          <w:rFonts w:eastAsia="Times New Roman"/>
          <w:noProof/>
        </w:rPr>
        <w:t>T</w:t>
      </w:r>
      <w:r w:rsidR="00F14C8C" w:rsidRPr="00F14C8C">
        <w:rPr>
          <w:rFonts w:eastAsia="Times New Roman"/>
          <w:noProof/>
        </w:rPr>
        <w:t>his statue stands higher than most, though not than</w:t>
      </w:r>
      <w:r w:rsidR="00F14C8C">
        <w:rPr>
          <w:rFonts w:eastAsia="Times New Roman"/>
          <w:noProof/>
        </w:rPr>
        <w:t xml:space="preserve"> the Rhodes Colossus (70 cubits; t</w:t>
      </w:r>
      <w:r w:rsidRPr="00B740B4">
        <w:rPr>
          <w:rFonts w:eastAsia="Times New Roman"/>
          <w:noProof/>
        </w:rPr>
        <w:t xml:space="preserve">he various standards for </w:t>
      </w:r>
      <w:r w:rsidR="007479D0" w:rsidRPr="00B740B4">
        <w:rPr>
          <w:rFonts w:eastAsia="Times New Roman"/>
          <w:noProof/>
        </w:rPr>
        <w:t>the cubit average about half a yard</w:t>
      </w:r>
      <w:r w:rsidR="00F14C8C">
        <w:rPr>
          <w:rFonts w:eastAsia="Times New Roman"/>
          <w:noProof/>
        </w:rPr>
        <w:t>)</w:t>
      </w:r>
      <w:r w:rsidRPr="00B740B4">
        <w:rPr>
          <w:rFonts w:eastAsia="Times New Roman"/>
          <w:noProof/>
        </w:rPr>
        <w:t>. Perhap</w:t>
      </w:r>
      <w:r w:rsidR="00F14C8C">
        <w:rPr>
          <w:rFonts w:eastAsia="Times New Roman"/>
          <w:noProof/>
        </w:rPr>
        <w:t>s it included a pedestal like statues that</w:t>
      </w:r>
      <w:r w:rsidRPr="00B740B4">
        <w:rPr>
          <w:rFonts w:eastAsia="Times New Roman"/>
          <w:noProof/>
        </w:rPr>
        <w:t xml:space="preserve"> are said to have been located at one of the various Babylonian sites called Dura/Duru/Dur (Akk. “fortification”).</w:t>
      </w:r>
      <w:r w:rsidR="007479D0" w:rsidRPr="00B740B4">
        <w:rPr>
          <w:rStyle w:val="FootnoteReference"/>
          <w:rFonts w:eastAsia="Times New Roman"/>
          <w:noProof/>
        </w:rPr>
        <w:footnoteReference w:id="622"/>
      </w:r>
      <w:r w:rsidRPr="00B740B4">
        <w:rPr>
          <w:rFonts w:eastAsia="Times New Roman"/>
          <w:noProof/>
        </w:rPr>
        <w:t xml:space="preserve"> This </w:t>
      </w:r>
      <w:r w:rsidR="007479D0" w:rsidRPr="00B740B4">
        <w:rPr>
          <w:rFonts w:eastAsia="Times New Roman"/>
          <w:noProof/>
        </w:rPr>
        <w:t xml:space="preserve">understanding </w:t>
      </w:r>
      <w:r w:rsidRPr="00B740B4">
        <w:rPr>
          <w:rFonts w:eastAsia="Times New Roman"/>
          <w:noProof/>
        </w:rPr>
        <w:t xml:space="preserve">would </w:t>
      </w:r>
      <w:r w:rsidR="00F14C8C">
        <w:rPr>
          <w:rFonts w:eastAsia="Times New Roman"/>
          <w:noProof/>
        </w:rPr>
        <w:t xml:space="preserve">also </w:t>
      </w:r>
      <w:r w:rsidRPr="00B740B4">
        <w:rPr>
          <w:rFonts w:eastAsia="Times New Roman"/>
          <w:noProof/>
        </w:rPr>
        <w:t>account for t</w:t>
      </w:r>
      <w:r w:rsidR="0078325D" w:rsidRPr="00B740B4">
        <w:rPr>
          <w:rFonts w:eastAsia="Times New Roman"/>
          <w:noProof/>
        </w:rPr>
        <w:t>he statue’s odd proportions; compare</w:t>
      </w:r>
      <w:r w:rsidRPr="00B740B4">
        <w:rPr>
          <w:rFonts w:eastAsia="Times New Roman"/>
          <w:noProof/>
        </w:rPr>
        <w:t xml:space="preserve"> also inscribed</w:t>
      </w:r>
      <w:r w:rsidR="007479D0" w:rsidRPr="00B740B4">
        <w:rPr>
          <w:rFonts w:eastAsia="Times New Roman"/>
          <w:noProof/>
        </w:rPr>
        <w:t xml:space="preserve"> stelas with figures at the top,</w:t>
      </w:r>
      <w:r w:rsidR="007479D0" w:rsidRPr="00B740B4">
        <w:rPr>
          <w:rStyle w:val="FootnoteReference"/>
          <w:rFonts w:eastAsia="Times New Roman"/>
          <w:noProof/>
        </w:rPr>
        <w:footnoteReference w:id="623"/>
      </w:r>
      <w:r w:rsidR="007479D0" w:rsidRPr="00B740B4">
        <w:rPr>
          <w:rFonts w:eastAsia="Times New Roman"/>
          <w:noProof/>
        </w:rPr>
        <w:t xml:space="preserve"> </w:t>
      </w:r>
      <w:r w:rsidRPr="00B740B4">
        <w:rPr>
          <w:rFonts w:eastAsia="Times New Roman"/>
          <w:noProof/>
        </w:rPr>
        <w:t xml:space="preserve">though a stela is really a </w:t>
      </w:r>
      <w:r w:rsidRPr="00B740B4">
        <w:rPr>
          <w:rFonts w:ascii="Arial" w:eastAsia="Times New Roman" w:hAnsi="Arial" w:cs="Arial"/>
          <w:noProof/>
        </w:rPr>
        <w:t>מצבה</w:t>
      </w:r>
      <w:r w:rsidRPr="00B740B4">
        <w:rPr>
          <w:rFonts w:eastAsia="Times New Roman"/>
          <w:noProof/>
        </w:rPr>
        <w:t xml:space="preserve"> not a </w:t>
      </w:r>
      <w:r w:rsidRPr="00B740B4">
        <w:rPr>
          <w:rFonts w:ascii="Arial" w:eastAsia="Times New Roman" w:hAnsi="Arial" w:cs="Arial"/>
          <w:noProof/>
        </w:rPr>
        <w:t>צלם</w:t>
      </w:r>
      <w:r w:rsidR="007479D0" w:rsidRPr="00B740B4">
        <w:rPr>
          <w:rFonts w:ascii="Arial" w:eastAsia="Times New Roman" w:hAnsi="Arial" w:cs="Arial"/>
          <w:noProof/>
        </w:rPr>
        <w:t>.</w:t>
      </w:r>
      <w:r w:rsidR="007479D0" w:rsidRPr="00B740B4">
        <w:rPr>
          <w:rStyle w:val="FootnoteReference"/>
          <w:rFonts w:ascii="Arial" w:eastAsia="Times New Roman" w:hAnsi="Arial" w:cs="Arial"/>
          <w:noProof/>
        </w:rPr>
        <w:footnoteReference w:id="624"/>
      </w:r>
      <w:r w:rsidRPr="00B740B4">
        <w:rPr>
          <w:rFonts w:eastAsia="Times New Roman"/>
          <w:noProof/>
        </w:rPr>
        <w:t xml:space="preserve"> </w:t>
      </w:r>
      <w:r w:rsidR="00A735D1" w:rsidRPr="00B740B4">
        <w:rPr>
          <w:rFonts w:eastAsia="Times New Roman"/>
          <w:noProof/>
        </w:rPr>
        <w:t>But t</w:t>
      </w:r>
      <w:r w:rsidRPr="00B740B4">
        <w:rPr>
          <w:rFonts w:eastAsia="Times New Roman"/>
          <w:noProof/>
        </w:rPr>
        <w:t xml:space="preserve">o reduce the statue to something </w:t>
      </w:r>
      <w:r w:rsidRPr="00B740B4">
        <w:rPr>
          <w:rFonts w:eastAsia="Times New Roman"/>
          <w:noProof/>
        </w:rPr>
        <w:lastRenderedPageBreak/>
        <w:t xml:space="preserve">normal (cf. </w:t>
      </w:r>
      <w:r w:rsidRPr="00B740B4">
        <w:rPr>
          <w:rFonts w:eastAsia="Times New Roman"/>
          <w:smallCaps/>
          <w:noProof/>
        </w:rPr>
        <w:t>jb</w:t>
      </w:r>
      <w:r w:rsidR="00A735D1" w:rsidRPr="00B740B4">
        <w:rPr>
          <w:rFonts w:eastAsia="Times New Roman"/>
          <w:noProof/>
        </w:rPr>
        <w:t>) is</w:t>
      </w:r>
      <w:r w:rsidRPr="00B740B4">
        <w:rPr>
          <w:rFonts w:eastAsia="Times New Roman"/>
          <w:noProof/>
        </w:rPr>
        <w:t xml:space="preserve"> to miss the point that the statue is extraordinary and monumental, even grotesque</w:t>
      </w:r>
      <w:r w:rsidR="00D7759C" w:rsidRPr="00B740B4">
        <w:rPr>
          <w:rFonts w:eastAsia="Times New Roman"/>
          <w:noProof/>
        </w:rPr>
        <w:t xml:space="preserve">. </w:t>
      </w:r>
      <w:r w:rsidR="00A97C7E" w:rsidRPr="00B740B4">
        <w:rPr>
          <w:rFonts w:eastAsia="Times New Roman"/>
          <w:noProof/>
        </w:rPr>
        <w:t>Maybe the fact that s</w:t>
      </w:r>
      <w:r w:rsidR="00365241" w:rsidRPr="00B740B4">
        <w:rPr>
          <w:rFonts w:eastAsia="Times New Roman"/>
          <w:noProof/>
        </w:rPr>
        <w:t xml:space="preserve">ixty cubits was the height </w:t>
      </w:r>
      <w:r w:rsidR="00A97C7E" w:rsidRPr="00B740B4">
        <w:rPr>
          <w:rFonts w:eastAsia="Times New Roman"/>
          <w:noProof/>
        </w:rPr>
        <w:t>of the Second Temple (Ezra 6:3)</w:t>
      </w:r>
      <w:r w:rsidR="00365241" w:rsidRPr="00B740B4">
        <w:rPr>
          <w:rStyle w:val="FootnoteReference"/>
          <w:rFonts w:eastAsia="Times New Roman"/>
          <w:noProof/>
        </w:rPr>
        <w:footnoteReference w:id="625"/>
      </w:r>
      <w:r w:rsidR="00A97C7E" w:rsidRPr="00B740B4">
        <w:rPr>
          <w:rFonts w:eastAsia="Times New Roman"/>
          <w:noProof/>
        </w:rPr>
        <w:t xml:space="preserve"> implies that it is pretentious and beginss to hint at its blasphemous nature.</w:t>
      </w:r>
      <w:r w:rsidR="00365241" w:rsidRPr="00B740B4">
        <w:rPr>
          <w:rFonts w:eastAsia="Times New Roman"/>
          <w:noProof/>
        </w:rPr>
        <w:t xml:space="preserve"> </w:t>
      </w:r>
      <w:r w:rsidR="00A97C7E" w:rsidRPr="00B740B4">
        <w:rPr>
          <w:rFonts w:eastAsia="Times New Roman"/>
          <w:noProof/>
        </w:rPr>
        <w:t>On the other hand,</w:t>
      </w:r>
      <w:r w:rsidR="00D7759C" w:rsidRPr="00B740B4">
        <w:rPr>
          <w:rFonts w:eastAsia="Times New Roman"/>
          <w:noProof/>
        </w:rPr>
        <w:t xml:space="preserve"> the </w:t>
      </w:r>
      <w:r w:rsidR="008B566E" w:rsidRPr="00B740B4">
        <w:rPr>
          <w:rFonts w:eastAsia="Times New Roman"/>
          <w:noProof/>
        </w:rPr>
        <w:t xml:space="preserve">repetition of </w:t>
      </w:r>
      <w:r w:rsidR="00F14C8C">
        <w:rPr>
          <w:rFonts w:eastAsia="Times New Roman"/>
          <w:noProof/>
        </w:rPr>
        <w:t xml:space="preserve">the figure </w:t>
      </w:r>
      <w:r w:rsidR="008B566E" w:rsidRPr="00B740B4">
        <w:rPr>
          <w:rFonts w:eastAsia="Times New Roman"/>
          <w:noProof/>
        </w:rPr>
        <w:t xml:space="preserve">six suggests something symbolizing imperfection, even </w:t>
      </w:r>
      <w:r w:rsidR="00A97C7E" w:rsidRPr="00B740B4">
        <w:rPr>
          <w:rFonts w:eastAsia="Times New Roman"/>
          <w:noProof/>
        </w:rPr>
        <w:t xml:space="preserve">something </w:t>
      </w:r>
      <w:r w:rsidR="008B566E" w:rsidRPr="00B740B4">
        <w:rPr>
          <w:rFonts w:eastAsia="Times New Roman"/>
          <w:noProof/>
        </w:rPr>
        <w:t>horrendous (cf. Rev 13:18).</w:t>
      </w:r>
      <w:r w:rsidR="008B566E" w:rsidRPr="00B740B4">
        <w:rPr>
          <w:rStyle w:val="FootnoteReference"/>
          <w:rFonts w:eastAsia="Times New Roman"/>
          <w:noProof/>
        </w:rPr>
        <w:footnoteReference w:id="626"/>
      </w:r>
      <w:r w:rsidR="008B566E" w:rsidRPr="00B740B4">
        <w:rPr>
          <w:rFonts w:eastAsia="Times New Roman"/>
          <w:noProof/>
        </w:rPr>
        <w:t xml:space="preserve"> </w:t>
      </w:r>
      <w:r w:rsidR="00A97C7E" w:rsidRPr="00B740B4">
        <w:rPr>
          <w:rFonts w:eastAsia="Times New Roman"/>
          <w:noProof/>
        </w:rPr>
        <w:t>“Gold” may imply gold plating rather than solid gold (Isa 40:19), though Herodotus (</w:t>
      </w:r>
      <w:r w:rsidR="00B24F98">
        <w:rPr>
          <w:rFonts w:eastAsia="Times New Roman"/>
          <w:i/>
          <w:noProof/>
        </w:rPr>
        <w:t xml:space="preserve">Histories </w:t>
      </w:r>
      <w:r w:rsidR="00A97C7E" w:rsidRPr="00B740B4">
        <w:rPr>
          <w:rFonts w:eastAsia="Times New Roman"/>
          <w:noProof/>
        </w:rPr>
        <w:t xml:space="preserve">1.183) describes a Bel statue made of 800 talents (22 tons) of gold. The gold also recalls the gold of Solomon’s Temple; </w:t>
      </w:r>
      <w:r w:rsidR="0078325D" w:rsidRPr="00B740B4">
        <w:rPr>
          <w:rFonts w:eastAsia="Times New Roman"/>
          <w:noProof/>
        </w:rPr>
        <w:t xml:space="preserve">R. </w:t>
      </w:r>
      <w:r w:rsidR="00A97C7E" w:rsidRPr="00B740B4">
        <w:rPr>
          <w:rFonts w:eastAsia="Times New Roman"/>
          <w:noProof/>
        </w:rPr>
        <w:t>Bibi ben Abaye related that the Babylonians</w:t>
      </w:r>
      <w:r w:rsidR="0078325D" w:rsidRPr="00B740B4">
        <w:rPr>
          <w:rFonts w:eastAsia="Times New Roman"/>
          <w:noProof/>
        </w:rPr>
        <w:t xml:space="preserve"> had to bring all the gold </w:t>
      </w:r>
      <w:r w:rsidR="00141F92" w:rsidRPr="00B740B4">
        <w:rPr>
          <w:rFonts w:eastAsia="Times New Roman"/>
          <w:noProof/>
        </w:rPr>
        <w:t>that had been plundered from</w:t>
      </w:r>
      <w:r w:rsidR="00A97C7E" w:rsidRPr="00B740B4">
        <w:rPr>
          <w:rFonts w:eastAsia="Times New Roman"/>
          <w:noProof/>
        </w:rPr>
        <w:t xml:space="preserve"> Jerusalem to make its base </w:t>
      </w:r>
      <w:r w:rsidR="0078325D" w:rsidRPr="00B740B4">
        <w:rPr>
          <w:rFonts w:eastAsia="Times New Roman"/>
          <w:noProof/>
        </w:rPr>
        <w:t>so that not would not fall over.</w:t>
      </w:r>
      <w:r w:rsidR="0078325D" w:rsidRPr="00B740B4">
        <w:rPr>
          <w:rStyle w:val="FootnoteReference"/>
          <w:rFonts w:eastAsia="Times New Roman"/>
          <w:noProof/>
        </w:rPr>
        <w:footnoteReference w:id="627"/>
      </w:r>
      <w:r w:rsidR="0078325D" w:rsidRPr="00B740B4">
        <w:rPr>
          <w:rFonts w:eastAsia="Times New Roman"/>
          <w:noProof/>
        </w:rPr>
        <w:t xml:space="preserve"> </w:t>
      </w:r>
    </w:p>
    <w:p w:rsidR="001D3EFC" w:rsidRPr="00B740B4" w:rsidRDefault="009955B8" w:rsidP="009955B8">
      <w:pPr>
        <w:rPr>
          <w:rFonts w:eastAsia="Times New Roman"/>
        </w:rPr>
      </w:pPr>
      <w:r w:rsidRPr="00B740B4">
        <w:rPr>
          <w:rFonts w:eastAsia="Times New Roman"/>
        </w:rPr>
        <w:t>The statue may have represen</w:t>
      </w:r>
      <w:r w:rsidR="00A735D1" w:rsidRPr="00B740B4">
        <w:rPr>
          <w:rFonts w:eastAsia="Times New Roman"/>
        </w:rPr>
        <w:t xml:space="preserve">ted Nebuchadnezzar himself. </w:t>
      </w:r>
      <w:r w:rsidRPr="00B740B4">
        <w:rPr>
          <w:rFonts w:eastAsia="Times New Roman"/>
        </w:rPr>
        <w:t>Assyrian kings set up such statues as symbols of their dominion, and Hel</w:t>
      </w:r>
      <w:r w:rsidR="00453D9A" w:rsidRPr="00B740B4">
        <w:rPr>
          <w:rFonts w:eastAsia="Times New Roman"/>
        </w:rPr>
        <w:t>lenistic monarchs were deified, and this understanding is suggested by the date in G (see n.</w:t>
      </w:r>
      <w:r w:rsidR="00300E7A">
        <w:rPr>
          <w:rFonts w:eastAsia="Times New Roman"/>
        </w:rPr>
        <w:t xml:space="preserve"> </w:t>
      </w:r>
      <w:r w:rsidR="00453D9A" w:rsidRPr="00B740B4">
        <w:rPr>
          <w:rFonts w:eastAsia="Times New Roman"/>
        </w:rPr>
        <w:t xml:space="preserve">1.a). </w:t>
      </w:r>
      <w:r w:rsidRPr="00B740B4">
        <w:rPr>
          <w:rFonts w:eastAsia="Times New Roman"/>
        </w:rPr>
        <w:t>If Nebuchadnezzar had been insisting that he himself be worshiped, however, one would have expe</w:t>
      </w:r>
      <w:r w:rsidR="00924A83" w:rsidRPr="00B740B4">
        <w:rPr>
          <w:rFonts w:eastAsia="Times New Roman"/>
        </w:rPr>
        <w:t>cted the story to incorporate some explicit critique</w:t>
      </w:r>
      <w:r w:rsidRPr="00B740B4">
        <w:rPr>
          <w:rFonts w:eastAsia="Times New Roman"/>
        </w:rPr>
        <w:t xml:space="preserve"> (cf. Isa 14:13–21; also Judith’s treatment of Holofernes, who seeks this </w:t>
      </w:r>
      <w:r w:rsidR="00924A83" w:rsidRPr="00B740B4">
        <w:rPr>
          <w:rFonts w:eastAsia="Times New Roman"/>
        </w:rPr>
        <w:t>worship on Nebuchadnezzar’s behalf</w:t>
      </w:r>
      <w:r w:rsidRPr="00B740B4">
        <w:rPr>
          <w:rFonts w:eastAsia="Times New Roman"/>
        </w:rPr>
        <w:t xml:space="preserve"> </w:t>
      </w:r>
      <w:r w:rsidR="00924A83" w:rsidRPr="00B740B4">
        <w:rPr>
          <w:rFonts w:eastAsia="Times New Roman"/>
        </w:rPr>
        <w:t>[</w:t>
      </w:r>
      <w:r w:rsidRPr="00B740B4">
        <w:rPr>
          <w:rFonts w:eastAsia="Times New Roman"/>
        </w:rPr>
        <w:t>Jdt 3:8</w:t>
      </w:r>
      <w:r w:rsidR="00924A83" w:rsidRPr="00B740B4">
        <w:rPr>
          <w:rFonts w:eastAsia="Times New Roman"/>
        </w:rPr>
        <w:t>]</w:t>
      </w:r>
      <w:r w:rsidRPr="00B740B4">
        <w:rPr>
          <w:rFonts w:eastAsia="Times New Roman"/>
        </w:rPr>
        <w:t xml:space="preserve">). The association of bowing down before the statue with serving Nebuchadnezzar’s god(s) (vv 12, 14) </w:t>
      </w:r>
      <w:r w:rsidR="00924A83" w:rsidRPr="00B740B4">
        <w:rPr>
          <w:rFonts w:eastAsia="Times New Roman"/>
        </w:rPr>
        <w:t xml:space="preserve">rather </w:t>
      </w:r>
      <w:r w:rsidRPr="00B740B4">
        <w:rPr>
          <w:rFonts w:eastAsia="Times New Roman"/>
        </w:rPr>
        <w:t>suggests a statue of a divinity, presumably Bel.</w:t>
      </w:r>
      <w:r w:rsidR="00924A83" w:rsidRPr="00B740B4">
        <w:rPr>
          <w:rStyle w:val="FootnoteReference"/>
          <w:rFonts w:eastAsia="Times New Roman"/>
        </w:rPr>
        <w:footnoteReference w:id="628"/>
      </w:r>
      <w:r w:rsidR="00F14C8C">
        <w:rPr>
          <w:rFonts w:eastAsia="Times New Roman"/>
        </w:rPr>
        <w:t xml:space="preserve"> But the text’s omitting</w:t>
      </w:r>
      <w:r w:rsidRPr="00B740B4">
        <w:rPr>
          <w:rFonts w:eastAsia="Times New Roman"/>
        </w:rPr>
        <w:t xml:space="preserve"> to clarify </w:t>
      </w:r>
      <w:r w:rsidR="00924A83" w:rsidRPr="00B740B4">
        <w:rPr>
          <w:rFonts w:eastAsia="Times New Roman"/>
        </w:rPr>
        <w:t>what the statue represented reflects its concern</w:t>
      </w:r>
      <w:r w:rsidRPr="00B740B4">
        <w:rPr>
          <w:rFonts w:eastAsia="Times New Roman"/>
        </w:rPr>
        <w:t xml:space="preserve"> with the chal</w:t>
      </w:r>
      <w:r w:rsidR="006C16DE" w:rsidRPr="00B740B4">
        <w:rPr>
          <w:rFonts w:eastAsia="Times New Roman"/>
        </w:rPr>
        <w:t>lenge it issued to the three Judahite</w:t>
      </w:r>
      <w:r w:rsidR="00924A83" w:rsidRPr="00B740B4">
        <w:rPr>
          <w:rFonts w:eastAsia="Times New Roman"/>
        </w:rPr>
        <w:t xml:space="preserve">s, and </w:t>
      </w:r>
      <w:r w:rsidR="00F14C8C">
        <w:rPr>
          <w:rFonts w:eastAsia="Times New Roman"/>
        </w:rPr>
        <w:t xml:space="preserve">reflects </w:t>
      </w:r>
      <w:r w:rsidR="00924A83" w:rsidRPr="00B740B4">
        <w:rPr>
          <w:rFonts w:eastAsia="Times New Roman"/>
        </w:rPr>
        <w:t xml:space="preserve">the </w:t>
      </w:r>
      <w:r w:rsidRPr="00B740B4">
        <w:rPr>
          <w:rFonts w:eastAsia="Times New Roman"/>
        </w:rPr>
        <w:t>interwoven</w:t>
      </w:r>
      <w:r w:rsidR="00924A83" w:rsidRPr="00B740B4">
        <w:rPr>
          <w:rFonts w:eastAsia="Times New Roman"/>
        </w:rPr>
        <w:t>ness and support of god, king, and nation</w:t>
      </w:r>
      <w:r w:rsidR="00E57171" w:rsidRPr="00B740B4">
        <w:rPr>
          <w:rFonts w:eastAsia="Times New Roman"/>
        </w:rPr>
        <w:t>:</w:t>
      </w:r>
      <w:r w:rsidR="00533084">
        <w:rPr>
          <w:rStyle w:val="FootnoteReference"/>
          <w:rFonts w:eastAsia="Times New Roman"/>
        </w:rPr>
        <w:footnoteReference w:id="629"/>
      </w:r>
      <w:r w:rsidR="00E57171" w:rsidRPr="00B740B4">
        <w:rPr>
          <w:rFonts w:eastAsia="Times New Roman"/>
        </w:rPr>
        <w:t xml:space="preserve"> compare</w:t>
      </w:r>
      <w:r w:rsidRPr="00B740B4">
        <w:rPr>
          <w:rFonts w:eastAsia="Times New Roman"/>
        </w:rPr>
        <w:t xml:space="preserve"> the army commander’s combining of pragmatic and religious arguments—the latter themselves mutually contradicto</w:t>
      </w:r>
      <w:r w:rsidR="00E57171" w:rsidRPr="00B740B4">
        <w:rPr>
          <w:rFonts w:eastAsia="Times New Roman"/>
        </w:rPr>
        <w:t>ry—in 2 Kgs 18–19</w:t>
      </w:r>
      <w:r w:rsidR="00924A83" w:rsidRPr="00B740B4">
        <w:rPr>
          <w:rFonts w:eastAsia="Times New Roman"/>
        </w:rPr>
        <w:t>. Further, even if it</w:t>
      </w:r>
      <w:r w:rsidRPr="00B740B4">
        <w:rPr>
          <w:rFonts w:eastAsia="Times New Roman"/>
        </w:rPr>
        <w:t xml:space="preserve"> was Nebuchadnezzar’s statue, falling prostate before i</w:t>
      </w:r>
      <w:r w:rsidR="00924A83" w:rsidRPr="00B740B4">
        <w:rPr>
          <w:rFonts w:eastAsia="Times New Roman"/>
        </w:rPr>
        <w:t>t would imply acknowledging</w:t>
      </w:r>
      <w:r w:rsidRPr="00B740B4">
        <w:rPr>
          <w:rFonts w:eastAsia="Times New Roman"/>
        </w:rPr>
        <w:t xml:space="preserve"> his god, as Nebuchadnezzar’s falling prostate before Daniel (2:46—the same words) implied acknowledgment of Daniel’s God.</w:t>
      </w:r>
      <w:r w:rsidR="00F14C8C">
        <w:rPr>
          <w:rFonts w:eastAsia="Times New Roman"/>
        </w:rPr>
        <w:t xml:space="preserve"> Conversely, e</w:t>
      </w:r>
      <w:r w:rsidR="00E57171" w:rsidRPr="00B740B4">
        <w:rPr>
          <w:rFonts w:eastAsia="Times New Roman"/>
        </w:rPr>
        <w:t>ven if it is a sta</w:t>
      </w:r>
      <w:r w:rsidR="001D3EFC" w:rsidRPr="00B740B4">
        <w:rPr>
          <w:rFonts w:eastAsia="Times New Roman"/>
        </w:rPr>
        <w:t xml:space="preserve">tue of a god, it is a kind of idol of </w:t>
      </w:r>
      <w:r w:rsidR="00E57171" w:rsidRPr="00B740B4">
        <w:rPr>
          <w:rFonts w:eastAsia="Times New Roman"/>
        </w:rPr>
        <w:t xml:space="preserve">Nebuchadnezzar </w:t>
      </w:r>
      <w:r w:rsidR="001D3EFC" w:rsidRPr="00B740B4">
        <w:rPr>
          <w:rFonts w:eastAsia="Times New Roman"/>
        </w:rPr>
        <w:t>himself, an extension of his will.</w:t>
      </w:r>
      <w:r w:rsidR="001D3EFC" w:rsidRPr="00B740B4">
        <w:rPr>
          <w:rStyle w:val="FootnoteReference"/>
          <w:rFonts w:eastAsia="Times New Roman"/>
        </w:rPr>
        <w:footnoteReference w:id="630"/>
      </w:r>
    </w:p>
    <w:p w:rsidR="003A2088" w:rsidRPr="00B740B4" w:rsidRDefault="00F05BCA" w:rsidP="009955B8">
      <w:pPr>
        <w:rPr>
          <w:rFonts w:eastAsia="Times New Roman"/>
        </w:rPr>
      </w:pPr>
      <w:r w:rsidRPr="00B740B4">
        <w:rPr>
          <w:rFonts w:eastAsia="Times New Roman"/>
          <w:b/>
        </w:rPr>
        <w:t>4</w:t>
      </w:r>
      <w:r w:rsidR="009955B8" w:rsidRPr="00B740B4">
        <w:rPr>
          <w:rFonts w:eastAsia="Times New Roman"/>
          <w:b/>
        </w:rPr>
        <w:t>–7</w:t>
      </w:r>
      <w:r w:rsidR="009955B8" w:rsidRPr="00B740B4">
        <w:rPr>
          <w:rFonts w:eastAsia="Times New Roman"/>
        </w:rPr>
        <w:t xml:space="preserve"> </w:t>
      </w:r>
      <w:r w:rsidR="003A2088" w:rsidRPr="00B740B4">
        <w:rPr>
          <w:rFonts w:eastAsia="Times New Roman"/>
        </w:rPr>
        <w:t>People hearing this story in a Persian context might smile first at the talk of a gathering of all the peoples, nations, and language groups. The Persian empire was</w:t>
      </w:r>
      <w:r w:rsidR="00F14C8C">
        <w:rPr>
          <w:rFonts w:eastAsia="Times New Roman"/>
        </w:rPr>
        <w:t xml:space="preserve"> indeed the largest that Western Asia (let alone</w:t>
      </w:r>
      <w:r w:rsidR="003A2088" w:rsidRPr="00B740B4">
        <w:rPr>
          <w:rFonts w:eastAsia="Times New Roman"/>
        </w:rPr>
        <w:t xml:space="preserve"> Europe or</w:t>
      </w:r>
      <w:r w:rsidR="00F14C8C">
        <w:rPr>
          <w:rFonts w:eastAsia="Times New Roman"/>
        </w:rPr>
        <w:t xml:space="preserve"> North Africa) had ever known. I</w:t>
      </w:r>
      <w:r w:rsidR="003A2088" w:rsidRPr="00B740B4">
        <w:rPr>
          <w:rFonts w:eastAsia="Times New Roman"/>
        </w:rPr>
        <w:t>t was proud of the fact, it preserved and exhibited many lists of these nations, b</w:t>
      </w:r>
      <w:r w:rsidR="00F14C8C">
        <w:rPr>
          <w:rFonts w:eastAsia="Times New Roman"/>
        </w:rPr>
        <w:t>ut it needed means of holding the empire</w:t>
      </w:r>
      <w:r w:rsidR="003A2088" w:rsidRPr="00B740B4">
        <w:rPr>
          <w:rFonts w:eastAsia="Times New Roman"/>
        </w:rPr>
        <w:t xml:space="preserve"> together.</w:t>
      </w:r>
      <w:r w:rsidR="003A2088" w:rsidRPr="00B740B4">
        <w:rPr>
          <w:rStyle w:val="FootnoteReference"/>
          <w:rFonts w:eastAsia="Times New Roman"/>
        </w:rPr>
        <w:footnoteReference w:id="631"/>
      </w:r>
    </w:p>
    <w:p w:rsidR="00231C17" w:rsidRPr="00231C17" w:rsidRDefault="009955B8" w:rsidP="00231C17">
      <w:pPr>
        <w:rPr>
          <w:rFonts w:eastAsia="Times New Roman"/>
        </w:rPr>
      </w:pPr>
      <w:r w:rsidRPr="00B740B4">
        <w:rPr>
          <w:rFonts w:eastAsia="Times New Roman"/>
        </w:rPr>
        <w:t>As in many cultures, music draws attention to state and religious p</w:t>
      </w:r>
      <w:r w:rsidR="00924A83" w:rsidRPr="00B740B4">
        <w:rPr>
          <w:rFonts w:eastAsia="Times New Roman"/>
        </w:rPr>
        <w:t>rocessions and ceremonials. The band likely</w:t>
      </w:r>
      <w:r w:rsidRPr="00B740B4">
        <w:rPr>
          <w:rFonts w:eastAsia="Times New Roman"/>
        </w:rPr>
        <w:t xml:space="preserve"> comprises two wind and three string instruments (see </w:t>
      </w:r>
      <w:r w:rsidRPr="00B740B4">
        <w:rPr>
          <w:rFonts w:eastAsia="Times New Roman"/>
          <w:i/>
        </w:rPr>
        <w:t>Notes</w:t>
      </w:r>
      <w:r w:rsidRPr="00B740B4">
        <w:rPr>
          <w:rFonts w:eastAsia="Times New Roman"/>
        </w:rPr>
        <w:t>).</w:t>
      </w:r>
      <w:r w:rsidR="00E8475A" w:rsidRPr="00B740B4">
        <w:rPr>
          <w:rStyle w:val="FootnoteReference"/>
          <w:rFonts w:eastAsia="Times New Roman"/>
        </w:rPr>
        <w:footnoteReference w:id="632"/>
      </w:r>
      <w:r w:rsidR="00A7649D" w:rsidRPr="00B740B4">
        <w:rPr>
          <w:rFonts w:eastAsia="Times New Roman"/>
          <w:vertAlign w:val="superscript"/>
        </w:rPr>
        <w:t xml:space="preserve"> </w:t>
      </w:r>
      <w:r w:rsidRPr="00B740B4">
        <w:rPr>
          <w:rFonts w:eastAsia="Times New Roman"/>
        </w:rPr>
        <w:t xml:space="preserve">None are used in Israelite worship; most </w:t>
      </w:r>
      <w:r w:rsidR="00924A83" w:rsidRPr="00B740B4">
        <w:rPr>
          <w:rFonts w:eastAsia="Times New Roman"/>
        </w:rPr>
        <w:t>of the terms are foreign ones</w:t>
      </w:r>
      <w:r w:rsidRPr="00B740B4">
        <w:rPr>
          <w:rFonts w:eastAsia="Times New Roman"/>
        </w:rPr>
        <w:t xml:space="preserve"> for instruments used in secular contexts. They thus imply a double judgment on the alien, pagan nature of the ceremony </w:t>
      </w:r>
      <w:r w:rsidR="00924A83" w:rsidRPr="00B740B4">
        <w:rPr>
          <w:rFonts w:eastAsia="Times New Roman"/>
        </w:rPr>
        <w:t xml:space="preserve">that </w:t>
      </w:r>
      <w:r w:rsidRPr="00B740B4">
        <w:rPr>
          <w:rFonts w:eastAsia="Times New Roman"/>
        </w:rPr>
        <w:t xml:space="preserve">Nebuchadnezzar is inaugurating. </w:t>
      </w:r>
      <w:r w:rsidR="00231C17">
        <w:rPr>
          <w:rFonts w:eastAsia="Times New Roman"/>
        </w:rPr>
        <w:t>T</w:t>
      </w:r>
      <w:r w:rsidR="00231C17" w:rsidRPr="00231C17">
        <w:rPr>
          <w:rFonts w:eastAsia="Times New Roman"/>
        </w:rPr>
        <w:t xml:space="preserve">he omission of the word for “ensemble” </w:t>
      </w:r>
      <w:r w:rsidR="00231C17">
        <w:rPr>
          <w:rFonts w:eastAsia="Times New Roman"/>
        </w:rPr>
        <w:t>when the list recurs may anticipate</w:t>
      </w:r>
      <w:r w:rsidR="00231C17" w:rsidRPr="00231C17">
        <w:rPr>
          <w:rFonts w:eastAsia="Times New Roman"/>
        </w:rPr>
        <w:t xml:space="preserve"> the disobedience of the Judahites. The king’s instructions are already not being completely heeded.</w:t>
      </w:r>
      <w:r w:rsidR="00231C17" w:rsidRPr="00231C17">
        <w:rPr>
          <w:rFonts w:eastAsia="Times New Roman"/>
          <w:vertAlign w:val="superscript"/>
        </w:rPr>
        <w:footnoteReference w:id="633"/>
      </w:r>
    </w:p>
    <w:p w:rsidR="009955B8" w:rsidRPr="00B740B4" w:rsidRDefault="009955B8" w:rsidP="009955B8">
      <w:pPr>
        <w:rPr>
          <w:rFonts w:eastAsia="Times New Roman"/>
        </w:rPr>
      </w:pPr>
      <w:r w:rsidRPr="00B740B4">
        <w:rPr>
          <w:rFonts w:eastAsia="Times New Roman"/>
        </w:rPr>
        <w:t>Commentators usually assume that the furnace (v 6) was metal and beehive-shaped with an opening on the top into which the men were thrown, and a door at the side through which the inside could be seen</w:t>
      </w:r>
      <w:r w:rsidR="00924A83" w:rsidRPr="00B740B4">
        <w:rPr>
          <w:rFonts w:eastAsia="Times New Roman"/>
        </w:rPr>
        <w:t>,</w:t>
      </w:r>
      <w:r w:rsidR="00966B02" w:rsidRPr="00966B02">
        <w:rPr>
          <w:rFonts w:eastAsia="Times New Roman"/>
          <w:vertAlign w:val="superscript"/>
        </w:rPr>
        <w:t xml:space="preserve"> </w:t>
      </w:r>
      <w:r w:rsidR="00966B02" w:rsidRPr="00966B02">
        <w:rPr>
          <w:rFonts w:eastAsia="Times New Roman"/>
          <w:vertAlign w:val="superscript"/>
        </w:rPr>
        <w:footnoteReference w:id="634"/>
      </w:r>
      <w:r w:rsidR="00966B02">
        <w:rPr>
          <w:rFonts w:eastAsia="Times New Roman"/>
          <w:vertAlign w:val="superscript"/>
        </w:rPr>
        <w:t xml:space="preserve"> </w:t>
      </w:r>
      <w:r w:rsidR="00924A83" w:rsidRPr="00B740B4">
        <w:rPr>
          <w:rFonts w:eastAsia="Times New Roman"/>
        </w:rPr>
        <w:t xml:space="preserve"> though </w:t>
      </w:r>
      <w:r w:rsidR="00966B02">
        <w:rPr>
          <w:rFonts w:eastAsia="Times New Roman"/>
        </w:rPr>
        <w:t xml:space="preserve">a story about Abram in </w:t>
      </w:r>
      <w:r w:rsidR="00966B02" w:rsidRPr="00966B02">
        <w:rPr>
          <w:rFonts w:eastAsia="Times New Roman"/>
          <w:i/>
        </w:rPr>
        <w:t>The Book of Biblical Antiquities</w:t>
      </w:r>
      <w:r w:rsidR="00966B02">
        <w:rPr>
          <w:rFonts w:eastAsia="Times New Roman"/>
        </w:rPr>
        <w:t xml:space="preserve"> (Pseudo-Philo) 6:15-18 </w:t>
      </w:r>
      <w:r w:rsidR="00966B02">
        <w:rPr>
          <w:rFonts w:eastAsia="Times New Roman"/>
        </w:rPr>
        <w:lastRenderedPageBreak/>
        <w:t>implie</w:t>
      </w:r>
      <w:r w:rsidR="00924A83" w:rsidRPr="00B740B4">
        <w:rPr>
          <w:rFonts w:eastAsia="Times New Roman"/>
        </w:rPr>
        <w:t xml:space="preserve">s </w:t>
      </w:r>
      <w:r w:rsidR="00966B02">
        <w:rPr>
          <w:rFonts w:eastAsia="Times New Roman"/>
        </w:rPr>
        <w:t xml:space="preserve">it might have been </w:t>
      </w:r>
      <w:r w:rsidR="00924A83" w:rsidRPr="00B740B4">
        <w:rPr>
          <w:rFonts w:eastAsia="Times New Roman"/>
        </w:rPr>
        <w:t>a tunnel-shaped brick furnace</w:t>
      </w:r>
      <w:r w:rsidRPr="00B740B4">
        <w:rPr>
          <w:rFonts w:eastAsia="Times New Roman"/>
        </w:rPr>
        <w:t>. The burning of crimin</w:t>
      </w:r>
      <w:r w:rsidR="001D5EBA" w:rsidRPr="00B740B4">
        <w:rPr>
          <w:rFonts w:eastAsia="Times New Roman"/>
        </w:rPr>
        <w:t xml:space="preserve">als is referred to </w:t>
      </w:r>
      <w:r w:rsidRPr="00B740B4">
        <w:rPr>
          <w:rFonts w:eastAsia="Times New Roman"/>
        </w:rPr>
        <w:t>throughout the Babylonian, Persian, and Greek periods (Jer 29:22; Herodot</w:t>
      </w:r>
      <w:r w:rsidR="00A522EC" w:rsidRPr="00B740B4">
        <w:rPr>
          <w:rFonts w:eastAsia="Times New Roman"/>
        </w:rPr>
        <w:t>us</w:t>
      </w:r>
      <w:r w:rsidR="00B24F98">
        <w:rPr>
          <w:rFonts w:eastAsia="Times New Roman"/>
        </w:rPr>
        <w:t xml:space="preserve">, </w:t>
      </w:r>
      <w:r w:rsidR="00B24F98">
        <w:rPr>
          <w:rFonts w:eastAsia="Times New Roman"/>
          <w:i/>
        </w:rPr>
        <w:t>Histories</w:t>
      </w:r>
      <w:r w:rsidR="00A522EC" w:rsidRPr="00B740B4">
        <w:rPr>
          <w:rFonts w:eastAsia="Times New Roman"/>
        </w:rPr>
        <w:t xml:space="preserve"> 1.86; 4.69; 2 Macc 7; 13:4–8).</w:t>
      </w:r>
      <w:r w:rsidR="001D5EBA" w:rsidRPr="00B740B4">
        <w:rPr>
          <w:rStyle w:val="FootnoteReference"/>
          <w:rFonts w:eastAsia="Times New Roman"/>
        </w:rPr>
        <w:footnoteReference w:id="635"/>
      </w:r>
      <w:r w:rsidRPr="00B740B4">
        <w:rPr>
          <w:rFonts w:eastAsia="Times New Roman"/>
        </w:rPr>
        <w:t xml:space="preserve"> </w:t>
      </w:r>
      <w:r w:rsidR="00A522EC" w:rsidRPr="00B740B4">
        <w:rPr>
          <w:rFonts w:eastAsia="Times New Roman"/>
        </w:rPr>
        <w:t>Persians might see such an event as trial by fire rather than as punishment, because of the sacredness of fire.</w:t>
      </w:r>
      <w:r w:rsidR="00A522EC" w:rsidRPr="00B740B4">
        <w:rPr>
          <w:rFonts w:eastAsia="Times New Roman"/>
          <w:vertAlign w:val="superscript"/>
        </w:rPr>
        <w:footnoteReference w:id="636"/>
      </w:r>
      <w:r w:rsidR="00A522EC" w:rsidRPr="00B740B4">
        <w:rPr>
          <w:rFonts w:eastAsia="Times New Roman"/>
        </w:rPr>
        <w:t xml:space="preserve"> </w:t>
      </w:r>
    </w:p>
    <w:p w:rsidR="00231C17" w:rsidRDefault="009955B8" w:rsidP="00FE2F4C">
      <w:pPr>
        <w:rPr>
          <w:rFonts w:eastAsia="Times New Roman"/>
        </w:rPr>
      </w:pPr>
      <w:r w:rsidRPr="00B740B4">
        <w:rPr>
          <w:rFonts w:eastAsia="Times New Roman"/>
          <w:b/>
        </w:rPr>
        <w:t>8–12</w:t>
      </w:r>
      <w:r w:rsidRPr="00B740B4">
        <w:rPr>
          <w:rFonts w:eastAsia="Times New Roman"/>
        </w:rPr>
        <w:t xml:space="preserve"> </w:t>
      </w:r>
      <w:r w:rsidR="00AD36E8">
        <w:rPr>
          <w:rFonts w:eastAsia="Times New Roman"/>
        </w:rPr>
        <w:t xml:space="preserve">The “so” parallels the expression that opened </w:t>
      </w:r>
      <w:r w:rsidR="00AF422C">
        <w:rPr>
          <w:rFonts w:eastAsia="Times New Roman"/>
        </w:rPr>
        <w:t>v</w:t>
      </w:r>
      <w:r w:rsidR="00AD36E8">
        <w:rPr>
          <w:rFonts w:eastAsia="Times New Roman"/>
        </w:rPr>
        <w:t xml:space="preserve"> 7 and draws attention to the mean logic of the Kasdites.</w:t>
      </w:r>
      <w:r w:rsidR="00231C17">
        <w:rPr>
          <w:rFonts w:eastAsia="Times New Roman"/>
        </w:rPr>
        <w:t xml:space="preserve"> </w:t>
      </w:r>
      <w:r w:rsidR="000F2F60">
        <w:rPr>
          <w:rFonts w:eastAsia="Times New Roman"/>
        </w:rPr>
        <w:t>“The heart of a good story is grupping conflict moving toward resolution,”</w:t>
      </w:r>
      <w:r w:rsidR="000F2F60">
        <w:rPr>
          <w:rStyle w:val="FootnoteReference"/>
          <w:rFonts w:eastAsia="Times New Roman"/>
        </w:rPr>
        <w:footnoteReference w:id="637"/>
      </w:r>
      <w:r w:rsidR="000F2F60">
        <w:rPr>
          <w:rFonts w:eastAsia="Times New Roman"/>
        </w:rPr>
        <w:t xml:space="preserve"> and here the conflict begins.</w:t>
      </w:r>
    </w:p>
    <w:p w:rsidR="00FE2F4C" w:rsidRPr="00B740B4" w:rsidRDefault="00FE2F4C" w:rsidP="009955B8">
      <w:pPr>
        <w:rPr>
          <w:rFonts w:eastAsia="Times New Roman"/>
        </w:rPr>
      </w:pPr>
      <w:r w:rsidRPr="00B740B4">
        <w:rPr>
          <w:rFonts w:eastAsia="Times New Roman"/>
        </w:rPr>
        <w:t xml:space="preserve">Why would the </w:t>
      </w:r>
      <w:r w:rsidR="00231C17">
        <w:rPr>
          <w:rFonts w:eastAsia="Times New Roman"/>
        </w:rPr>
        <w:t>three Judahites not bow down? Bowing</w:t>
      </w:r>
      <w:r w:rsidRPr="00B740B4">
        <w:rPr>
          <w:rFonts w:eastAsia="Times New Roman"/>
        </w:rPr>
        <w:t xml:space="preserve"> need not suggest the acknowledgment of a deity. Yet their refusal compares with Mordech</w:t>
      </w:r>
      <w:r w:rsidR="00231C17">
        <w:rPr>
          <w:rFonts w:eastAsia="Times New Roman"/>
        </w:rPr>
        <w:t>ai’s (Esth 3), and b</w:t>
      </w:r>
      <w:r w:rsidRPr="00B740B4">
        <w:rPr>
          <w:rFonts w:eastAsia="Times New Roman"/>
        </w:rPr>
        <w:t>owing down to any image came to be suspect.</w:t>
      </w:r>
      <w:r w:rsidRPr="00B740B4">
        <w:rPr>
          <w:rFonts w:eastAsia="Times New Roman"/>
          <w:vertAlign w:val="superscript"/>
        </w:rPr>
        <w:footnoteReference w:id="638"/>
      </w:r>
      <w:r w:rsidR="00231C17">
        <w:rPr>
          <w:rFonts w:eastAsia="Times New Roman"/>
        </w:rPr>
        <w:t xml:space="preserve"> </w:t>
      </w:r>
      <w:r w:rsidRPr="00B740B4">
        <w:rPr>
          <w:rFonts w:eastAsia="Times New Roman"/>
        </w:rPr>
        <w:t>Although the OT can take for granted</w:t>
      </w:r>
      <w:r w:rsidR="00231C17">
        <w:rPr>
          <w:rFonts w:eastAsia="Times New Roman"/>
        </w:rPr>
        <w:t xml:space="preserve"> that no Israelite would be free</w:t>
      </w:r>
      <w:r w:rsidRPr="00B740B4">
        <w:rPr>
          <w:rFonts w:eastAsia="Times New Roman"/>
        </w:rPr>
        <w:t xml:space="preserve"> to obey the king’s edict, the OT as a whole </w:t>
      </w:r>
      <w:r w:rsidR="00231C17">
        <w:rPr>
          <w:rFonts w:eastAsia="Times New Roman"/>
        </w:rPr>
        <w:t xml:space="preserve">also </w:t>
      </w:r>
      <w:r w:rsidRPr="00B740B4">
        <w:rPr>
          <w:rFonts w:eastAsia="Times New Roman"/>
        </w:rPr>
        <w:t>makes clear that in practice Israelites often did bow down to other gods and their images, and the polemic of Isa 40—55 implies that such submission would indeed</w:t>
      </w:r>
      <w:r w:rsidR="00231C17">
        <w:rPr>
          <w:rFonts w:eastAsia="Times New Roman"/>
        </w:rPr>
        <w:t xml:space="preserve"> be a temptation in Babylon. Thus the</w:t>
      </w:r>
      <w:r w:rsidRPr="00B740B4">
        <w:rPr>
          <w:rFonts w:eastAsia="Times New Roman"/>
        </w:rPr>
        <w:t xml:space="preserve"> assumption that the three men would take their firm stance would be a challenge to Judahites in exile.</w:t>
      </w:r>
      <w:r w:rsidRPr="00B740B4">
        <w:rPr>
          <w:rStyle w:val="FootnoteReference"/>
          <w:rFonts w:eastAsia="Times New Roman"/>
        </w:rPr>
        <w:footnoteReference w:id="639"/>
      </w:r>
      <w:r w:rsidRPr="00B740B4">
        <w:rPr>
          <w:rFonts w:eastAsia="Times New Roman"/>
        </w:rPr>
        <w:t xml:space="preserve"> </w:t>
      </w:r>
    </w:p>
    <w:p w:rsidR="009955B8" w:rsidRPr="00B740B4" w:rsidRDefault="009955B8" w:rsidP="009955B8">
      <w:pPr>
        <w:rPr>
          <w:rFonts w:eastAsia="Times New Roman"/>
        </w:rPr>
      </w:pPr>
      <w:r w:rsidRPr="00B740B4">
        <w:rPr>
          <w:rFonts w:eastAsia="Times New Roman"/>
        </w:rPr>
        <w:t xml:space="preserve">The </w:t>
      </w:r>
      <w:r w:rsidR="00A522EC" w:rsidRPr="00B740B4">
        <w:rPr>
          <w:rFonts w:eastAsia="Times New Roman"/>
        </w:rPr>
        <w:t>Kasdite</w:t>
      </w:r>
      <w:r w:rsidRPr="00B740B4">
        <w:rPr>
          <w:rFonts w:eastAsia="Times New Roman"/>
        </w:rPr>
        <w:t>s</w:t>
      </w:r>
      <w:r w:rsidR="00A522EC" w:rsidRPr="00B740B4">
        <w:rPr>
          <w:rFonts w:eastAsia="Times New Roman"/>
        </w:rPr>
        <w:t xml:space="preserve"> </w:t>
      </w:r>
      <w:r w:rsidRPr="00B740B4">
        <w:rPr>
          <w:rFonts w:eastAsia="Times New Roman"/>
        </w:rPr>
        <w:t xml:space="preserve">may be people of Babylonian race (as in 1:4) </w:t>
      </w:r>
      <w:r w:rsidR="006C16DE" w:rsidRPr="00B740B4">
        <w:rPr>
          <w:rFonts w:eastAsia="Times New Roman"/>
        </w:rPr>
        <w:t>who are hostile to the three Judahite</w:t>
      </w:r>
      <w:r w:rsidRPr="00B740B4">
        <w:rPr>
          <w:rFonts w:eastAsia="Times New Roman"/>
        </w:rPr>
        <w:t xml:space="preserve">s on ethnic grounds (cf. Haman in </w:t>
      </w:r>
      <w:r w:rsidR="00A522EC" w:rsidRPr="00B740B4">
        <w:rPr>
          <w:rFonts w:eastAsia="Times New Roman"/>
        </w:rPr>
        <w:t>Esther); or they may be court experts</w:t>
      </w:r>
      <w:r w:rsidRPr="00B740B4">
        <w:rPr>
          <w:rFonts w:eastAsia="Times New Roman"/>
        </w:rPr>
        <w:t xml:space="preserve"> (as in chap. 2) suffering from professional jealousy (cf. chap. 6).</w:t>
      </w:r>
      <w:r w:rsidR="001C6EAF" w:rsidRPr="00B740B4">
        <w:rPr>
          <w:rStyle w:val="FootnoteReference"/>
          <w:rFonts w:eastAsia="Times New Roman"/>
        </w:rPr>
        <w:footnoteReference w:id="640"/>
      </w:r>
      <w:r w:rsidRPr="00B740B4">
        <w:rPr>
          <w:rFonts w:eastAsia="Times New Roman"/>
        </w:rPr>
        <w:t xml:space="preserve"> Their accusation (v 12) relates to the three men’s office, which explains their </w:t>
      </w:r>
      <w:r w:rsidR="00FE2F4C" w:rsidRPr="00B740B4">
        <w:rPr>
          <w:rFonts w:eastAsia="Times New Roman"/>
        </w:rPr>
        <w:t xml:space="preserve">expected </w:t>
      </w:r>
      <w:r w:rsidRPr="00B740B4">
        <w:rPr>
          <w:rFonts w:eastAsia="Times New Roman"/>
        </w:rPr>
        <w:t>presen</w:t>
      </w:r>
      <w:r w:rsidR="00FE2F4C" w:rsidRPr="00B740B4">
        <w:rPr>
          <w:rFonts w:eastAsia="Times New Roman"/>
        </w:rPr>
        <w:t>ce at the ceremony and might explain</w:t>
      </w:r>
      <w:r w:rsidRPr="00B740B4">
        <w:rPr>
          <w:rFonts w:eastAsia="Times New Roman"/>
        </w:rPr>
        <w:t xml:space="preserve"> Daniel’s absence (cf. 2:49). The three who were merely </w:t>
      </w:r>
      <w:r w:rsidRPr="00B740B4">
        <w:rPr>
          <w:rFonts w:eastAsia="Times New Roman"/>
          <w:i/>
        </w:rPr>
        <w:t>youths</w:t>
      </w:r>
      <w:r w:rsidR="00A522EC" w:rsidRPr="00B740B4">
        <w:rPr>
          <w:rFonts w:eastAsia="Times New Roman"/>
        </w:rPr>
        <w:t xml:space="preserve"> in chap.</w:t>
      </w:r>
      <w:r w:rsidRPr="00B740B4">
        <w:rPr>
          <w:rFonts w:eastAsia="Times New Roman"/>
        </w:rPr>
        <w:t xml:space="preserve"> 1 and merely Daniel’s </w:t>
      </w:r>
      <w:r w:rsidRPr="00B740B4">
        <w:rPr>
          <w:rFonts w:eastAsia="Times New Roman"/>
          <w:i/>
        </w:rPr>
        <w:t>friends</w:t>
      </w:r>
      <w:r w:rsidR="00A522EC" w:rsidRPr="00B740B4">
        <w:rPr>
          <w:rFonts w:eastAsia="Times New Roman"/>
        </w:rPr>
        <w:t xml:space="preserve"> in chap.</w:t>
      </w:r>
      <w:r w:rsidRPr="00B740B4">
        <w:rPr>
          <w:rFonts w:eastAsia="Times New Roman"/>
        </w:rPr>
        <w:t xml:space="preserve"> 2 are here full-grown </w:t>
      </w:r>
      <w:r w:rsidRPr="00B740B4">
        <w:rPr>
          <w:rFonts w:eastAsia="Times New Roman"/>
          <w:i/>
        </w:rPr>
        <w:t>men</w:t>
      </w:r>
      <w:r w:rsidRPr="00B740B4">
        <w:rPr>
          <w:rFonts w:eastAsia="Times New Roman"/>
        </w:rPr>
        <w:t xml:space="preserve"> (</w:t>
      </w:r>
      <w:r w:rsidRPr="00B740B4">
        <w:rPr>
          <w:rFonts w:ascii="Arial" w:eastAsia="Times New Roman" w:hAnsi="Arial" w:cs="Arial"/>
        </w:rPr>
        <w:t>גברין</w:t>
      </w:r>
      <w:r w:rsidRPr="00B740B4">
        <w:rPr>
          <w:rFonts w:eastAsia="Times New Roman"/>
        </w:rPr>
        <w:t>) of importance in their own right.</w:t>
      </w:r>
      <w:r w:rsidR="006271E7" w:rsidRPr="00B740B4">
        <w:rPr>
          <w:rFonts w:eastAsia="Times New Roman"/>
        </w:rPr>
        <w:t xml:space="preserve"> </w:t>
      </w:r>
    </w:p>
    <w:p w:rsidR="005A15C0" w:rsidRPr="00B740B4" w:rsidRDefault="009955B8" w:rsidP="009955B8">
      <w:pPr>
        <w:rPr>
          <w:rFonts w:eastAsia="Times New Roman"/>
        </w:rPr>
      </w:pPr>
      <w:r w:rsidRPr="00B740B4">
        <w:rPr>
          <w:rFonts w:eastAsia="Times New Roman"/>
          <w:b/>
        </w:rPr>
        <w:t>13–18</w:t>
      </w:r>
      <w:r w:rsidRPr="00B740B4">
        <w:rPr>
          <w:rFonts w:eastAsia="Times New Roman"/>
        </w:rPr>
        <w:t xml:space="preserve"> For the king’s rage, see on </w:t>
      </w:r>
      <w:r w:rsidR="00FE2F4C" w:rsidRPr="00B740B4">
        <w:rPr>
          <w:rFonts w:eastAsia="Times New Roman"/>
        </w:rPr>
        <w:t>2:12. Hi</w:t>
      </w:r>
      <w:r w:rsidRPr="00B740B4">
        <w:rPr>
          <w:rFonts w:eastAsia="Times New Roman"/>
        </w:rPr>
        <w:t xml:space="preserve">s question </w:t>
      </w:r>
      <w:r w:rsidR="003C4C87" w:rsidRPr="00B740B4">
        <w:rPr>
          <w:rFonts w:eastAsia="Times New Roman"/>
        </w:rPr>
        <w:t xml:space="preserve">in v 15 </w:t>
      </w:r>
      <w:r w:rsidRPr="00B740B4">
        <w:rPr>
          <w:rFonts w:eastAsia="Times New Roman"/>
        </w:rPr>
        <w:t>has special emphasis, being an addition to the form of words used when the command and its sanction have appeared before</w:t>
      </w:r>
      <w:r w:rsidR="00FE2F4C" w:rsidRPr="00B740B4">
        <w:rPr>
          <w:rFonts w:eastAsia="Times New Roman"/>
        </w:rPr>
        <w:t xml:space="preserve"> in the chapter</w:t>
      </w:r>
      <w:r w:rsidRPr="00B740B4">
        <w:rPr>
          <w:rFonts w:eastAsia="Times New Roman"/>
        </w:rPr>
        <w:t>.</w:t>
      </w:r>
      <w:r w:rsidR="00A522EC" w:rsidRPr="00B740B4">
        <w:rPr>
          <w:rStyle w:val="FootnoteReference"/>
          <w:rFonts w:eastAsia="Times New Roman"/>
        </w:rPr>
        <w:footnoteReference w:id="641"/>
      </w:r>
      <w:r w:rsidRPr="00B740B4">
        <w:rPr>
          <w:rFonts w:eastAsia="Times New Roman"/>
        </w:rPr>
        <w:t xml:space="preserve"> </w:t>
      </w:r>
      <w:r w:rsidR="003C4C87" w:rsidRPr="00B740B4">
        <w:rPr>
          <w:rFonts w:eastAsia="Times New Roman"/>
        </w:rPr>
        <w:t>It is uncomfortably similar to the questions attributed to the Assyrian king in 2 Kgs 18:28-35.</w:t>
      </w:r>
      <w:r w:rsidR="003C4C87" w:rsidRPr="00B740B4">
        <w:rPr>
          <w:rStyle w:val="FootnoteReference"/>
          <w:rFonts w:eastAsia="Times New Roman"/>
        </w:rPr>
        <w:footnoteReference w:id="642"/>
      </w:r>
      <w:r w:rsidR="003C4C87" w:rsidRPr="00B740B4">
        <w:rPr>
          <w:rFonts w:eastAsia="Times New Roman"/>
        </w:rPr>
        <w:t xml:space="preserve"> </w:t>
      </w:r>
      <w:r w:rsidR="005A15C0" w:rsidRPr="00B740B4">
        <w:rPr>
          <w:rFonts w:eastAsia="Times New Roman"/>
        </w:rPr>
        <w:t>In the context of Daniel,</w:t>
      </w:r>
      <w:r w:rsidR="00FE2F4C" w:rsidRPr="00B740B4">
        <w:rPr>
          <w:rFonts w:eastAsia="Times New Roman"/>
        </w:rPr>
        <w:t xml:space="preserve"> the obvious answer to hi</w:t>
      </w:r>
      <w:r w:rsidR="005A15C0" w:rsidRPr="00B740B4">
        <w:rPr>
          <w:rFonts w:eastAsia="Times New Roman"/>
        </w:rPr>
        <w:t>s question is, “The one you just called God among gods” (2:47).</w:t>
      </w:r>
      <w:r w:rsidR="005A15C0" w:rsidRPr="00B740B4">
        <w:rPr>
          <w:rStyle w:val="FootnoteReference"/>
          <w:rFonts w:eastAsia="Times New Roman"/>
        </w:rPr>
        <w:footnoteReference w:id="643"/>
      </w:r>
    </w:p>
    <w:p w:rsidR="009955B8" w:rsidRPr="00B740B4" w:rsidRDefault="00091E81" w:rsidP="009955B8">
      <w:pPr>
        <w:rPr>
          <w:rFonts w:eastAsia="Times New Roman"/>
        </w:rPr>
      </w:pPr>
      <w:r w:rsidRPr="00B740B4">
        <w:rPr>
          <w:rFonts w:eastAsia="Times New Roman"/>
        </w:rPr>
        <w:t>Yet the arrogance of his challenge and of the confessors’ reply should not be exaggerated.</w:t>
      </w:r>
      <w:r w:rsidR="009955B8" w:rsidRPr="00B740B4">
        <w:rPr>
          <w:rFonts w:eastAsia="Times New Roman"/>
        </w:rPr>
        <w:t xml:space="preserve"> Nebuchadnezzar may not be seen as purposely slighting God. His scepticis</w:t>
      </w:r>
      <w:r w:rsidR="00A522EC" w:rsidRPr="00B740B4">
        <w:rPr>
          <w:rFonts w:eastAsia="Times New Roman"/>
        </w:rPr>
        <w:t>m compares with that of the expert</w:t>
      </w:r>
      <w:r w:rsidR="009955B8" w:rsidRPr="00B740B4">
        <w:rPr>
          <w:rFonts w:eastAsia="Times New Roman"/>
        </w:rPr>
        <w:t>s in 2:11, and he is not condemned for blasphemy; indeed he is granted a revelation, to which he duly respond</w:t>
      </w:r>
      <w:r w:rsidR="00A522EC" w:rsidRPr="00B740B4">
        <w:rPr>
          <w:rFonts w:eastAsia="Times New Roman"/>
        </w:rPr>
        <w:t>s (vv 24–29). He is not an anticipation</w:t>
      </w:r>
      <w:r w:rsidR="009955B8" w:rsidRPr="00B740B4">
        <w:rPr>
          <w:rFonts w:eastAsia="Times New Roman"/>
        </w:rPr>
        <w:t xml:space="preserve"> of the small ho</w:t>
      </w:r>
      <w:r w:rsidR="00A522EC" w:rsidRPr="00B740B4">
        <w:rPr>
          <w:rFonts w:eastAsia="Times New Roman"/>
        </w:rPr>
        <w:t>rn of 7:24–25.</w:t>
      </w:r>
      <w:r w:rsidR="00B032D3" w:rsidRPr="00B740B4">
        <w:rPr>
          <w:rStyle w:val="FootnoteReference"/>
          <w:rFonts w:eastAsia="Times New Roman"/>
        </w:rPr>
        <w:footnoteReference w:id="644"/>
      </w:r>
      <w:r w:rsidR="00A522EC" w:rsidRPr="00B740B4">
        <w:rPr>
          <w:rFonts w:eastAsia="Times New Roman"/>
        </w:rPr>
        <w:t xml:space="preserve"> In the confessor</w:t>
      </w:r>
      <w:r w:rsidR="009955B8" w:rsidRPr="00B740B4">
        <w:rPr>
          <w:rFonts w:eastAsia="Times New Roman"/>
        </w:rPr>
        <w:t>s</w:t>
      </w:r>
      <w:r w:rsidR="00A522EC" w:rsidRPr="00B740B4">
        <w:rPr>
          <w:rFonts w:eastAsia="Times New Roman"/>
        </w:rPr>
        <w:t>’</w:t>
      </w:r>
      <w:r w:rsidR="009955B8" w:rsidRPr="00B740B4">
        <w:rPr>
          <w:rFonts w:eastAsia="Times New Roman"/>
        </w:rPr>
        <w:t xml:space="preserve"> reply (vv 16–18), the lack of formal address to the king corresponds to the form of exchanges in chaps. 1–2; their directness also parallels Daniel’s </w:t>
      </w:r>
      <w:r w:rsidRPr="00B740B4">
        <w:rPr>
          <w:rFonts w:eastAsia="Times New Roman"/>
        </w:rPr>
        <w:t xml:space="preserve">directness </w:t>
      </w:r>
      <w:r w:rsidR="009955B8" w:rsidRPr="00B740B4">
        <w:rPr>
          <w:rFonts w:eastAsia="Times New Roman"/>
        </w:rPr>
        <w:t>elsewhere (though the formal greeting appears in 6:</w:t>
      </w:r>
      <w:r w:rsidR="00A522EC" w:rsidRPr="00B740B4">
        <w:rPr>
          <w:rFonts w:eastAsia="Times New Roman"/>
        </w:rPr>
        <w:t>21-</w:t>
      </w:r>
      <w:r w:rsidR="009955B8" w:rsidRPr="00B740B4">
        <w:rPr>
          <w:rFonts w:eastAsia="Times New Roman"/>
        </w:rPr>
        <w:t>22</w:t>
      </w:r>
      <w:r w:rsidR="00A522EC" w:rsidRPr="00B740B4">
        <w:rPr>
          <w:rFonts w:eastAsia="Times New Roman"/>
        </w:rPr>
        <w:t xml:space="preserve"> [22-23]</w:t>
      </w:r>
      <w:r w:rsidR="009955B8" w:rsidRPr="00B740B4">
        <w:rPr>
          <w:rFonts w:eastAsia="Times New Roman"/>
        </w:rPr>
        <w:t xml:space="preserve">) and expresses a positive commitment to God more than a contempt for the king. The </w:t>
      </w:r>
      <w:r w:rsidR="009955B8" w:rsidRPr="00B740B4">
        <w:rPr>
          <w:rFonts w:eastAsia="Times New Roman"/>
          <w:i/>
        </w:rPr>
        <w:lastRenderedPageBreak/>
        <w:t>this</w:t>
      </w:r>
      <w:r w:rsidR="009955B8" w:rsidRPr="00B740B4">
        <w:rPr>
          <w:rFonts w:eastAsia="Times New Roman"/>
        </w:rPr>
        <w:t xml:space="preserve"> to which they need make no response is perhaps not the command of v 15a but the theological asserti</w:t>
      </w:r>
      <w:r w:rsidR="00A522EC" w:rsidRPr="00B740B4">
        <w:rPr>
          <w:rFonts w:eastAsia="Times New Roman"/>
        </w:rPr>
        <w:t>on at the end of v 15</w:t>
      </w:r>
      <w:r w:rsidR="009955B8" w:rsidRPr="00B740B4">
        <w:rPr>
          <w:rFonts w:eastAsia="Times New Roman"/>
        </w:rPr>
        <w:t>.</w:t>
      </w:r>
      <w:r w:rsidR="00A522EC" w:rsidRPr="00B740B4">
        <w:rPr>
          <w:rStyle w:val="FootnoteReference"/>
          <w:rFonts w:eastAsia="Times New Roman"/>
        </w:rPr>
        <w:footnoteReference w:id="645"/>
      </w:r>
      <w:r w:rsidR="009955B8" w:rsidRPr="00B740B4">
        <w:rPr>
          <w:rFonts w:eastAsia="Times New Roman"/>
        </w:rPr>
        <w:t xml:space="preserve"> </w:t>
      </w:r>
    </w:p>
    <w:p w:rsidR="009955B8" w:rsidRPr="00B740B4" w:rsidRDefault="009955B8" w:rsidP="009955B8">
      <w:pPr>
        <w:rPr>
          <w:rFonts w:eastAsia="Times New Roman"/>
        </w:rPr>
      </w:pPr>
      <w:r w:rsidRPr="00B740B4">
        <w:rPr>
          <w:rFonts w:eastAsia="Times New Roman"/>
        </w:rPr>
        <w:t>With “our</w:t>
      </w:r>
      <w:r w:rsidR="00FD5C0F" w:rsidRPr="00B740B4">
        <w:rPr>
          <w:rFonts w:eastAsia="Times New Roman"/>
        </w:rPr>
        <w:t xml:space="preserve"> God, whom we honor” (v 17), compare</w:t>
      </w:r>
      <w:r w:rsidRPr="00B740B4">
        <w:rPr>
          <w:rFonts w:eastAsia="Times New Roman"/>
        </w:rPr>
        <w:t xml:space="preserve"> the characterization in vv 28, 29 and the </w:t>
      </w:r>
      <w:r w:rsidR="00091E81" w:rsidRPr="00B740B4">
        <w:rPr>
          <w:rFonts w:eastAsia="Times New Roman"/>
        </w:rPr>
        <w:t>contrast with vv 12, 14. Chap.</w:t>
      </w:r>
      <w:r w:rsidRPr="00B740B4">
        <w:rPr>
          <w:rFonts w:eastAsia="Times New Roman"/>
        </w:rPr>
        <w:t xml:space="preserve"> 3 </w:t>
      </w:r>
      <w:r w:rsidR="00091E81" w:rsidRPr="00B740B4">
        <w:rPr>
          <w:rFonts w:eastAsia="Times New Roman"/>
        </w:rPr>
        <w:t xml:space="preserve">again </w:t>
      </w:r>
      <w:r w:rsidRPr="00B740B4">
        <w:rPr>
          <w:rFonts w:eastAsia="Times New Roman"/>
        </w:rPr>
        <w:t xml:space="preserve">avoids using the name Yahweh by utilizing these phrases. The three </w:t>
      </w:r>
      <w:r w:rsidR="00FD5C0F" w:rsidRPr="00B740B4">
        <w:rPr>
          <w:rFonts w:eastAsia="Times New Roman"/>
        </w:rPr>
        <w:t xml:space="preserve">men </w:t>
      </w:r>
      <w:r w:rsidRPr="00B740B4">
        <w:rPr>
          <w:rFonts w:eastAsia="Times New Roman"/>
        </w:rPr>
        <w:t xml:space="preserve">speak as if their God’s existence is an open question (see n. 17.b), and thus as if their rescue is an open question. </w:t>
      </w:r>
      <w:r w:rsidR="006D5B12">
        <w:rPr>
          <w:rFonts w:eastAsia="Times New Roman"/>
        </w:rPr>
        <w:t xml:space="preserve">But the allowance is </w:t>
      </w:r>
      <w:r w:rsidR="00091E81" w:rsidRPr="00B740B4">
        <w:rPr>
          <w:rFonts w:eastAsia="Times New Roman"/>
        </w:rPr>
        <w:t xml:space="preserve">made </w:t>
      </w:r>
      <w:r w:rsidR="006D5B12">
        <w:rPr>
          <w:rFonts w:eastAsia="Times New Roman"/>
        </w:rPr>
        <w:t xml:space="preserve">only </w:t>
      </w:r>
      <w:r w:rsidR="00091E81" w:rsidRPr="00B740B4">
        <w:rPr>
          <w:rFonts w:eastAsia="Times New Roman"/>
        </w:rPr>
        <w:t>for the sake of argument</w:t>
      </w:r>
      <w:r w:rsidRPr="00B740B4">
        <w:rPr>
          <w:rFonts w:eastAsia="Times New Roman"/>
        </w:rPr>
        <w:t>; it is the point which Nebuchadnezzar has implicitly questioned (v 15) and which events will have to establish. For themselves, the story assumes,</w:t>
      </w:r>
      <w:r w:rsidR="00091E81" w:rsidRPr="00B740B4">
        <w:rPr>
          <w:rFonts w:eastAsia="Times New Roman"/>
        </w:rPr>
        <w:t xml:space="preserve"> the three have no doubt that their God</w:t>
      </w:r>
      <w:r w:rsidRPr="00B740B4">
        <w:rPr>
          <w:rFonts w:eastAsia="Times New Roman"/>
        </w:rPr>
        <w:t xml:space="preserve"> can and will rescue </w:t>
      </w:r>
      <w:r w:rsidR="00FD5C0F" w:rsidRPr="00B740B4">
        <w:rPr>
          <w:rFonts w:eastAsia="Times New Roman"/>
        </w:rPr>
        <w:t xml:space="preserve">them: v 17 makes this </w:t>
      </w:r>
      <w:r w:rsidR="00091E81" w:rsidRPr="00B740B4">
        <w:rPr>
          <w:rFonts w:eastAsia="Times New Roman"/>
        </w:rPr>
        <w:t xml:space="preserve">conviction </w:t>
      </w:r>
      <w:r w:rsidR="00FD5C0F" w:rsidRPr="00B740B4">
        <w:rPr>
          <w:rFonts w:eastAsia="Times New Roman"/>
        </w:rPr>
        <w:t>explicit. T</w:t>
      </w:r>
      <w:r w:rsidRPr="00B740B4">
        <w:rPr>
          <w:rFonts w:eastAsia="Times New Roman"/>
        </w:rPr>
        <w:t xml:space="preserve">here is </w:t>
      </w:r>
      <w:r w:rsidR="00091E81" w:rsidRPr="00B740B4">
        <w:rPr>
          <w:rFonts w:eastAsia="Times New Roman"/>
        </w:rPr>
        <w:t xml:space="preserve">here </w:t>
      </w:r>
      <w:r w:rsidRPr="00B740B4">
        <w:rPr>
          <w:rFonts w:eastAsia="Times New Roman"/>
        </w:rPr>
        <w:t>no questioning of God’s power or will separate from the questioning of his existence. If his existence is accepted, it is the existence of one who can and will rescue. The confessors’ implied confidence of rescue thus parallels Daniel’s confidence in</w:t>
      </w:r>
      <w:r w:rsidR="00FD5C0F" w:rsidRPr="00B740B4">
        <w:rPr>
          <w:rFonts w:eastAsia="Times New Roman"/>
        </w:rPr>
        <w:t xml:space="preserve"> 1:12–13; 2:16. Philologically, </w:t>
      </w:r>
      <w:r w:rsidR="006D5B12">
        <w:rPr>
          <w:rFonts w:eastAsia="Times New Roman"/>
        </w:rPr>
        <w:t xml:space="preserve">indeed, </w:t>
      </w:r>
      <w:r w:rsidR="00091E81" w:rsidRPr="00B740B4">
        <w:rPr>
          <w:rFonts w:eastAsia="Times New Roman"/>
        </w:rPr>
        <w:t xml:space="preserve">their </w:t>
      </w:r>
      <w:r w:rsidR="00FD5C0F" w:rsidRPr="00B740B4">
        <w:rPr>
          <w:rFonts w:eastAsia="Times New Roman"/>
        </w:rPr>
        <w:t>“if not” (</w:t>
      </w:r>
      <w:r w:rsidR="00AF422C">
        <w:rPr>
          <w:rFonts w:eastAsia="Times New Roman"/>
        </w:rPr>
        <w:t>v</w:t>
      </w:r>
      <w:r w:rsidR="00FD5C0F" w:rsidRPr="00B740B4">
        <w:rPr>
          <w:rFonts w:eastAsia="Times New Roman"/>
        </w:rPr>
        <w:t xml:space="preserve"> 18) could deno</w:t>
      </w:r>
      <w:r w:rsidRPr="00B740B4">
        <w:rPr>
          <w:rFonts w:eastAsia="Times New Roman"/>
        </w:rPr>
        <w:t xml:space="preserve">te “if he cannot [rescue]” or “if he does not [exist]”; the three </w:t>
      </w:r>
      <w:r w:rsidR="00FD5C0F" w:rsidRPr="00B740B4">
        <w:rPr>
          <w:rFonts w:eastAsia="Times New Roman"/>
        </w:rPr>
        <w:t xml:space="preserve">men </w:t>
      </w:r>
      <w:r w:rsidRPr="00B740B4">
        <w:rPr>
          <w:rFonts w:eastAsia="Times New Roman"/>
        </w:rPr>
        <w:t>would then be genuinely contemplating the possibility that their God lacks existence or power, yet boldly resolving to continue to be loyal to him. But</w:t>
      </w:r>
      <w:r w:rsidR="00091E81" w:rsidRPr="00B740B4">
        <w:rPr>
          <w:rFonts w:eastAsia="Times New Roman"/>
        </w:rPr>
        <w:t xml:space="preserve"> this magnificent idea is implaus</w:t>
      </w:r>
      <w:r w:rsidRPr="00B740B4">
        <w:rPr>
          <w:rFonts w:eastAsia="Times New Roman"/>
        </w:rPr>
        <w:t xml:space="preserve">ibly modern. The three </w:t>
      </w:r>
      <w:r w:rsidR="006D5B12">
        <w:rPr>
          <w:rFonts w:eastAsia="Times New Roman"/>
        </w:rPr>
        <w:t xml:space="preserve">men are </w:t>
      </w:r>
      <w:r w:rsidRPr="00B740B4">
        <w:rPr>
          <w:rFonts w:eastAsia="Times New Roman"/>
        </w:rPr>
        <w:t xml:space="preserve">granting </w:t>
      </w:r>
      <w:r w:rsidR="00091E81" w:rsidRPr="00B740B4">
        <w:rPr>
          <w:rFonts w:eastAsia="Times New Roman"/>
        </w:rPr>
        <w:t xml:space="preserve">only </w:t>
      </w:r>
      <w:r w:rsidRPr="00B740B4">
        <w:rPr>
          <w:rFonts w:eastAsia="Times New Roman"/>
        </w:rPr>
        <w:t>the theoretical possibility that God will not intervene, and assuring the r</w:t>
      </w:r>
      <w:r w:rsidR="00091E81" w:rsidRPr="00B740B4">
        <w:rPr>
          <w:rFonts w:eastAsia="Times New Roman"/>
        </w:rPr>
        <w:t xml:space="preserve">eader, for whom God will </w:t>
      </w:r>
      <w:r w:rsidRPr="00B740B4">
        <w:rPr>
          <w:rFonts w:eastAsia="Times New Roman"/>
        </w:rPr>
        <w:t xml:space="preserve">probably not do so, that this </w:t>
      </w:r>
      <w:r w:rsidR="00FD5C0F" w:rsidRPr="00B740B4">
        <w:rPr>
          <w:rFonts w:eastAsia="Times New Roman"/>
        </w:rPr>
        <w:t xml:space="preserve">possibility </w:t>
      </w:r>
      <w:r w:rsidRPr="00B740B4">
        <w:rPr>
          <w:rFonts w:eastAsia="Times New Roman"/>
        </w:rPr>
        <w:t>would make no difference to their stance.</w:t>
      </w:r>
      <w:r w:rsidR="009633C3">
        <w:rPr>
          <w:rFonts w:eastAsia="Times New Roman"/>
        </w:rPr>
        <w:t xml:space="preserve"> Saadia comments that there are three situations in which one w</w:t>
      </w:r>
      <w:r w:rsidR="006D5B12">
        <w:rPr>
          <w:rFonts w:eastAsia="Times New Roman"/>
        </w:rPr>
        <w:t>ould be compelled to give up one’s life</w:t>
      </w:r>
      <w:r w:rsidR="009633C3">
        <w:rPr>
          <w:rFonts w:eastAsia="Times New Roman"/>
        </w:rPr>
        <w:t>: if we are pressured to commit something forbidden such as adultery (cf. Gen 39:9), if we are pressured to kill (cf. 1 Sam 22:17), and if we are press</w:t>
      </w:r>
      <w:r w:rsidR="006D5B12">
        <w:rPr>
          <w:rFonts w:eastAsia="Times New Roman"/>
        </w:rPr>
        <w:t>ured to bow</w:t>
      </w:r>
      <w:r w:rsidR="009633C3">
        <w:rPr>
          <w:rFonts w:eastAsia="Times New Roman"/>
        </w:rPr>
        <w:t xml:space="preserve"> down to an image.</w:t>
      </w:r>
      <w:r w:rsidR="009633C3">
        <w:rPr>
          <w:rStyle w:val="FootnoteReference"/>
          <w:rFonts w:eastAsia="Times New Roman"/>
        </w:rPr>
        <w:footnoteReference w:id="646"/>
      </w:r>
    </w:p>
    <w:p w:rsidR="009955B8" w:rsidRPr="00B740B4" w:rsidRDefault="009955B8" w:rsidP="009955B8">
      <w:pPr>
        <w:rPr>
          <w:rFonts w:eastAsia="Times New Roman"/>
        </w:rPr>
      </w:pPr>
      <w:r w:rsidRPr="00B740B4">
        <w:rPr>
          <w:rFonts w:eastAsia="Times New Roman"/>
          <w:b/>
        </w:rPr>
        <w:t>19–22</w:t>
      </w:r>
      <w:r w:rsidRPr="00B740B4">
        <w:rPr>
          <w:rFonts w:eastAsia="Times New Roman"/>
        </w:rPr>
        <w:t xml:space="preserve"> </w:t>
      </w:r>
      <w:r w:rsidR="007F0165" w:rsidRPr="00B740B4">
        <w:rPr>
          <w:rFonts w:eastAsia="Times New Roman"/>
        </w:rPr>
        <w:t>The narrative nicely reuses the word for “image” to apply to the look on Nebuchadnessar’s face. He is so angry that t</w:t>
      </w:r>
      <w:r w:rsidRPr="00B740B4">
        <w:rPr>
          <w:rFonts w:eastAsia="Times New Roman"/>
        </w:rPr>
        <w:t>he executioners are not even allowed time to strip the pr</w:t>
      </w:r>
      <w:r w:rsidR="00FD5C0F" w:rsidRPr="00B740B4">
        <w:rPr>
          <w:rFonts w:eastAsia="Times New Roman"/>
        </w:rPr>
        <w:t>isoners (v 21; contrast Ps 22:18 [19</w:t>
      </w:r>
      <w:r w:rsidRPr="00B740B4">
        <w:rPr>
          <w:rFonts w:eastAsia="Times New Roman"/>
        </w:rPr>
        <w:t xml:space="preserve">]; Mark 15:24; </w:t>
      </w:r>
      <w:r w:rsidRPr="006D5B12">
        <w:rPr>
          <w:rFonts w:eastAsia="Times New Roman"/>
          <w:i/>
        </w:rPr>
        <w:t>m</w:t>
      </w:r>
      <w:r w:rsidR="00FD5C0F" w:rsidRPr="006D5B12">
        <w:rPr>
          <w:rFonts w:eastAsia="Times New Roman"/>
          <w:i/>
        </w:rPr>
        <w:t>.</w:t>
      </w:r>
      <w:r w:rsidRPr="00B740B4">
        <w:rPr>
          <w:rFonts w:eastAsia="Times New Roman"/>
        </w:rPr>
        <w:t xml:space="preserve"> </w:t>
      </w:r>
      <w:r w:rsidRPr="00B740B4">
        <w:rPr>
          <w:rFonts w:eastAsia="Times New Roman"/>
          <w:i/>
        </w:rPr>
        <w:t>Sanhedrin</w:t>
      </w:r>
      <w:r w:rsidRPr="00B740B4">
        <w:rPr>
          <w:rFonts w:eastAsia="Times New Roman"/>
        </w:rPr>
        <w:t xml:space="preserve"> 6:3), which eventually heightens the miracle (v 27). Tormentors are often described as experiencing the torment they had planned (6:</w:t>
      </w:r>
      <w:r w:rsidR="00CD0668" w:rsidRPr="00B740B4">
        <w:rPr>
          <w:rFonts w:eastAsia="Times New Roman"/>
        </w:rPr>
        <w:t>24 [</w:t>
      </w:r>
      <w:r w:rsidRPr="00B740B4">
        <w:rPr>
          <w:rFonts w:eastAsia="Times New Roman"/>
        </w:rPr>
        <w:t>25</w:t>
      </w:r>
      <w:r w:rsidR="00CD0668" w:rsidRPr="00B740B4">
        <w:rPr>
          <w:rFonts w:eastAsia="Times New Roman"/>
        </w:rPr>
        <w:t>]</w:t>
      </w:r>
      <w:r w:rsidR="006D5B12">
        <w:rPr>
          <w:rFonts w:eastAsia="Times New Roman"/>
        </w:rPr>
        <w:t>; Esther</w:t>
      </w:r>
      <w:r w:rsidR="00091E81" w:rsidRPr="00B740B4">
        <w:rPr>
          <w:rFonts w:eastAsia="Times New Roman"/>
        </w:rPr>
        <w:t>),</w:t>
      </w:r>
      <w:r w:rsidR="006D5B12">
        <w:rPr>
          <w:rStyle w:val="FootnoteReference"/>
          <w:rFonts w:eastAsia="Times New Roman"/>
        </w:rPr>
        <w:footnoteReference w:id="647"/>
      </w:r>
      <w:r w:rsidR="00091E81" w:rsidRPr="00B740B4">
        <w:rPr>
          <w:rFonts w:eastAsia="Times New Roman"/>
        </w:rPr>
        <w:t xml:space="preserve"> in acc</w:t>
      </w:r>
      <w:r w:rsidR="006D5B12">
        <w:rPr>
          <w:rFonts w:eastAsia="Times New Roman"/>
        </w:rPr>
        <w:t xml:space="preserve">ordance with their deserve; </w:t>
      </w:r>
      <w:r w:rsidRPr="00B740B4">
        <w:rPr>
          <w:rFonts w:eastAsia="Times New Roman"/>
        </w:rPr>
        <w:t>the fate of these executioners in the fierce fire once more underlines the confessors’ hopeless situation.</w:t>
      </w:r>
    </w:p>
    <w:p w:rsidR="009955B8" w:rsidRPr="00B740B4" w:rsidRDefault="009955B8" w:rsidP="009955B8">
      <w:pPr>
        <w:rPr>
          <w:rFonts w:eastAsia="Times New Roman"/>
        </w:rPr>
      </w:pPr>
      <w:r w:rsidRPr="00B740B4">
        <w:rPr>
          <w:rFonts w:eastAsia="Times New Roman"/>
          <w:b/>
        </w:rPr>
        <w:t>23–30</w:t>
      </w:r>
      <w:r w:rsidRPr="00B740B4">
        <w:rPr>
          <w:rFonts w:eastAsia="Times New Roman"/>
        </w:rPr>
        <w:t xml:space="preserve"> </w:t>
      </w:r>
      <w:r w:rsidR="009E4AFB" w:rsidRPr="00B740B4">
        <w:rPr>
          <w:rFonts w:eastAsia="Times New Roman"/>
        </w:rPr>
        <w:t>The resumptive introduction to this paragraph and what follows (vv 23-24) takes attention away from the three men and their fate and builds suspense as it requires us to look at things from Nebuchadnezzar’a angle.</w:t>
      </w:r>
      <w:r w:rsidR="001C78B1" w:rsidRPr="00B740B4">
        <w:rPr>
          <w:rFonts w:eastAsia="Times New Roman"/>
        </w:rPr>
        <w:t xml:space="preserve"> We no longer see things for ourselves; we see </w:t>
      </w:r>
      <w:r w:rsidR="006D5B12">
        <w:rPr>
          <w:rFonts w:eastAsia="Times New Roman"/>
        </w:rPr>
        <w:t>them only though hi</w:t>
      </w:r>
      <w:r w:rsidR="001C78B1" w:rsidRPr="00B740B4">
        <w:rPr>
          <w:rFonts w:eastAsia="Times New Roman"/>
        </w:rPr>
        <w:t>s eyes.</w:t>
      </w:r>
      <w:r w:rsidR="001C78B1" w:rsidRPr="00B740B4">
        <w:rPr>
          <w:rFonts w:eastAsia="Times New Roman"/>
          <w:vertAlign w:val="superscript"/>
        </w:rPr>
        <w:footnoteReference w:id="648"/>
      </w:r>
      <w:r w:rsidR="00091E81" w:rsidRPr="00B740B4">
        <w:rPr>
          <w:rFonts w:eastAsia="Times New Roman"/>
        </w:rPr>
        <w:t xml:space="preserve"> </w:t>
      </w:r>
      <w:r w:rsidR="006D5B12">
        <w:rPr>
          <w:rFonts w:eastAsia="Times New Roman"/>
        </w:rPr>
        <w:t xml:space="preserve">Apparently he </w:t>
      </w:r>
      <w:r w:rsidRPr="00B740B4">
        <w:rPr>
          <w:rFonts w:eastAsia="Times New Roman"/>
        </w:rPr>
        <w:t xml:space="preserve">alone sees the “divine being” (v 25; cf. theophanies in 2 Kgs 6:17; Acts 9:17). </w:t>
      </w:r>
      <w:r w:rsidRPr="00B740B4">
        <w:rPr>
          <w:rFonts w:ascii="Arial" w:eastAsia="Times New Roman" w:hAnsi="Arial" w:cs="Arial"/>
        </w:rPr>
        <w:t>אלהין</w:t>
      </w:r>
      <w:r w:rsidRPr="00B740B4">
        <w:rPr>
          <w:rFonts w:eastAsia="Times New Roman"/>
        </w:rPr>
        <w:t xml:space="preserve"> </w:t>
      </w:r>
      <w:r w:rsidR="00A229D2" w:rsidRPr="00B740B4">
        <w:rPr>
          <w:rFonts w:ascii="Arial" w:eastAsia="Times New Roman" w:hAnsi="Arial" w:cs="Arial"/>
        </w:rPr>
        <w:t>בר</w:t>
      </w:r>
      <w:r w:rsidR="00A229D2" w:rsidRPr="00B740B4">
        <w:rPr>
          <w:rFonts w:eastAsia="Times New Roman"/>
        </w:rPr>
        <w:t xml:space="preserve"> </w:t>
      </w:r>
      <w:r w:rsidRPr="00B740B4">
        <w:rPr>
          <w:rFonts w:eastAsia="Times New Roman"/>
        </w:rPr>
        <w:t>might for Neb</w:t>
      </w:r>
      <w:r w:rsidR="00A229D2" w:rsidRPr="00B740B4">
        <w:rPr>
          <w:rFonts w:eastAsia="Times New Roman"/>
        </w:rPr>
        <w:t>uchad</w:t>
      </w:r>
      <w:r w:rsidR="006D5B12">
        <w:rPr>
          <w:rFonts w:eastAsia="Times New Roman"/>
        </w:rPr>
        <w:t>nezzar suggest an actual god. S</w:t>
      </w:r>
      <w:r w:rsidRPr="00B740B4">
        <w:rPr>
          <w:rFonts w:eastAsia="Times New Roman"/>
        </w:rPr>
        <w:t>imilarly God’s aide (</w:t>
      </w:r>
      <w:r w:rsidRPr="00B740B4">
        <w:rPr>
          <w:rFonts w:ascii="Arial" w:eastAsia="Times New Roman" w:hAnsi="Arial" w:cs="Arial"/>
        </w:rPr>
        <w:t>מלאך</w:t>
      </w:r>
      <w:r w:rsidR="00414FED" w:rsidRPr="00B740B4">
        <w:rPr>
          <w:rFonts w:eastAsia="Times New Roman"/>
        </w:rPr>
        <w:t>, EVV</w:t>
      </w:r>
      <w:r w:rsidR="00A229D2" w:rsidRPr="00B740B4">
        <w:rPr>
          <w:rFonts w:eastAsia="Times New Roman"/>
        </w:rPr>
        <w:t xml:space="preserve"> “angel,” v 28; cf. 6:22 [23</w:t>
      </w:r>
      <w:r w:rsidRPr="00B740B4">
        <w:rPr>
          <w:rFonts w:eastAsia="Times New Roman"/>
        </w:rPr>
        <w:t>]) might sig</w:t>
      </w:r>
      <w:r w:rsidR="00A229D2" w:rsidRPr="00B740B4">
        <w:rPr>
          <w:rFonts w:eastAsia="Times New Roman"/>
        </w:rPr>
        <w:t>nify in effect God himself; compare</w:t>
      </w:r>
      <w:r w:rsidRPr="00B740B4">
        <w:rPr>
          <w:rFonts w:eastAsia="Times New Roman"/>
        </w:rPr>
        <w:t>Yahweh</w:t>
      </w:r>
      <w:r w:rsidR="00A229D2" w:rsidRPr="00B740B4">
        <w:rPr>
          <w:rFonts w:eastAsia="Times New Roman"/>
        </w:rPr>
        <w:t>’</w:t>
      </w:r>
      <w:r w:rsidRPr="00B740B4">
        <w:rPr>
          <w:rFonts w:eastAsia="Times New Roman"/>
        </w:rPr>
        <w:t xml:space="preserve">s </w:t>
      </w:r>
      <w:r w:rsidRPr="00B740B4">
        <w:rPr>
          <w:rFonts w:ascii="Arial" w:eastAsia="Times New Roman" w:hAnsi="Arial" w:cs="Arial"/>
        </w:rPr>
        <w:t>מלאך</w:t>
      </w:r>
      <w:r w:rsidR="00091E81" w:rsidRPr="00B740B4">
        <w:rPr>
          <w:rFonts w:eastAsia="Times New Roman"/>
        </w:rPr>
        <w:t xml:space="preserve"> in passages such as</w:t>
      </w:r>
      <w:r w:rsidRPr="00B740B4">
        <w:rPr>
          <w:rFonts w:eastAsia="Times New Roman"/>
        </w:rPr>
        <w:t xml:space="preserve"> Exod 3:2. </w:t>
      </w:r>
      <w:r w:rsidR="006D5B12">
        <w:rPr>
          <w:rFonts w:eastAsia="Times New Roman"/>
        </w:rPr>
        <w:t>Indeed, Isa 43:1–3</w:t>
      </w:r>
      <w:r w:rsidRPr="00B740B4">
        <w:rPr>
          <w:rFonts w:eastAsia="Times New Roman"/>
        </w:rPr>
        <w:t xml:space="preserve"> has promised God’s own presence when Israel walks throu</w:t>
      </w:r>
      <w:r w:rsidR="00A229D2" w:rsidRPr="00B740B4">
        <w:rPr>
          <w:rFonts w:eastAsia="Times New Roman"/>
        </w:rPr>
        <w:t xml:space="preserve">gh </w:t>
      </w:r>
      <w:r w:rsidR="006C16DE" w:rsidRPr="00B740B4">
        <w:rPr>
          <w:rFonts w:eastAsia="Times New Roman"/>
        </w:rPr>
        <w:t>fire. Nevertheless to Judahite</w:t>
      </w:r>
      <w:r w:rsidRPr="00B740B4">
        <w:rPr>
          <w:rFonts w:eastAsia="Times New Roman"/>
        </w:rPr>
        <w:t xml:space="preserve">s </w:t>
      </w:r>
      <w:r w:rsidRPr="00B740B4">
        <w:rPr>
          <w:rFonts w:ascii="Arial" w:eastAsia="Times New Roman" w:hAnsi="Arial" w:cs="Arial"/>
        </w:rPr>
        <w:t>אלהין</w:t>
      </w:r>
      <w:r w:rsidRPr="00B740B4">
        <w:rPr>
          <w:rFonts w:eastAsia="Times New Roman"/>
        </w:rPr>
        <w:t xml:space="preserve"> </w:t>
      </w:r>
      <w:r w:rsidR="00A229D2" w:rsidRPr="00B740B4">
        <w:rPr>
          <w:rFonts w:ascii="Arial" w:eastAsia="Times New Roman" w:hAnsi="Arial" w:cs="Arial"/>
        </w:rPr>
        <w:t>בר</w:t>
      </w:r>
      <w:r w:rsidR="00A229D2" w:rsidRPr="00B740B4">
        <w:rPr>
          <w:rFonts w:eastAsia="Times New Roman"/>
        </w:rPr>
        <w:t xml:space="preserve"> </w:t>
      </w:r>
      <w:r w:rsidR="00091E81" w:rsidRPr="00B740B4">
        <w:rPr>
          <w:rFonts w:eastAsia="Times New Roman"/>
        </w:rPr>
        <w:t>would rather</w:t>
      </w:r>
      <w:r w:rsidRPr="00B740B4">
        <w:rPr>
          <w:rFonts w:eastAsia="Times New Roman"/>
        </w:rPr>
        <w:t xml:space="preserve"> indicate a</w:t>
      </w:r>
      <w:r w:rsidR="00A229D2" w:rsidRPr="00B740B4">
        <w:rPr>
          <w:rFonts w:eastAsia="Times New Roman"/>
        </w:rPr>
        <w:t xml:space="preserve"> subordinate heavenly being: compare</w:t>
      </w:r>
      <w:r w:rsidRPr="00B740B4">
        <w:rPr>
          <w:rFonts w:eastAsia="Times New Roman"/>
        </w:rPr>
        <w:t xml:space="preserve"> the supernatural </w:t>
      </w:r>
      <w:r w:rsidR="00B82F32" w:rsidRPr="00B740B4">
        <w:rPr>
          <w:rFonts w:eastAsia="Times New Roman"/>
        </w:rPr>
        <w:t>lookout</w:t>
      </w:r>
      <w:r w:rsidRPr="00B740B4">
        <w:rPr>
          <w:rFonts w:eastAsia="Times New Roman"/>
        </w:rPr>
        <w:t xml:space="preserve"> (</w:t>
      </w:r>
      <w:r w:rsidRPr="00B740B4">
        <w:rPr>
          <w:rFonts w:ascii="Arial" w:eastAsia="Times New Roman" w:hAnsi="Arial" w:cs="Arial"/>
        </w:rPr>
        <w:t>וקדיש</w:t>
      </w:r>
      <w:r w:rsidR="00A229D2" w:rsidRPr="00B740B4">
        <w:rPr>
          <w:rFonts w:ascii="Arial" w:eastAsia="Times New Roman" w:hAnsi="Arial" w:cs="Arial"/>
        </w:rPr>
        <w:t xml:space="preserve"> עיר</w:t>
      </w:r>
      <w:r w:rsidR="006B4147" w:rsidRPr="00B740B4">
        <w:rPr>
          <w:rFonts w:eastAsia="Times New Roman"/>
        </w:rPr>
        <w:t xml:space="preserve">) of </w:t>
      </w:r>
      <w:r w:rsidR="006D5B12">
        <w:rPr>
          <w:rFonts w:eastAsia="Times New Roman"/>
        </w:rPr>
        <w:t>4:13, 17, 23 [</w:t>
      </w:r>
      <w:r w:rsidR="00A229D2" w:rsidRPr="00B740B4">
        <w:rPr>
          <w:rFonts w:eastAsia="Times New Roman"/>
        </w:rPr>
        <w:t>10, 14, 20</w:t>
      </w:r>
      <w:r w:rsidR="006D5B12">
        <w:rPr>
          <w:rFonts w:eastAsia="Times New Roman"/>
        </w:rPr>
        <w:t>]</w:t>
      </w:r>
      <w:r w:rsidRPr="00B740B4">
        <w:rPr>
          <w:rFonts w:eastAsia="Times New Roman"/>
        </w:rPr>
        <w:t>, and the humanlike heav</w:t>
      </w:r>
      <w:r w:rsidR="00E73691">
        <w:rPr>
          <w:rFonts w:eastAsia="Times New Roman"/>
        </w:rPr>
        <w:t>enly interpreters and leaders in</w:t>
      </w:r>
      <w:r w:rsidRPr="00B740B4">
        <w:rPr>
          <w:rFonts w:eastAsia="Times New Roman"/>
        </w:rPr>
        <w:t xml:space="preserve"> chaps. 7–12. In such a context</w:t>
      </w:r>
      <w:r w:rsidR="00091E81" w:rsidRPr="00B740B4">
        <w:rPr>
          <w:rFonts w:eastAsia="Times New Roman"/>
        </w:rPr>
        <w:t>, then,</w:t>
      </w:r>
      <w:r w:rsidRPr="00B740B4">
        <w:rPr>
          <w:rFonts w:eastAsia="Times New Roman"/>
        </w:rPr>
        <w:t xml:space="preserve"> God’s </w:t>
      </w:r>
      <w:r w:rsidRPr="00B740B4">
        <w:rPr>
          <w:rFonts w:ascii="Arial" w:eastAsia="Times New Roman" w:hAnsi="Arial" w:cs="Arial"/>
        </w:rPr>
        <w:t>מלאך</w:t>
      </w:r>
      <w:r w:rsidR="00E73691">
        <w:rPr>
          <w:rFonts w:eastAsia="Times New Roman"/>
        </w:rPr>
        <w:t xml:space="preserve"> will denote a heavenly being who is of another order than God himself.</w:t>
      </w:r>
    </w:p>
    <w:p w:rsidR="009955B8" w:rsidRPr="00B740B4" w:rsidRDefault="009955B8" w:rsidP="009955B8">
      <w:pPr>
        <w:rPr>
          <w:rFonts w:eastAsia="Times New Roman"/>
        </w:rPr>
      </w:pPr>
      <w:r w:rsidRPr="00B740B4">
        <w:rPr>
          <w:rFonts w:eastAsia="Times New Roman"/>
        </w:rPr>
        <w:t xml:space="preserve">The title </w:t>
      </w:r>
      <w:r w:rsidR="00D02D10" w:rsidRPr="00B740B4">
        <w:rPr>
          <w:rFonts w:eastAsia="Times New Roman"/>
          <w:i/>
        </w:rPr>
        <w:t>God On</w:t>
      </w:r>
      <w:r w:rsidRPr="00B740B4">
        <w:rPr>
          <w:rFonts w:eastAsia="Times New Roman"/>
          <w:i/>
        </w:rPr>
        <w:t xml:space="preserve"> High</w:t>
      </w:r>
      <w:r w:rsidRPr="00B740B4">
        <w:rPr>
          <w:rFonts w:eastAsia="Times New Roman"/>
        </w:rPr>
        <w:t xml:space="preserve"> (v 26) is another expression at home on the lips of either a foreigner (</w:t>
      </w:r>
      <w:r w:rsidR="00A229D2" w:rsidRPr="00B740B4">
        <w:rPr>
          <w:rFonts w:eastAsia="Times New Roman"/>
        </w:rPr>
        <w:t>4:2, 17, 34 [3:32; 4:14, 31]</w:t>
      </w:r>
      <w:r w:rsidRPr="00B740B4">
        <w:rPr>
          <w:rFonts w:eastAsia="Times New Roman"/>
        </w:rPr>
        <w:t>; Gen 14:18–20;</w:t>
      </w:r>
      <w:r w:rsidR="006C16DE" w:rsidRPr="00B740B4">
        <w:rPr>
          <w:rFonts w:eastAsia="Times New Roman"/>
        </w:rPr>
        <w:t xml:space="preserve"> Num 24:16; Isa 14:14) or a Judahite</w:t>
      </w:r>
      <w:r w:rsidRPr="00B740B4">
        <w:rPr>
          <w:rFonts w:eastAsia="Times New Roman"/>
        </w:rPr>
        <w:t>(Dan 4:</w:t>
      </w:r>
      <w:r w:rsidR="00A229D2" w:rsidRPr="00B740B4">
        <w:rPr>
          <w:rFonts w:eastAsia="Times New Roman"/>
        </w:rPr>
        <w:t>24–32 [21–29</w:t>
      </w:r>
      <w:r w:rsidRPr="00B740B4">
        <w:rPr>
          <w:rFonts w:eastAsia="Times New Roman"/>
        </w:rPr>
        <w:t>]; 5:18, 21; 7:18–27; Gen 14:22; Deut 32:8; Psalms), though its nuances for each would again differ. To both it suggests a God of universal authority but of otherwise undefined personal qualities. For a pagan, it would denote only the highest among many gods, but as an epithet of El it was accepted in early OT times and appli</w:t>
      </w:r>
      <w:r w:rsidR="001F5F04" w:rsidRPr="00B740B4">
        <w:rPr>
          <w:rFonts w:eastAsia="Times New Roman"/>
        </w:rPr>
        <w:t xml:space="preserve">ed to Yahweh, so that for a Judahite </w:t>
      </w:r>
      <w:r w:rsidRPr="00B740B4">
        <w:rPr>
          <w:rFonts w:eastAsia="Times New Roman"/>
        </w:rPr>
        <w:t xml:space="preserve">it has monotheistic (or mono-Yahwistic) </w:t>
      </w:r>
      <w:r w:rsidRPr="00B740B4">
        <w:rPr>
          <w:rFonts w:eastAsia="Times New Roman"/>
        </w:rPr>
        <w:lastRenderedPageBreak/>
        <w:t xml:space="preserve">implications. Like terms such as </w:t>
      </w:r>
      <w:r w:rsidRPr="00B740B4">
        <w:rPr>
          <w:rFonts w:eastAsia="Times New Roman"/>
          <w:i/>
        </w:rPr>
        <w:t xml:space="preserve">Lord of </w:t>
      </w:r>
      <w:r w:rsidR="00A229D2" w:rsidRPr="00B740B4">
        <w:rPr>
          <w:rFonts w:eastAsia="Times New Roman"/>
          <w:i/>
        </w:rPr>
        <w:t xml:space="preserve">the </w:t>
      </w:r>
      <w:r w:rsidRPr="00B740B4">
        <w:rPr>
          <w:rFonts w:eastAsia="Times New Roman"/>
          <w:i/>
        </w:rPr>
        <w:t>heaven</w:t>
      </w:r>
      <w:r w:rsidR="00A229D2" w:rsidRPr="00B740B4">
        <w:rPr>
          <w:rFonts w:eastAsia="Times New Roman"/>
          <w:i/>
        </w:rPr>
        <w:t>s</w:t>
      </w:r>
      <w:r w:rsidR="009C567A" w:rsidRPr="00B740B4">
        <w:rPr>
          <w:rFonts w:eastAsia="Times New Roman"/>
        </w:rPr>
        <w:t>, this expression</w:t>
      </w:r>
      <w:r w:rsidRPr="00B740B4">
        <w:rPr>
          <w:rFonts w:eastAsia="Times New Roman"/>
        </w:rPr>
        <w:t xml:space="preserve"> of ultimately pagan origin becomes popular after the exile as a substitute for “Yahweh”; unlike the former it continues to increase in popularity over later centuries (cf. 2:18 </w:t>
      </w:r>
      <w:r w:rsidRPr="00B740B4">
        <w:rPr>
          <w:rFonts w:eastAsia="Times New Roman"/>
          <w:i/>
        </w:rPr>
        <w:t>Comment</w:t>
      </w:r>
      <w:r w:rsidRPr="00B740B4">
        <w:rPr>
          <w:rFonts w:eastAsia="Times New Roman"/>
        </w:rPr>
        <w:t>).</w:t>
      </w:r>
      <w:r w:rsidR="00A229D2" w:rsidRPr="00B740B4">
        <w:rPr>
          <w:rStyle w:val="FootnoteReference"/>
          <w:rFonts w:eastAsia="Times New Roman"/>
        </w:rPr>
        <w:footnoteReference w:id="649"/>
      </w:r>
    </w:p>
    <w:p w:rsidR="009955B8" w:rsidRPr="00B740B4" w:rsidRDefault="009955B8" w:rsidP="009479B1">
      <w:pPr>
        <w:pStyle w:val="Heading2"/>
        <w:rPr>
          <w:rFonts w:eastAsia="Times New Roman"/>
        </w:rPr>
      </w:pPr>
      <w:r w:rsidRPr="00B740B4">
        <w:rPr>
          <w:rFonts w:eastAsia="Times New Roman"/>
        </w:rPr>
        <w:t>Explanation</w:t>
      </w:r>
    </w:p>
    <w:p w:rsidR="00CD264D" w:rsidRPr="00B740B4" w:rsidRDefault="009955B8" w:rsidP="00CD264D">
      <w:pPr>
        <w:rPr>
          <w:rFonts w:eastAsia="Times New Roman"/>
          <w:noProof/>
        </w:rPr>
      </w:pPr>
      <w:r w:rsidRPr="00B740B4">
        <w:rPr>
          <w:rFonts w:eastAsia="Times New Roman"/>
          <w:b/>
          <w:noProof/>
        </w:rPr>
        <w:t>1–7</w:t>
      </w:r>
      <w:r w:rsidRPr="00B740B4">
        <w:rPr>
          <w:rFonts w:eastAsia="Times New Roman"/>
          <w:noProof/>
        </w:rPr>
        <w:t xml:space="preserve"> This Nebuchadnezzar is one whom God allowed to devastate and pillage the temp</w:t>
      </w:r>
      <w:r w:rsidR="000C097B" w:rsidRPr="00B740B4">
        <w:rPr>
          <w:rFonts w:eastAsia="Times New Roman"/>
          <w:noProof/>
        </w:rPr>
        <w:t>le in Jerusalem (c</w:t>
      </w:r>
      <w:r w:rsidR="009C567A" w:rsidRPr="00B740B4">
        <w:rPr>
          <w:rFonts w:eastAsia="Times New Roman"/>
          <w:noProof/>
        </w:rPr>
        <w:t xml:space="preserve">f. </w:t>
      </w:r>
      <w:r w:rsidR="000C097B" w:rsidRPr="00B740B4">
        <w:rPr>
          <w:rFonts w:eastAsia="Times New Roman"/>
          <w:noProof/>
        </w:rPr>
        <w:t>G’s date)</w:t>
      </w:r>
      <w:r w:rsidRPr="00B740B4">
        <w:rPr>
          <w:rFonts w:eastAsia="Times New Roman"/>
          <w:noProof/>
        </w:rPr>
        <w:t xml:space="preserve"> which David had enriched</w:t>
      </w:r>
      <w:r w:rsidR="000C097B" w:rsidRPr="00B740B4">
        <w:rPr>
          <w:rFonts w:eastAsia="Times New Roman"/>
          <w:noProof/>
        </w:rPr>
        <w:t xml:space="preserve"> with 100,000 talents of gold. H</w:t>
      </w:r>
      <w:r w:rsidRPr="00B740B4">
        <w:rPr>
          <w:rFonts w:eastAsia="Times New Roman"/>
          <w:noProof/>
        </w:rPr>
        <w:t>e is one who h</w:t>
      </w:r>
      <w:r w:rsidR="00A229D2" w:rsidRPr="00B740B4">
        <w:rPr>
          <w:rFonts w:eastAsia="Times New Roman"/>
          <w:noProof/>
        </w:rPr>
        <w:t>as been characterized in chap.</w:t>
      </w:r>
      <w:r w:rsidRPr="00B740B4">
        <w:rPr>
          <w:rFonts w:eastAsia="Times New Roman"/>
          <w:noProof/>
        </w:rPr>
        <w:t xml:space="preserve"> 2 as the gold head of a multi-metaled statue</w:t>
      </w:r>
      <w:r w:rsidR="000C097B" w:rsidRPr="00B740B4">
        <w:rPr>
          <w:rFonts w:eastAsia="Times New Roman"/>
          <w:noProof/>
        </w:rPr>
        <w:t>, and he has allegedly acknowledged the</w:t>
      </w:r>
      <w:r w:rsidR="00E73691">
        <w:rPr>
          <w:rFonts w:eastAsia="Times New Roman"/>
          <w:noProof/>
        </w:rPr>
        <w:t xml:space="preserve"> </w:t>
      </w:r>
      <w:r w:rsidR="000C097B" w:rsidRPr="00B740B4">
        <w:rPr>
          <w:rFonts w:eastAsia="Times New Roman"/>
          <w:noProof/>
        </w:rPr>
        <w:t>picture</w:t>
      </w:r>
      <w:r w:rsidRPr="00B740B4">
        <w:rPr>
          <w:rFonts w:eastAsia="Times New Roman"/>
          <w:noProof/>
        </w:rPr>
        <w:t xml:space="preserve">. </w:t>
      </w:r>
      <w:r w:rsidR="002F2136" w:rsidRPr="00B740B4">
        <w:rPr>
          <w:rFonts w:eastAsia="Times New Roman"/>
          <w:noProof/>
        </w:rPr>
        <w:t xml:space="preserve">But </w:t>
      </w:r>
      <w:r w:rsidR="002F2136" w:rsidRPr="00B740B4">
        <w:t>“here is a strange alteration of a man, that upon so good ground a little before acknowledged one only true God, now to fall to th</w:t>
      </w:r>
      <w:r w:rsidR="00DC09A7" w:rsidRPr="00B740B4">
        <w:t>is foul sin of exalting himself</w:t>
      </w:r>
      <w:r w:rsidR="002F2136" w:rsidRPr="00B740B4">
        <w:t xml:space="preserve"> as a God, but such is the fickleness and inconstancy of carnal men.”</w:t>
      </w:r>
      <w:r w:rsidR="002F2136" w:rsidRPr="00B740B4">
        <w:rPr>
          <w:rStyle w:val="FootnoteReference"/>
        </w:rPr>
        <w:footnoteReference w:id="650"/>
      </w:r>
      <w:r w:rsidR="00DC09A7" w:rsidRPr="00B740B4">
        <w:t xml:space="preserve"> </w:t>
      </w:r>
      <w:r w:rsidR="009C567A" w:rsidRPr="00B740B4">
        <w:rPr>
          <w:rFonts w:eastAsia="Times New Roman"/>
          <w:noProof/>
        </w:rPr>
        <w:t>That earlier acknowledgment</w:t>
      </w:r>
      <w:r w:rsidR="000C097B" w:rsidRPr="00B740B4">
        <w:rPr>
          <w:rFonts w:eastAsia="Times New Roman"/>
          <w:noProof/>
        </w:rPr>
        <w:t xml:space="preserve"> seems </w:t>
      </w:r>
      <w:r w:rsidR="00DC09A7" w:rsidRPr="00B740B4">
        <w:rPr>
          <w:rFonts w:eastAsia="Times New Roman"/>
          <w:noProof/>
        </w:rPr>
        <w:t>to have been “the confession… of a  man thunderstruck,”</w:t>
      </w:r>
      <w:r w:rsidR="00DC09A7" w:rsidRPr="00B740B4">
        <w:rPr>
          <w:rStyle w:val="FootnoteReference"/>
          <w:rFonts w:eastAsia="Times New Roman"/>
          <w:noProof/>
        </w:rPr>
        <w:footnoteReference w:id="651"/>
      </w:r>
      <w:r w:rsidR="00DC09A7" w:rsidRPr="00B740B4">
        <w:rPr>
          <w:rFonts w:eastAsia="Times New Roman"/>
          <w:noProof/>
        </w:rPr>
        <w:t xml:space="preserve"> after which</w:t>
      </w:r>
      <w:r w:rsidR="000C097B" w:rsidRPr="00B740B4">
        <w:rPr>
          <w:rFonts w:eastAsia="Times New Roman"/>
          <w:noProof/>
        </w:rPr>
        <w:t xml:space="preserve"> “he returned to his former self, like a dog to his vomit” (Prov26:11).</w:t>
      </w:r>
      <w:r w:rsidR="000C097B" w:rsidRPr="00B740B4">
        <w:rPr>
          <w:rStyle w:val="FootnoteReference"/>
          <w:rFonts w:eastAsia="Times New Roman"/>
          <w:noProof/>
        </w:rPr>
        <w:footnoteReference w:id="652"/>
      </w:r>
      <w:r w:rsidR="000C097B" w:rsidRPr="00B740B4">
        <w:rPr>
          <w:rFonts w:eastAsia="Times New Roman"/>
          <w:noProof/>
        </w:rPr>
        <w:t xml:space="preserve"> </w:t>
      </w:r>
    </w:p>
    <w:p w:rsidR="00CD264D" w:rsidRPr="00B740B4" w:rsidRDefault="009955B8" w:rsidP="00CD264D">
      <w:pPr>
        <w:rPr>
          <w:rFonts w:eastAsia="Times New Roman"/>
        </w:rPr>
      </w:pPr>
      <w:r w:rsidRPr="00B740B4">
        <w:rPr>
          <w:rFonts w:eastAsia="Times New Roman"/>
          <w:noProof/>
        </w:rPr>
        <w:t xml:space="preserve">He now constructs an </w:t>
      </w:r>
      <w:r w:rsidR="009C567A" w:rsidRPr="00B740B4">
        <w:rPr>
          <w:rFonts w:eastAsia="Times New Roman"/>
          <w:noProof/>
        </w:rPr>
        <w:t>immense gold statue of his own, one which signifies “erecting Nebuchadnezzar’s ego.”</w:t>
      </w:r>
      <w:r w:rsidR="009C567A" w:rsidRPr="00B740B4">
        <w:rPr>
          <w:rFonts w:eastAsia="Times New Roman"/>
          <w:noProof/>
          <w:vertAlign w:val="superscript"/>
        </w:rPr>
        <w:footnoteReference w:id="653"/>
      </w:r>
      <w:r w:rsidR="009C567A" w:rsidRPr="00B740B4">
        <w:rPr>
          <w:rFonts w:eastAsia="Times New Roman"/>
          <w:noProof/>
        </w:rPr>
        <w:t xml:space="preserve"> </w:t>
      </w:r>
      <w:r w:rsidR="00FA6EEC" w:rsidRPr="00B740B4">
        <w:rPr>
          <w:rFonts w:eastAsia="Times New Roman"/>
          <w:noProof/>
        </w:rPr>
        <w:t xml:space="preserve">It affirms the beginning of his dream vision but </w:t>
      </w:r>
      <w:r w:rsidR="00CD264D" w:rsidRPr="00B740B4">
        <w:rPr>
          <w:rFonts w:eastAsia="Times New Roman"/>
          <w:noProof/>
        </w:rPr>
        <w:t xml:space="preserve">it </w:t>
      </w:r>
      <w:r w:rsidR="00FA6EEC" w:rsidRPr="00B740B4">
        <w:rPr>
          <w:rFonts w:eastAsia="Times New Roman"/>
          <w:noProof/>
        </w:rPr>
        <w:t xml:space="preserve">implicitly disputes what follows, and in particular </w:t>
      </w:r>
      <w:r w:rsidR="009C567A" w:rsidRPr="00B740B4">
        <w:rPr>
          <w:rFonts w:eastAsia="Times New Roman"/>
          <w:noProof/>
        </w:rPr>
        <w:t xml:space="preserve">disputes </w:t>
      </w:r>
      <w:r w:rsidR="00FA6EEC" w:rsidRPr="00B740B4">
        <w:rPr>
          <w:rFonts w:eastAsia="Times New Roman"/>
          <w:noProof/>
        </w:rPr>
        <w:t>that statue’s fatal weakness and destruction.</w:t>
      </w:r>
      <w:r w:rsidR="00FA6EEC" w:rsidRPr="00B740B4">
        <w:rPr>
          <w:rStyle w:val="FootnoteReference"/>
          <w:rFonts w:eastAsia="Times New Roman"/>
          <w:noProof/>
        </w:rPr>
        <w:footnoteReference w:id="654"/>
      </w:r>
      <w:r w:rsidR="00FA6EEC" w:rsidRPr="00B740B4">
        <w:rPr>
          <w:rFonts w:eastAsia="Times New Roman"/>
          <w:noProof/>
        </w:rPr>
        <w:t xml:space="preserve"> This statue</w:t>
      </w:r>
      <w:r w:rsidR="00E73691">
        <w:rPr>
          <w:rFonts w:eastAsia="Times New Roman"/>
          <w:noProof/>
        </w:rPr>
        <w:t xml:space="preserve"> was to be more</w:t>
      </w:r>
      <w:r w:rsidRPr="00B740B4">
        <w:rPr>
          <w:rFonts w:eastAsia="Times New Roman"/>
          <w:noProof/>
        </w:rPr>
        <w:t xml:space="preserve"> impre</w:t>
      </w:r>
      <w:r w:rsidR="00FA6EEC" w:rsidRPr="00B740B4">
        <w:rPr>
          <w:rFonts w:eastAsia="Times New Roman"/>
          <w:noProof/>
        </w:rPr>
        <w:t xml:space="preserve">ssive </w:t>
      </w:r>
      <w:r w:rsidR="00E73691">
        <w:rPr>
          <w:rFonts w:eastAsia="Times New Roman"/>
          <w:noProof/>
        </w:rPr>
        <w:t xml:space="preserve">than any </w:t>
      </w:r>
      <w:r w:rsidR="006C16DE" w:rsidRPr="00B740B4">
        <w:rPr>
          <w:rFonts w:eastAsia="Times New Roman"/>
          <w:noProof/>
        </w:rPr>
        <w:t>that dispersion Judahite</w:t>
      </w:r>
      <w:r w:rsidRPr="00B740B4">
        <w:rPr>
          <w:rFonts w:eastAsia="Times New Roman"/>
          <w:noProof/>
        </w:rPr>
        <w:t xml:space="preserve">s would ever see, to be dedicated in the presence of as impressive a gathering of state dignitaries as they would ever witness, representing as many nations as they could ever envisage, at a ceremony heralded by as cosmopolitan an ensemble as they would ever hear. </w:t>
      </w:r>
      <w:r w:rsidR="00E57171" w:rsidRPr="00B740B4">
        <w:rPr>
          <w:rFonts w:eastAsia="Times New Roman"/>
        </w:rPr>
        <w:t xml:space="preserve">I write on the eve of the inauguration of a new president of the United States and at a time when Brits are discussing the eventual coronation of a new monarch. </w:t>
      </w:r>
      <w:r w:rsidR="004760A3" w:rsidRPr="00B740B4">
        <w:rPr>
          <w:rFonts w:eastAsia="Times New Roman"/>
        </w:rPr>
        <w:t xml:space="preserve">Such great ceremonial occasions use religion to undergird the significance of the occasion. They </w:t>
      </w:r>
      <w:r w:rsidR="00E57171" w:rsidRPr="00B740B4">
        <w:rPr>
          <w:rFonts w:eastAsia="Times New Roman"/>
        </w:rPr>
        <w:t>play an important role as affirmations of national identity; they reinforce the bonds that are needed to hold the nation together.</w:t>
      </w:r>
      <w:r w:rsidR="009C567A" w:rsidRPr="00B740B4">
        <w:rPr>
          <w:rFonts w:eastAsia="Times New Roman"/>
        </w:rPr>
        <w:t xml:space="preserve"> They</w:t>
      </w:r>
      <w:r w:rsidR="00E57171" w:rsidRPr="00B740B4">
        <w:rPr>
          <w:rFonts w:eastAsia="Times New Roman"/>
        </w:rPr>
        <w:t xml:space="preserve"> are occasions that make a point of involving representatives of the nation’s various ethnic groups; t</w:t>
      </w:r>
      <w:r w:rsidR="009C567A" w:rsidRPr="00B740B4">
        <w:rPr>
          <w:rFonts w:eastAsia="Times New Roman"/>
        </w:rPr>
        <w:t xml:space="preserve">hey </w:t>
      </w:r>
      <w:r w:rsidR="004760A3" w:rsidRPr="00B740B4">
        <w:rPr>
          <w:rFonts w:eastAsia="Times New Roman"/>
        </w:rPr>
        <w:t xml:space="preserve">are </w:t>
      </w:r>
      <w:r w:rsidR="009C567A" w:rsidRPr="00B740B4">
        <w:rPr>
          <w:rFonts w:eastAsia="Times New Roman"/>
        </w:rPr>
        <w:t>designed to incorporate the nation’s diversity</w:t>
      </w:r>
      <w:r w:rsidR="00E57171" w:rsidRPr="00B740B4">
        <w:rPr>
          <w:rFonts w:eastAsia="Times New Roman"/>
        </w:rPr>
        <w:t xml:space="preserve"> into that bond. </w:t>
      </w:r>
      <w:r w:rsidR="00CD264D" w:rsidRPr="00B740B4">
        <w:rPr>
          <w:rFonts w:eastAsia="Times New Roman"/>
        </w:rPr>
        <w:t>Nebuchadnezzar similarly wanted the diversity of his empire to be recognized and to have its dive</w:t>
      </w:r>
      <w:r w:rsidR="00E73691">
        <w:rPr>
          <w:rFonts w:eastAsia="Times New Roman"/>
        </w:rPr>
        <w:t xml:space="preserve">rse ethnicities and cultures </w:t>
      </w:r>
      <w:r w:rsidR="00CD264D" w:rsidRPr="00B740B4">
        <w:rPr>
          <w:rFonts w:eastAsia="Times New Roman"/>
        </w:rPr>
        <w:t>join together.</w:t>
      </w:r>
    </w:p>
    <w:p w:rsidR="009C567A" w:rsidRPr="00B740B4" w:rsidRDefault="009C567A" w:rsidP="009C567A">
      <w:pPr>
        <w:rPr>
          <w:rFonts w:eastAsia="Times New Roman"/>
          <w:noProof/>
        </w:rPr>
      </w:pPr>
      <w:r w:rsidRPr="00B740B4">
        <w:rPr>
          <w:rFonts w:eastAsia="Times New Roman"/>
          <w:noProof/>
        </w:rPr>
        <w:t>So we might have little grounds for complaint at Nebuchadnezzar’s plan, unless it sounds like a worrying reversal of the scattering from Babel in Gen 11.</w:t>
      </w:r>
      <w:r w:rsidRPr="00B740B4">
        <w:rPr>
          <w:rStyle w:val="FootnoteReference"/>
          <w:rFonts w:eastAsia="Times New Roman"/>
          <w:noProof/>
        </w:rPr>
        <w:footnoteReference w:id="655"/>
      </w:r>
      <w:r w:rsidRPr="00B740B4">
        <w:rPr>
          <w:rFonts w:eastAsia="Times New Roman"/>
          <w:noProof/>
        </w:rPr>
        <w:t xml:space="preserve"> The herald’s summons comes to its climax, however, with the sanction applied to nonpartircipation in the ceremony, a personal holocaust for anyone who refuses to take part. The image now assumes more sinister significance regarding the destiny of any nonconformist, and regarding the thinking of the king himself. Unclarity over whether the statue represents Nebuchadnezzar or his god does not matter so much. The point it that Nebuchadnezzar set it up (vv 1, 2, 3a, 3b, 5, 7, 12, 14, 18). It represents his authority. It counteracts the vulnerability implicit in the image in chap. 2. But “there’s a suspicious abundance abo</w:t>
      </w:r>
      <w:r w:rsidR="004760A3" w:rsidRPr="00B740B4">
        <w:rPr>
          <w:rFonts w:eastAsia="Times New Roman"/>
          <w:noProof/>
        </w:rPr>
        <w:t>ut this music” which suggests Nebuchadnezzar</w:t>
      </w:r>
      <w:r w:rsidRPr="00B740B4">
        <w:rPr>
          <w:rFonts w:eastAsia="Times New Roman"/>
          <w:noProof/>
        </w:rPr>
        <w:t xml:space="preserve"> only half-believes that he has people’s inner allegiance.</w:t>
      </w:r>
      <w:r w:rsidRPr="00B740B4">
        <w:rPr>
          <w:rStyle w:val="FootnoteReference"/>
          <w:rFonts w:eastAsia="Times New Roman"/>
          <w:noProof/>
        </w:rPr>
        <w:footnoteReference w:id="656"/>
      </w:r>
      <w:r w:rsidRPr="00B740B4">
        <w:rPr>
          <w:rFonts w:eastAsia="Times New Roman"/>
          <w:noProof/>
        </w:rPr>
        <w:t xml:space="preserve"> He feels insecure.</w:t>
      </w:r>
      <w:r w:rsidRPr="00B740B4">
        <w:rPr>
          <w:rStyle w:val="FootnoteReference"/>
          <w:rFonts w:eastAsia="Times New Roman"/>
          <w:noProof/>
        </w:rPr>
        <w:footnoteReference w:id="657"/>
      </w:r>
      <w:r w:rsidRPr="00B740B4">
        <w:rPr>
          <w:rFonts w:eastAsia="Times New Roman"/>
          <w:noProof/>
        </w:rPr>
        <w:t xml:space="preserve"> The atheism of force is actually an atheism of fear.</w:t>
      </w:r>
      <w:r w:rsidRPr="00B740B4">
        <w:rPr>
          <w:rStyle w:val="FootnoteReference"/>
          <w:rFonts w:eastAsia="Times New Roman"/>
          <w:noProof/>
        </w:rPr>
        <w:footnoteReference w:id="658"/>
      </w:r>
    </w:p>
    <w:p w:rsidR="00976329" w:rsidRPr="00B740B4" w:rsidRDefault="004760A3" w:rsidP="009C567A">
      <w:pPr>
        <w:rPr>
          <w:rFonts w:eastAsia="Times New Roman"/>
        </w:rPr>
      </w:pPr>
      <w:r w:rsidRPr="00B740B4">
        <w:rPr>
          <w:rFonts w:eastAsia="Times New Roman"/>
        </w:rPr>
        <w:lastRenderedPageBreak/>
        <w:t>But w</w:t>
      </w:r>
      <w:r w:rsidR="009955B8" w:rsidRPr="00B740B4">
        <w:rPr>
          <w:rFonts w:eastAsia="Times New Roman"/>
        </w:rPr>
        <w:t>hen Nebuchadnezzar summoned, people assembled</w:t>
      </w:r>
      <w:r w:rsidR="006B5619" w:rsidRPr="00B740B4">
        <w:rPr>
          <w:rFonts w:eastAsia="Times New Roman"/>
        </w:rPr>
        <w:t xml:space="preserve"> (</w:t>
      </w:r>
      <w:r w:rsidR="00AF422C">
        <w:rPr>
          <w:rFonts w:eastAsia="Times New Roman"/>
        </w:rPr>
        <w:t>v</w:t>
      </w:r>
      <w:r w:rsidR="006B5619" w:rsidRPr="00B740B4">
        <w:rPr>
          <w:rFonts w:eastAsia="Times New Roman"/>
        </w:rPr>
        <w:t xml:space="preserve"> 3)</w:t>
      </w:r>
      <w:r w:rsidR="009955B8" w:rsidRPr="00B740B4">
        <w:rPr>
          <w:rFonts w:eastAsia="Times New Roman"/>
        </w:rPr>
        <w:t>, and when his band played,</w:t>
      </w:r>
      <w:r w:rsidR="006C16DE" w:rsidRPr="00B740B4">
        <w:rPr>
          <w:rFonts w:eastAsia="Times New Roman"/>
        </w:rPr>
        <w:t xml:space="preserve"> people fell on their faces</w:t>
      </w:r>
      <w:r w:rsidR="006B5619" w:rsidRPr="00B740B4">
        <w:rPr>
          <w:rFonts w:eastAsia="Times New Roman"/>
        </w:rPr>
        <w:t>, “as if mindlessly… as if that</w:t>
      </w:r>
      <w:r w:rsidR="009C567A" w:rsidRPr="00B740B4">
        <w:rPr>
          <w:rFonts w:eastAsia="Times New Roman"/>
        </w:rPr>
        <w:t xml:space="preserve"> </w:t>
      </w:r>
      <w:r w:rsidR="006B5619" w:rsidRPr="00B740B4">
        <w:rPr>
          <w:rFonts w:eastAsia="Times New Roman"/>
        </w:rPr>
        <w:t>bowing down were just a thoughtless reflex.”</w:t>
      </w:r>
      <w:r w:rsidR="006B5619" w:rsidRPr="00B740B4">
        <w:rPr>
          <w:rStyle w:val="FootnoteReference"/>
          <w:rFonts w:eastAsia="Times New Roman"/>
        </w:rPr>
        <w:footnoteReference w:id="659"/>
      </w:r>
      <w:r w:rsidR="006B5619" w:rsidRPr="00B740B4">
        <w:rPr>
          <w:rFonts w:eastAsia="Times New Roman"/>
        </w:rPr>
        <w:t xml:space="preserve"> </w:t>
      </w:r>
      <w:r w:rsidR="006C16DE" w:rsidRPr="00B740B4">
        <w:rPr>
          <w:rFonts w:eastAsia="Times New Roman"/>
        </w:rPr>
        <w:t xml:space="preserve"> </w:t>
      </w:r>
      <w:r w:rsidR="00976329" w:rsidRPr="00B740B4">
        <w:rPr>
          <w:rFonts w:eastAsia="Times New Roman"/>
        </w:rPr>
        <w:t>An impres</w:t>
      </w:r>
      <w:r w:rsidR="002963D2">
        <w:rPr>
          <w:rFonts w:eastAsia="Times New Roman"/>
        </w:rPr>
        <w:t>sive ceremony of the</w:t>
      </w:r>
      <w:r w:rsidR="00976329" w:rsidRPr="00B740B4">
        <w:rPr>
          <w:rFonts w:eastAsia="Times New Roman"/>
        </w:rPr>
        <w:t xml:space="preserve"> kind</w:t>
      </w:r>
      <w:r w:rsidR="002963D2">
        <w:rPr>
          <w:rFonts w:eastAsia="Times New Roman"/>
        </w:rPr>
        <w:t xml:space="preserve"> described</w:t>
      </w:r>
      <w:r w:rsidR="00976329" w:rsidRPr="00B740B4">
        <w:rPr>
          <w:rFonts w:eastAsia="Times New Roman"/>
        </w:rPr>
        <w:t>, supported by the sanction attached to neglecting it, embodies the double pressure of the pagan state, its attractiveness and its unscrupulousness.</w:t>
      </w:r>
      <w:r w:rsidR="00976329" w:rsidRPr="00B740B4">
        <w:rPr>
          <w:rFonts w:eastAsia="Times New Roman"/>
          <w:vertAlign w:val="superscript"/>
        </w:rPr>
        <w:footnoteReference w:id="660"/>
      </w:r>
      <w:r w:rsidR="00976329" w:rsidRPr="00B740B4">
        <w:rPr>
          <w:rFonts w:eastAsia="Times New Roman"/>
        </w:rPr>
        <w:t xml:space="preserve"> </w:t>
      </w:r>
      <w:r w:rsidR="00076710" w:rsidRPr="00B740B4">
        <w:rPr>
          <w:rFonts w:eastAsia="Times New Roman"/>
        </w:rPr>
        <w:t>T</w:t>
      </w:r>
      <w:r w:rsidR="003F0322" w:rsidRPr="00B740B4">
        <w:rPr>
          <w:rFonts w:eastAsia="Times New Roman"/>
        </w:rPr>
        <w:t xml:space="preserve">he participants </w:t>
      </w:r>
      <w:r w:rsidR="00076710" w:rsidRPr="00B740B4">
        <w:rPr>
          <w:rFonts w:eastAsia="Times New Roman"/>
        </w:rPr>
        <w:t>are leaders of all</w:t>
      </w:r>
      <w:r w:rsidR="00976329" w:rsidRPr="00B740B4">
        <w:rPr>
          <w:rFonts w:eastAsia="Times New Roman"/>
        </w:rPr>
        <w:t xml:space="preserve"> ranks from all over the empire, and Judahite leaders would be expected to </w:t>
      </w:r>
      <w:r w:rsidR="009955B8" w:rsidRPr="00B740B4">
        <w:rPr>
          <w:rFonts w:eastAsia="Times New Roman"/>
        </w:rPr>
        <w:t>take part</w:t>
      </w:r>
      <w:r w:rsidR="00976329" w:rsidRPr="00B740B4">
        <w:rPr>
          <w:rFonts w:eastAsia="Times New Roman"/>
        </w:rPr>
        <w:t xml:space="preserve"> among them</w:t>
      </w:r>
      <w:r w:rsidR="009955B8" w:rsidRPr="00B740B4">
        <w:rPr>
          <w:rFonts w:eastAsia="Times New Roman"/>
        </w:rPr>
        <w:t>. For most</w:t>
      </w:r>
      <w:r w:rsidR="00976329" w:rsidRPr="00B740B4">
        <w:rPr>
          <w:rFonts w:eastAsia="Times New Roman"/>
        </w:rPr>
        <w:t xml:space="preserve"> Judahites, the expectation would not apply</w:t>
      </w:r>
      <w:r w:rsidR="009955B8" w:rsidRPr="00B740B4">
        <w:rPr>
          <w:rFonts w:eastAsia="Times New Roman"/>
        </w:rPr>
        <w:t>; ordinary people did not have to</w:t>
      </w:r>
      <w:r w:rsidR="00B760C1" w:rsidRPr="00B740B4">
        <w:rPr>
          <w:rFonts w:eastAsia="Times New Roman"/>
        </w:rPr>
        <w:t xml:space="preserve"> attend</w:t>
      </w:r>
      <w:r w:rsidR="009955B8" w:rsidRPr="00B740B4">
        <w:rPr>
          <w:rFonts w:eastAsia="Times New Roman"/>
        </w:rPr>
        <w:t xml:space="preserve">. But the story presupposes contexts where some </w:t>
      </w:r>
      <w:r w:rsidR="006C16DE" w:rsidRPr="00B740B4">
        <w:rPr>
          <w:rFonts w:eastAsia="Times New Roman"/>
        </w:rPr>
        <w:t>Judahite</w:t>
      </w:r>
      <w:r w:rsidR="009955B8" w:rsidRPr="00B740B4">
        <w:rPr>
          <w:rFonts w:eastAsia="Times New Roman"/>
        </w:rPr>
        <w:t>s attain positions of responsibility in the state, and have to face the question of where lie the limits to t</w:t>
      </w:r>
      <w:r w:rsidR="00076710" w:rsidRPr="00B740B4">
        <w:rPr>
          <w:rFonts w:eastAsia="Times New Roman"/>
        </w:rPr>
        <w:t xml:space="preserve">heir accepting its expectations. </w:t>
      </w:r>
    </w:p>
    <w:p w:rsidR="009C567A" w:rsidRPr="00B740B4" w:rsidRDefault="00976329" w:rsidP="009C567A">
      <w:pPr>
        <w:rPr>
          <w:rFonts w:eastAsia="Times New Roman"/>
        </w:rPr>
      </w:pPr>
      <w:r w:rsidRPr="00B740B4">
        <w:rPr>
          <w:rFonts w:eastAsia="Times New Roman"/>
        </w:rPr>
        <w:t>Nebuchadnezzar might have reminded the Judahite leaders that t</w:t>
      </w:r>
      <w:r w:rsidR="00076710" w:rsidRPr="00B740B4">
        <w:rPr>
          <w:rFonts w:eastAsia="Times New Roman"/>
        </w:rPr>
        <w:t>here had been</w:t>
      </w:r>
      <w:r w:rsidR="009955B8" w:rsidRPr="00B740B4">
        <w:rPr>
          <w:rFonts w:eastAsia="Times New Roman"/>
        </w:rPr>
        <w:t xml:space="preserve"> contexts when bowing before</w:t>
      </w:r>
      <w:r w:rsidR="00076710" w:rsidRPr="00B740B4">
        <w:rPr>
          <w:rFonts w:eastAsia="Times New Roman"/>
        </w:rPr>
        <w:t xml:space="preserve"> foreign idols was tolerated </w:t>
      </w:r>
      <w:r w:rsidRPr="00B740B4">
        <w:rPr>
          <w:rFonts w:eastAsia="Times New Roman"/>
        </w:rPr>
        <w:t>(2 Kgs 5:18–19).</w:t>
      </w:r>
      <w:r w:rsidR="009955B8" w:rsidRPr="00B740B4">
        <w:rPr>
          <w:rFonts w:eastAsia="Times New Roman"/>
        </w:rPr>
        <w:t xml:space="preserve"> </w:t>
      </w:r>
      <w:r w:rsidR="006C16DE" w:rsidRPr="00B740B4">
        <w:rPr>
          <w:rFonts w:eastAsia="Times New Roman"/>
        </w:rPr>
        <w:t>Judahite</w:t>
      </w:r>
      <w:r w:rsidR="009955B8" w:rsidRPr="00B740B4">
        <w:rPr>
          <w:rFonts w:eastAsia="Times New Roman"/>
        </w:rPr>
        <w:t xml:space="preserve">s had not minded worshiping idols when they </w:t>
      </w:r>
      <w:r w:rsidR="00B760C1" w:rsidRPr="00B740B4">
        <w:rPr>
          <w:rFonts w:eastAsia="Times New Roman"/>
        </w:rPr>
        <w:t>were in Canaan (</w:t>
      </w:r>
      <w:r w:rsidR="006C16DE" w:rsidRPr="00B740B4">
        <w:rPr>
          <w:rFonts w:eastAsia="Times New Roman"/>
        </w:rPr>
        <w:t>there were no Judahite</w:t>
      </w:r>
      <w:r w:rsidR="00B760C1" w:rsidRPr="00B740B4">
        <w:rPr>
          <w:rFonts w:eastAsia="Times New Roman"/>
        </w:rPr>
        <w:t xml:space="preserve"> martyrs then)</w:t>
      </w:r>
      <w:r w:rsidR="009C567A" w:rsidRPr="00B740B4">
        <w:rPr>
          <w:rFonts w:eastAsia="Times New Roman"/>
        </w:rPr>
        <w:t>,</w:t>
      </w:r>
      <w:r w:rsidR="00B760C1" w:rsidRPr="00B740B4">
        <w:rPr>
          <w:rFonts w:eastAsia="Times New Roman"/>
        </w:rPr>
        <w:t xml:space="preserve"> and Moses </w:t>
      </w:r>
      <w:r w:rsidR="009955B8" w:rsidRPr="00B740B4">
        <w:rPr>
          <w:rFonts w:eastAsia="Times New Roman"/>
        </w:rPr>
        <w:t>had said they would do so in exile (Deut 4:27–28)</w:t>
      </w:r>
      <w:r w:rsidR="00B760C1" w:rsidRPr="00B740B4">
        <w:rPr>
          <w:rFonts w:eastAsia="Times New Roman"/>
        </w:rPr>
        <w:t>.</w:t>
      </w:r>
      <w:r w:rsidR="00B760C1" w:rsidRPr="00B740B4">
        <w:rPr>
          <w:rStyle w:val="FootnoteReference"/>
          <w:rFonts w:eastAsia="Times New Roman"/>
        </w:rPr>
        <w:footnoteReference w:id="661"/>
      </w:r>
      <w:r w:rsidR="009955B8" w:rsidRPr="00B740B4">
        <w:rPr>
          <w:rFonts w:eastAsia="Times New Roman"/>
        </w:rPr>
        <w:t xml:space="preserve"> </w:t>
      </w:r>
      <w:r w:rsidRPr="00B740B4">
        <w:rPr>
          <w:rFonts w:eastAsia="Times New Roman"/>
        </w:rPr>
        <w:t>So it might not be obvious that they</w:t>
      </w:r>
      <w:r w:rsidR="007E70D9" w:rsidRPr="00B740B4">
        <w:rPr>
          <w:rFonts w:eastAsia="Times New Roman"/>
        </w:rPr>
        <w:t xml:space="preserve"> had to draw the line where they did, as was the case </w:t>
      </w:r>
      <w:r w:rsidRPr="00B740B4">
        <w:rPr>
          <w:rFonts w:eastAsia="Times New Roman"/>
        </w:rPr>
        <w:t xml:space="preserve">over where to draw the line </w:t>
      </w:r>
      <w:r w:rsidR="007E70D9" w:rsidRPr="00B740B4">
        <w:rPr>
          <w:rFonts w:eastAsia="Times New Roman"/>
        </w:rPr>
        <w:t xml:space="preserve">in chap. 1; and there is no indication that they made a point of publicly displaying their non-cooperation. </w:t>
      </w:r>
      <w:r w:rsidR="009955B8" w:rsidRPr="00B740B4">
        <w:rPr>
          <w:rFonts w:eastAsia="Times New Roman"/>
        </w:rPr>
        <w:t xml:space="preserve">Yet the story </w:t>
      </w:r>
      <w:r w:rsidRPr="00B740B4">
        <w:rPr>
          <w:rFonts w:eastAsia="Times New Roman"/>
        </w:rPr>
        <w:t>assumes</w:t>
      </w:r>
      <w:r w:rsidR="009955B8" w:rsidRPr="00B740B4">
        <w:rPr>
          <w:rFonts w:eastAsia="Times New Roman"/>
        </w:rPr>
        <w:t xml:space="preserve"> that </w:t>
      </w:r>
      <w:r w:rsidRPr="00B740B4">
        <w:rPr>
          <w:rFonts w:eastAsia="Times New Roman"/>
        </w:rPr>
        <w:t xml:space="preserve">they had no difficulty </w:t>
      </w:r>
      <w:r w:rsidR="009955B8" w:rsidRPr="00B740B4">
        <w:rPr>
          <w:rFonts w:eastAsia="Times New Roman"/>
        </w:rPr>
        <w:t>perceiving that they could not take part. It does not even directly state the fact.</w:t>
      </w:r>
      <w:r w:rsidR="009C567A" w:rsidRPr="00B740B4">
        <w:rPr>
          <w:rFonts w:eastAsia="Times New Roman"/>
        </w:rPr>
        <w:t xml:space="preserve"> </w:t>
      </w:r>
      <w:r w:rsidR="002963D2">
        <w:rPr>
          <w:rFonts w:eastAsia="Times New Roman"/>
        </w:rPr>
        <w:t>After all, t</w:t>
      </w:r>
      <w:r w:rsidRPr="00B740B4">
        <w:rPr>
          <w:rFonts w:eastAsia="Times New Roman"/>
        </w:rPr>
        <w:t>he prostration required is just like that offered to Yahweh (e.g., Pss 95; 100).</w:t>
      </w:r>
      <w:r w:rsidRPr="00B740B4">
        <w:rPr>
          <w:rFonts w:eastAsia="Times New Roman"/>
          <w:vertAlign w:val="superscript"/>
        </w:rPr>
        <w:footnoteReference w:id="662"/>
      </w:r>
      <w:r w:rsidRPr="00B740B4">
        <w:rPr>
          <w:rFonts w:eastAsia="Times New Roman"/>
        </w:rPr>
        <w:t xml:space="preserve"> Paul will later tell the faithful in Rome to be subject to the governing authorities (Rom 13:1) but John will imply that faithfulness will refuse to bow down to an image set up by a beast even though it is given authority (Rev 13).</w:t>
      </w:r>
      <w:r w:rsidRPr="00B740B4">
        <w:rPr>
          <w:rStyle w:val="FootnoteReference"/>
          <w:rFonts w:eastAsia="Times New Roman"/>
        </w:rPr>
        <w:footnoteReference w:id="663"/>
      </w:r>
      <w:r w:rsidRPr="00B740B4">
        <w:rPr>
          <w:rFonts w:eastAsia="Times New Roman"/>
        </w:rPr>
        <w:t xml:space="preserve"> Perhaps the Judahites </w:t>
      </w:r>
      <w:r w:rsidR="007E70D9" w:rsidRPr="00B740B4">
        <w:rPr>
          <w:rFonts w:eastAsia="Times New Roman"/>
        </w:rPr>
        <w:t>face a choice between offering loyalty and honor to the king as their patron or to their God as their patron. You can’t be loyal to and honor two patrons.</w:t>
      </w:r>
      <w:r w:rsidR="007E70D9" w:rsidRPr="00B740B4">
        <w:rPr>
          <w:rFonts w:eastAsia="Times New Roman"/>
          <w:vertAlign w:val="superscript"/>
        </w:rPr>
        <w:footnoteReference w:id="664"/>
      </w:r>
      <w:r w:rsidR="007E70D9" w:rsidRPr="00B740B4">
        <w:rPr>
          <w:rFonts w:eastAsia="Times New Roman"/>
        </w:rPr>
        <w:t xml:space="preserve"> </w:t>
      </w:r>
    </w:p>
    <w:p w:rsidR="00976329" w:rsidRPr="00B740B4" w:rsidRDefault="009955B8" w:rsidP="009955B8">
      <w:pPr>
        <w:rPr>
          <w:rFonts w:eastAsia="Times New Roman"/>
        </w:rPr>
      </w:pPr>
      <w:r w:rsidRPr="00B740B4">
        <w:rPr>
          <w:rFonts w:eastAsia="Times New Roman"/>
          <w:b/>
        </w:rPr>
        <w:t>8–12</w:t>
      </w:r>
      <w:r w:rsidR="00976329" w:rsidRPr="00B740B4">
        <w:rPr>
          <w:rFonts w:eastAsia="Times New Roman"/>
        </w:rPr>
        <w:t xml:space="preserve"> </w:t>
      </w:r>
      <w:r w:rsidR="007E70D9" w:rsidRPr="00B740B4">
        <w:rPr>
          <w:rFonts w:eastAsia="Times New Roman"/>
        </w:rPr>
        <w:t>Some Kasdites</w:t>
      </w:r>
      <w:r w:rsidRPr="00B740B4">
        <w:rPr>
          <w:rFonts w:eastAsia="Times New Roman"/>
        </w:rPr>
        <w:t xml:space="preserve"> draw the king’s attention to the </w:t>
      </w:r>
      <w:r w:rsidR="006C16DE" w:rsidRPr="00B740B4">
        <w:rPr>
          <w:rFonts w:eastAsia="Times New Roman"/>
        </w:rPr>
        <w:t>Judahite</w:t>
      </w:r>
      <w:r w:rsidRPr="00B740B4">
        <w:rPr>
          <w:rFonts w:eastAsia="Times New Roman"/>
        </w:rPr>
        <w:t>s’ indifference to his favor, their flouting of his word, their rejection of his gods, an</w:t>
      </w:r>
      <w:r w:rsidR="00B760C1" w:rsidRPr="00B740B4">
        <w:rPr>
          <w:rFonts w:eastAsia="Times New Roman"/>
        </w:rPr>
        <w:t>d their disregard for his statu</w:t>
      </w:r>
      <w:r w:rsidRPr="00B740B4">
        <w:rPr>
          <w:rFonts w:eastAsia="Times New Roman"/>
        </w:rPr>
        <w:t xml:space="preserve">e. </w:t>
      </w:r>
      <w:r w:rsidR="004760A3" w:rsidRPr="00B740B4">
        <w:rPr>
          <w:rFonts w:eastAsia="Times New Roman"/>
        </w:rPr>
        <w:t>Perhaps behind their action is another dispersion experience, the jealousy of members of the host nation at Judahite success.</w:t>
      </w:r>
    </w:p>
    <w:p w:rsidR="004760A3" w:rsidRPr="00B740B4" w:rsidRDefault="00B760C1" w:rsidP="00CD264D">
      <w:pPr>
        <w:rPr>
          <w:rFonts w:eastAsia="Times New Roman"/>
        </w:rPr>
      </w:pPr>
      <w:r w:rsidRPr="00B740B4">
        <w:rPr>
          <w:rFonts w:eastAsia="Times New Roman"/>
        </w:rPr>
        <w:t>The Kasdite</w:t>
      </w:r>
      <w:r w:rsidR="002963D2">
        <w:rPr>
          <w:rFonts w:eastAsia="Times New Roman"/>
        </w:rPr>
        <w:t>s’ attack and Nebuchadnezzar’s reaction suggest</w:t>
      </w:r>
      <w:r w:rsidR="009955B8" w:rsidRPr="00B740B4">
        <w:rPr>
          <w:rFonts w:eastAsia="Times New Roman"/>
        </w:rPr>
        <w:t xml:space="preserve"> that they saw the </w:t>
      </w:r>
      <w:r w:rsidR="006C16DE" w:rsidRPr="00B740B4">
        <w:rPr>
          <w:rFonts w:eastAsia="Times New Roman"/>
        </w:rPr>
        <w:t>Judahite</w:t>
      </w:r>
      <w:r w:rsidR="009955B8" w:rsidRPr="00B740B4">
        <w:rPr>
          <w:rFonts w:eastAsia="Times New Roman"/>
        </w:rPr>
        <w:t xml:space="preserve">s’ stance as involving both disloyalty (as if it were the king’s statue) and impiety (as if it were a god’s). </w:t>
      </w:r>
      <w:r w:rsidR="002963D2" w:rsidRPr="002963D2">
        <w:rPr>
          <w:rFonts w:eastAsia="Times New Roman"/>
        </w:rPr>
        <w:t xml:space="preserve">From Nebuchadnezzar’s angle, the Kasdites suggest, the problem with the Judahites action is that it ignores “your” gods and the statue that “you” have set up (v 12; cf. v 18). </w:t>
      </w:r>
      <w:r w:rsidR="009955B8" w:rsidRPr="00B740B4">
        <w:rPr>
          <w:rFonts w:eastAsia="Times New Roman"/>
        </w:rPr>
        <w:t xml:space="preserve">Whatever the </w:t>
      </w:r>
      <w:r w:rsidR="002963D2">
        <w:rPr>
          <w:rFonts w:eastAsia="Times New Roman"/>
        </w:rPr>
        <w:t>statue’s nature</w:t>
      </w:r>
      <w:r w:rsidR="009955B8" w:rsidRPr="00B740B4">
        <w:rPr>
          <w:rFonts w:eastAsia="Times New Roman"/>
        </w:rPr>
        <w:t xml:space="preserve">, it held religion and state together. The institution that claims absolute authority is inclined also to claim the sanctions of religion. </w:t>
      </w:r>
      <w:r w:rsidR="00CD264D" w:rsidRPr="00B740B4">
        <w:rPr>
          <w:rFonts w:eastAsia="Times New Roman"/>
        </w:rPr>
        <w:t>“Nebuchadnezzar’s statue stands for political and economic power” while the Judahites are characterized by “political ‘atheism’… in their refusal to bow to the symbols of Babylonian power.”</w:t>
      </w:r>
      <w:r w:rsidR="00CD264D" w:rsidRPr="00B740B4">
        <w:rPr>
          <w:rFonts w:eastAsia="Times New Roman"/>
          <w:vertAlign w:val="superscript"/>
        </w:rPr>
        <w:footnoteReference w:id="665"/>
      </w:r>
      <w:r w:rsidR="00CD264D" w:rsidRPr="00B740B4">
        <w:rPr>
          <w:rFonts w:eastAsia="Times New Roman"/>
        </w:rPr>
        <w:t xml:space="preserve"> </w:t>
      </w:r>
    </w:p>
    <w:p w:rsidR="00CD264D" w:rsidRPr="00B740B4" w:rsidRDefault="009955B8" w:rsidP="00CD264D">
      <w:pPr>
        <w:rPr>
          <w:rFonts w:eastAsia="Times New Roman"/>
        </w:rPr>
      </w:pPr>
      <w:r w:rsidRPr="00B740B4">
        <w:rPr>
          <w:rFonts w:eastAsia="Times New Roman"/>
        </w:rPr>
        <w:t>Empires can have feet of clay and can fall apart, so it is as well to use all means to rein</w:t>
      </w:r>
      <w:r w:rsidR="00B760C1" w:rsidRPr="00B740B4">
        <w:rPr>
          <w:rFonts w:eastAsia="Times New Roman"/>
        </w:rPr>
        <w:t>force their strength and unity</w:t>
      </w:r>
      <w:r w:rsidRPr="00B740B4">
        <w:rPr>
          <w:rFonts w:eastAsia="Times New Roman"/>
        </w:rPr>
        <w:t>.</w:t>
      </w:r>
      <w:r w:rsidR="00B760C1" w:rsidRPr="00B740B4">
        <w:rPr>
          <w:rStyle w:val="FootnoteReference"/>
          <w:rFonts w:eastAsia="Times New Roman"/>
        </w:rPr>
        <w:footnoteReference w:id="666"/>
      </w:r>
      <w:r w:rsidRPr="00B740B4">
        <w:rPr>
          <w:rFonts w:eastAsia="Times New Roman"/>
        </w:rPr>
        <w:t xml:space="preserve"> God is acknowledged not because he is God, but because this </w:t>
      </w:r>
      <w:r w:rsidR="00CD264D" w:rsidRPr="00B740B4">
        <w:rPr>
          <w:rFonts w:eastAsia="Times New Roman"/>
        </w:rPr>
        <w:t xml:space="preserve">acknowledgment </w:t>
      </w:r>
      <w:r w:rsidRPr="00B740B4">
        <w:rPr>
          <w:rFonts w:eastAsia="Times New Roman"/>
        </w:rPr>
        <w:t xml:space="preserve">helps to undergird the state. Herr Baldur von Schirach declared in 1936, “One cannot be a good German and at the same time deny God, but an arousal of faith in the eternal German is at the same time an arousal of faith in the eternal God. If we act as true Germans we act according to the laws of God. </w:t>
      </w:r>
      <w:r w:rsidRPr="00B740B4">
        <w:rPr>
          <w:rFonts w:eastAsia="Times New Roman"/>
        </w:rPr>
        <w:lastRenderedPageBreak/>
        <w:t>Whoever serves Adolf Hitler, the Führer, serves Germany, and whoever serves Germany serves God.</w:t>
      </w:r>
      <w:r w:rsidR="00F46710" w:rsidRPr="00B740B4">
        <w:rPr>
          <w:rFonts w:eastAsia="Times New Roman"/>
        </w:rPr>
        <w:t>”</w:t>
      </w:r>
      <w:r w:rsidR="00F46710" w:rsidRPr="00B740B4">
        <w:rPr>
          <w:rStyle w:val="FootnoteReference"/>
          <w:rFonts w:eastAsia="Times New Roman"/>
        </w:rPr>
        <w:footnoteReference w:id="667"/>
      </w:r>
      <w:r w:rsidR="00F46710" w:rsidRPr="00B740B4">
        <w:rPr>
          <w:rFonts w:eastAsia="Times New Roman"/>
        </w:rPr>
        <w:t xml:space="preserve"> Five years later in an essay on</w:t>
      </w:r>
      <w:r w:rsidRPr="00B740B4">
        <w:rPr>
          <w:rFonts w:eastAsia="Times New Roman"/>
        </w:rPr>
        <w:t xml:space="preserve"> “The Gods of the Nations and God,” Martin Buber observed how every nation is inclined to make an idol of its own inner spirit; Israel’s calling was to erect a throne to God rather than to itself, and “that is why every nation is bound to desire to get rid of us at the time it is in the act of setting itself up as the absolute</w:t>
      </w:r>
      <w:r w:rsidR="00F46710" w:rsidRPr="00B740B4">
        <w:rPr>
          <w:rFonts w:eastAsia="Times New Roman"/>
        </w:rPr>
        <w:t>.</w:t>
      </w:r>
      <w:r w:rsidRPr="00B740B4">
        <w:rPr>
          <w:rFonts w:eastAsia="Times New Roman"/>
        </w:rPr>
        <w:t>”</w:t>
      </w:r>
      <w:r w:rsidR="00F46710" w:rsidRPr="00B740B4">
        <w:rPr>
          <w:rStyle w:val="FootnoteReference"/>
          <w:rFonts w:eastAsia="Times New Roman"/>
        </w:rPr>
        <w:footnoteReference w:id="668"/>
      </w:r>
      <w:r w:rsidRPr="00B740B4">
        <w:rPr>
          <w:rFonts w:eastAsia="Times New Roman"/>
        </w:rPr>
        <w:t xml:space="preserve"> The reality of the </w:t>
      </w:r>
      <w:r w:rsidR="00386088">
        <w:rPr>
          <w:rFonts w:eastAsia="Times New Roman"/>
        </w:rPr>
        <w:t xml:space="preserve">actual </w:t>
      </w:r>
      <w:r w:rsidRPr="00B740B4">
        <w:rPr>
          <w:rFonts w:eastAsia="Times New Roman"/>
        </w:rPr>
        <w:t>holocaust that followed prevents us from regarding chapters such as Dan 3 as children’s stories</w:t>
      </w:r>
      <w:r w:rsidR="003F0322" w:rsidRPr="00B740B4">
        <w:rPr>
          <w:rFonts w:eastAsia="Times New Roman"/>
        </w:rPr>
        <w:t>.</w:t>
      </w:r>
      <w:r w:rsidR="00CD264D" w:rsidRPr="00B740B4">
        <w:rPr>
          <w:rFonts w:eastAsia="Times New Roman"/>
        </w:rPr>
        <w:t xml:space="preserve"> And whereas readers in the United States and the United Kingdom are inclined to i</w:t>
      </w:r>
      <w:r w:rsidR="004760A3" w:rsidRPr="00B740B4">
        <w:rPr>
          <w:rFonts w:eastAsia="Times New Roman"/>
        </w:rPr>
        <w:t xml:space="preserve">dentify with the three men, </w:t>
      </w:r>
      <w:r w:rsidR="00CD264D" w:rsidRPr="00B740B4">
        <w:rPr>
          <w:rFonts w:eastAsia="Times New Roman"/>
        </w:rPr>
        <w:t>it is at least important for us to identify with Nebuchadnezzar.</w:t>
      </w:r>
    </w:p>
    <w:p w:rsidR="009955B8" w:rsidRPr="00B740B4" w:rsidRDefault="009955B8" w:rsidP="009955B8">
      <w:pPr>
        <w:rPr>
          <w:rFonts w:eastAsia="Times New Roman"/>
        </w:rPr>
      </w:pPr>
      <w:r w:rsidRPr="00B740B4">
        <w:rPr>
          <w:rFonts w:eastAsia="Times New Roman"/>
          <w:b/>
        </w:rPr>
        <w:t>13–18</w:t>
      </w:r>
      <w:r w:rsidRPr="00B740B4">
        <w:rPr>
          <w:rFonts w:eastAsia="Times New Roman"/>
        </w:rPr>
        <w:t xml:space="preserve"> Nebuchadnezzar’s reaction of rage parallels the fury he</w:t>
      </w:r>
      <w:r w:rsidR="00F20491" w:rsidRPr="00B740B4">
        <w:rPr>
          <w:rFonts w:eastAsia="Times New Roman"/>
        </w:rPr>
        <w:t xml:space="preserve"> expressed to the Kasdites</w:t>
      </w:r>
      <w:r w:rsidRPr="00B740B4">
        <w:rPr>
          <w:rFonts w:eastAsia="Times New Roman"/>
        </w:rPr>
        <w:t xml:space="preserve"> in 2:12. There is no carry-over from the recognition reached in 2:46–49. </w:t>
      </w:r>
      <w:r w:rsidR="009D7C64" w:rsidRPr="00B740B4">
        <w:rPr>
          <w:rFonts w:eastAsia="Times New Roman"/>
        </w:rPr>
        <w:t>The king has become “a persecuting tyrant.”</w:t>
      </w:r>
      <w:r w:rsidR="009D7C64" w:rsidRPr="00B740B4">
        <w:rPr>
          <w:rFonts w:eastAsia="Times New Roman"/>
          <w:vertAlign w:val="superscript"/>
        </w:rPr>
        <w:footnoteReference w:id="669"/>
      </w:r>
      <w:r w:rsidR="009D7C64" w:rsidRPr="00B740B4">
        <w:rPr>
          <w:rFonts w:eastAsia="Times New Roman"/>
        </w:rPr>
        <w:t xml:space="preserve"> </w:t>
      </w:r>
      <w:r w:rsidRPr="00B740B4">
        <w:rPr>
          <w:rFonts w:eastAsia="Times New Roman"/>
        </w:rPr>
        <w:t>The personal nature of his reaction suggests that the statue embo</w:t>
      </w:r>
      <w:r w:rsidR="00F20491" w:rsidRPr="00B740B4">
        <w:rPr>
          <w:rFonts w:eastAsia="Times New Roman"/>
        </w:rPr>
        <w:t xml:space="preserve">dies not only a religious and </w:t>
      </w:r>
      <w:r w:rsidRPr="00B740B4">
        <w:rPr>
          <w:rFonts w:eastAsia="Times New Roman"/>
        </w:rPr>
        <w:t xml:space="preserve">national commitment but a personal one. Nebuchadnezzar’s own standing was tied up with the statue. He is offended at the affront, not just at their blasphemy or </w:t>
      </w:r>
      <w:r w:rsidR="00F20491" w:rsidRPr="00B740B4">
        <w:rPr>
          <w:rFonts w:eastAsia="Times New Roman"/>
        </w:rPr>
        <w:t xml:space="preserve">at </w:t>
      </w:r>
      <w:r w:rsidRPr="00B740B4">
        <w:rPr>
          <w:rFonts w:eastAsia="Times New Roman"/>
        </w:rPr>
        <w:t>their rebellion. His expectation is, “You shall</w:t>
      </w:r>
      <w:r w:rsidR="00F20491" w:rsidRPr="00B740B4">
        <w:rPr>
          <w:rFonts w:eastAsia="Times New Roman"/>
        </w:rPr>
        <w:t xml:space="preserve"> have no other god but me</w:t>
      </w:r>
      <w:r w:rsidRPr="00B740B4">
        <w:rPr>
          <w:rFonts w:eastAsia="Times New Roman"/>
        </w:rPr>
        <w:t>.</w:t>
      </w:r>
      <w:r w:rsidR="00F20491" w:rsidRPr="00B740B4">
        <w:rPr>
          <w:rFonts w:eastAsia="Times New Roman"/>
        </w:rPr>
        <w:t>”</w:t>
      </w:r>
      <w:r w:rsidR="00F20491" w:rsidRPr="00B740B4">
        <w:rPr>
          <w:rStyle w:val="FootnoteReference"/>
          <w:rFonts w:eastAsia="Times New Roman"/>
        </w:rPr>
        <w:footnoteReference w:id="670"/>
      </w:r>
      <w:r w:rsidRPr="00B740B4">
        <w:rPr>
          <w:rFonts w:eastAsia="Times New Roman"/>
        </w:rPr>
        <w:t xml:space="preserve"> The point becomes explicit when he asks rhetorically whether any </w:t>
      </w:r>
      <w:r w:rsidRPr="00B740B4">
        <w:rPr>
          <w:rFonts w:eastAsia="Times New Roman"/>
          <w:i/>
        </w:rPr>
        <w:t>god</w:t>
      </w:r>
      <w:r w:rsidRPr="00B740B4">
        <w:rPr>
          <w:rFonts w:eastAsia="Times New Roman"/>
        </w:rPr>
        <w:t xml:space="preserve"> could rescue the confessors from </w:t>
      </w:r>
      <w:r w:rsidRPr="00B740B4">
        <w:rPr>
          <w:rFonts w:eastAsia="Times New Roman"/>
          <w:i/>
        </w:rPr>
        <w:t>his</w:t>
      </w:r>
      <w:r w:rsidRPr="00B740B4">
        <w:rPr>
          <w:rFonts w:eastAsia="Times New Roman"/>
        </w:rPr>
        <w:t xml:space="preserve"> power. The challenge recalls those of Sennacherib’s field-commander in 2 Kgs 18:33–35; 19:10–13.</w:t>
      </w:r>
      <w:r w:rsidR="00634771" w:rsidRPr="00B740B4">
        <w:rPr>
          <w:rStyle w:val="FootnoteReference"/>
          <w:rFonts w:eastAsia="Times New Roman"/>
        </w:rPr>
        <w:footnoteReference w:id="671"/>
      </w:r>
      <w:r w:rsidR="009D7C64" w:rsidRPr="00B740B4">
        <w:rPr>
          <w:rFonts w:eastAsia="Times New Roman"/>
        </w:rPr>
        <w:t xml:space="preserve"> Here as there and </w:t>
      </w:r>
      <w:r w:rsidRPr="00B740B4">
        <w:rPr>
          <w:rFonts w:eastAsia="Times New Roman"/>
        </w:rPr>
        <w:t>as in the story of the se</w:t>
      </w:r>
      <w:r w:rsidR="009D7C64" w:rsidRPr="00B740B4">
        <w:rPr>
          <w:rFonts w:eastAsia="Times New Roman"/>
        </w:rPr>
        <w:t>ven martyrs in 2 Macc 7</w:t>
      </w:r>
      <w:r w:rsidRPr="00B740B4">
        <w:rPr>
          <w:rFonts w:eastAsia="Times New Roman"/>
        </w:rPr>
        <w:t>, such expressions of human confidence and skepticism unwittingly function chiefly to provide opportunity for giving testimony in word or event to the reality and power of the God who is slighted.</w:t>
      </w:r>
    </w:p>
    <w:p w:rsidR="000413D2" w:rsidRPr="00B740B4" w:rsidRDefault="000413D2" w:rsidP="009955B8">
      <w:pPr>
        <w:rPr>
          <w:rFonts w:eastAsia="Times New Roman"/>
        </w:rPr>
      </w:pPr>
      <w:r w:rsidRPr="00B740B4">
        <w:rPr>
          <w:rFonts w:eastAsia="Times New Roman"/>
        </w:rPr>
        <w:t>The behavior and words of the three men stand in stark contrast to the “comic and absurd mechanistic behavior” of the officials.</w:t>
      </w:r>
      <w:r w:rsidRPr="00B740B4">
        <w:rPr>
          <w:rStyle w:val="FootnoteReference"/>
          <w:rFonts w:eastAsia="Times New Roman"/>
        </w:rPr>
        <w:footnoteReference w:id="672"/>
      </w:r>
      <w:r w:rsidR="00D67AB6" w:rsidRPr="00B740B4">
        <w:rPr>
          <w:rFonts w:eastAsia="Times New Roman"/>
        </w:rPr>
        <w:t xml:space="preserve"> They speak straight and succinctly without the repetitions that characterize everyone else.</w:t>
      </w:r>
      <w:r w:rsidR="00D67AB6" w:rsidRPr="00B740B4">
        <w:rPr>
          <w:rStyle w:val="FootnoteReference"/>
          <w:rFonts w:eastAsia="Times New Roman"/>
        </w:rPr>
        <w:footnoteReference w:id="673"/>
      </w:r>
      <w:r w:rsidR="00316A41" w:rsidRPr="00B740B4">
        <w:rPr>
          <w:rFonts w:eastAsia="Times New Roman"/>
        </w:rPr>
        <w:t xml:space="preserve"> “The miracle of the confessing Church stands</w:t>
      </w:r>
      <w:r w:rsidR="00125695" w:rsidRPr="00B740B4">
        <w:rPr>
          <w:rFonts w:eastAsia="Times New Roman"/>
        </w:rPr>
        <w:t xml:space="preserve"> before Nebuchadnezzar in absolute sovereign power,</w:t>
      </w:r>
      <w:r w:rsidR="00316A41" w:rsidRPr="00B740B4">
        <w:rPr>
          <w:rFonts w:eastAsia="Times New Roman"/>
        </w:rPr>
        <w:t>”</w:t>
      </w:r>
      <w:r w:rsidR="00125695" w:rsidRPr="00B740B4">
        <w:rPr>
          <w:rFonts w:eastAsia="Times New Roman"/>
        </w:rPr>
        <w:t xml:space="preserve"> in a way comparable with the stance</w:t>
      </w:r>
      <w:r w:rsidR="009D7C64" w:rsidRPr="00B740B4">
        <w:rPr>
          <w:rFonts w:eastAsia="Times New Roman"/>
        </w:rPr>
        <w:t>s</w:t>
      </w:r>
      <w:r w:rsidR="00125695" w:rsidRPr="00B740B4">
        <w:rPr>
          <w:rFonts w:eastAsia="Times New Roman"/>
        </w:rPr>
        <w:t xml:space="preserve"> of </w:t>
      </w:r>
      <w:r w:rsidR="00E45228">
        <w:rPr>
          <w:rFonts w:eastAsia="Times New Roman"/>
        </w:rPr>
        <w:t>Jesus’</w:t>
      </w:r>
      <w:r w:rsidR="00125695" w:rsidRPr="00B740B4">
        <w:rPr>
          <w:rFonts w:eastAsia="Times New Roman"/>
        </w:rPr>
        <w:t xml:space="preserve"> declaration before Pilate, of the apostles before the Sanhedrin, and of Paul before felix and Agrippa (Matt 27:11-14; Acts 5:20; 24—26).</w:t>
      </w:r>
      <w:r w:rsidR="00316A41" w:rsidRPr="00B740B4">
        <w:rPr>
          <w:rFonts w:eastAsia="Times New Roman"/>
          <w:vertAlign w:val="superscript"/>
        </w:rPr>
        <w:footnoteReference w:id="674"/>
      </w:r>
      <w:r w:rsidR="00125695" w:rsidRPr="00B740B4">
        <w:rPr>
          <w:rFonts w:eastAsia="Times New Roman"/>
        </w:rPr>
        <w:t xml:space="preserve"> </w:t>
      </w:r>
    </w:p>
    <w:p w:rsidR="009D7C64" w:rsidRPr="00B740B4" w:rsidRDefault="009955B8" w:rsidP="009955B8">
      <w:pPr>
        <w:rPr>
          <w:rFonts w:eastAsia="Times New Roman"/>
        </w:rPr>
      </w:pPr>
      <w:r w:rsidRPr="00B740B4">
        <w:rPr>
          <w:rFonts w:eastAsia="Times New Roman"/>
        </w:rPr>
        <w:t>There can be various reasons for refusing to reply to attacks and accusations (Ps 38:</w:t>
      </w:r>
      <w:r w:rsidR="00F20491" w:rsidRPr="00B740B4">
        <w:rPr>
          <w:rFonts w:eastAsia="Times New Roman"/>
        </w:rPr>
        <w:t>13-16 [14–17</w:t>
      </w:r>
      <w:r w:rsidR="009D7C64" w:rsidRPr="00B740B4">
        <w:rPr>
          <w:rFonts w:eastAsia="Times New Roman"/>
        </w:rPr>
        <w:t>]; Isa 53:7; Mk 14:60–61; 15:4–5; Lk</w:t>
      </w:r>
      <w:r w:rsidRPr="00B740B4">
        <w:rPr>
          <w:rFonts w:eastAsia="Times New Roman"/>
        </w:rPr>
        <w:t xml:space="preserve"> 23:9; 1 Pet 2:22–23). The confessors do so in order to leave events to testify to the sole worth-ship of their God, though they allow themselves two remarks that </w:t>
      </w:r>
      <w:r w:rsidR="009D7C64" w:rsidRPr="00B740B4">
        <w:rPr>
          <w:rFonts w:eastAsia="Times New Roman"/>
        </w:rPr>
        <w:t>need to be made before the implementing of the king’s threat</w:t>
      </w:r>
      <w:r w:rsidRPr="00B740B4">
        <w:rPr>
          <w:rFonts w:eastAsia="Times New Roman"/>
        </w:rPr>
        <w:t xml:space="preserve">. </w:t>
      </w:r>
    </w:p>
    <w:p w:rsidR="009955B8" w:rsidRPr="00B740B4" w:rsidRDefault="009955B8" w:rsidP="009955B8">
      <w:pPr>
        <w:rPr>
          <w:rFonts w:eastAsia="Times New Roman"/>
        </w:rPr>
      </w:pPr>
      <w:r w:rsidRPr="00B740B4">
        <w:rPr>
          <w:rFonts w:eastAsia="Times New Roman"/>
        </w:rPr>
        <w:t xml:space="preserve">The first </w:t>
      </w:r>
      <w:r w:rsidR="009D7C64" w:rsidRPr="00B740B4">
        <w:rPr>
          <w:rFonts w:eastAsia="Times New Roman"/>
        </w:rPr>
        <w:t xml:space="preserve">remark </w:t>
      </w:r>
      <w:r w:rsidRPr="00B740B4">
        <w:rPr>
          <w:rFonts w:eastAsia="Times New Roman"/>
        </w:rPr>
        <w:t>is their expression of conviction regarding what God is going to do (v 17). The confessors know a God who makes Nebuchadnezzar’s gol</w:t>
      </w:r>
      <w:r w:rsidR="00F20491" w:rsidRPr="00B740B4">
        <w:rPr>
          <w:rFonts w:eastAsia="Times New Roman"/>
        </w:rPr>
        <w:t>dplated statue look tawdry</w:t>
      </w:r>
      <w:r w:rsidRPr="00B740B4">
        <w:rPr>
          <w:rFonts w:eastAsia="Times New Roman"/>
        </w:rPr>
        <w:t>.</w:t>
      </w:r>
      <w:r w:rsidR="00F20491" w:rsidRPr="00B740B4">
        <w:rPr>
          <w:rStyle w:val="FootnoteReference"/>
          <w:rFonts w:eastAsia="Times New Roman"/>
        </w:rPr>
        <w:footnoteReference w:id="675"/>
      </w:r>
      <w:r w:rsidRPr="00B740B4">
        <w:rPr>
          <w:rFonts w:eastAsia="Times New Roman"/>
        </w:rPr>
        <w:t xml:space="preserve"> Formally, the existence of their God is expressed hypothetically; but neither they nor the</w:t>
      </w:r>
      <w:r w:rsidR="00F20491" w:rsidRPr="00B740B4">
        <w:rPr>
          <w:rFonts w:eastAsia="Times New Roman"/>
        </w:rPr>
        <w:t>ir</w:t>
      </w:r>
      <w:r w:rsidRPr="00B740B4">
        <w:rPr>
          <w:rFonts w:eastAsia="Times New Roman"/>
        </w:rPr>
        <w:t xml:space="preserve"> reader</w:t>
      </w:r>
      <w:r w:rsidR="00F20491" w:rsidRPr="00B740B4">
        <w:rPr>
          <w:rFonts w:eastAsia="Times New Roman"/>
        </w:rPr>
        <w:t xml:space="preserve">s </w:t>
      </w:r>
      <w:r w:rsidRPr="00B740B4">
        <w:rPr>
          <w:rFonts w:eastAsia="Times New Roman"/>
        </w:rPr>
        <w:t>rega</w:t>
      </w:r>
      <w:r w:rsidR="009D7C64" w:rsidRPr="00B740B4">
        <w:rPr>
          <w:rFonts w:eastAsia="Times New Roman"/>
        </w:rPr>
        <w:t>rd his existence as uncertain. And g</w:t>
      </w:r>
      <w:r w:rsidRPr="00B740B4">
        <w:rPr>
          <w:rFonts w:eastAsia="Times New Roman"/>
        </w:rPr>
        <w:t>iven that he exists, he is able to re</w:t>
      </w:r>
      <w:r w:rsidR="009D7C64" w:rsidRPr="00B740B4">
        <w:rPr>
          <w:rFonts w:eastAsia="Times New Roman"/>
        </w:rPr>
        <w:t>scue; that follows logically. A</w:t>
      </w:r>
      <w:r w:rsidRPr="00B740B4">
        <w:rPr>
          <w:rFonts w:eastAsia="Times New Roman"/>
        </w:rPr>
        <w:t xml:space="preserve">nd he </w:t>
      </w:r>
      <w:r w:rsidRPr="00B740B4">
        <w:rPr>
          <w:rFonts w:eastAsia="Times New Roman"/>
          <w:i/>
        </w:rPr>
        <w:t>will</w:t>
      </w:r>
      <w:r w:rsidR="009D7C64" w:rsidRPr="00B740B4">
        <w:rPr>
          <w:rFonts w:eastAsia="Times New Roman"/>
        </w:rPr>
        <w:t xml:space="preserve"> rescue; </w:t>
      </w:r>
      <w:r w:rsidRPr="00B740B4">
        <w:rPr>
          <w:rFonts w:eastAsia="Times New Roman"/>
        </w:rPr>
        <w:t>that is a bold, unevidenced wager parall</w:t>
      </w:r>
      <w:r w:rsidR="009D7C64" w:rsidRPr="00B740B4">
        <w:rPr>
          <w:rFonts w:eastAsia="Times New Roman"/>
        </w:rPr>
        <w:t>el to those of 1:12–13; 2:14–16. This expectation is</w:t>
      </w:r>
      <w:r w:rsidRPr="00B740B4">
        <w:rPr>
          <w:rFonts w:eastAsia="Times New Roman"/>
        </w:rPr>
        <w:t xml:space="preserve"> expr</w:t>
      </w:r>
      <w:r w:rsidR="009D7C64" w:rsidRPr="00B740B4">
        <w:rPr>
          <w:rFonts w:eastAsia="Times New Roman"/>
        </w:rPr>
        <w:t>essed before the event, like a</w:t>
      </w:r>
      <w:r w:rsidRPr="00B740B4">
        <w:rPr>
          <w:rFonts w:eastAsia="Times New Roman"/>
        </w:rPr>
        <w:t xml:space="preserve"> prophecy, so that the event can be seen to be the vindication of it, of those who express it, and of the one in whom they hope.</w:t>
      </w:r>
    </w:p>
    <w:p w:rsidR="00B35F95" w:rsidRPr="00B740B4" w:rsidRDefault="00386088" w:rsidP="009955B8">
      <w:pPr>
        <w:rPr>
          <w:rFonts w:eastAsia="Times New Roman"/>
        </w:rPr>
      </w:pPr>
      <w:r>
        <w:rPr>
          <w:rFonts w:eastAsia="Times New Roman"/>
        </w:rPr>
        <w:lastRenderedPageBreak/>
        <w:t>The second remark stand</w:t>
      </w:r>
      <w:r w:rsidR="009955B8" w:rsidRPr="00B740B4">
        <w:rPr>
          <w:rFonts w:eastAsia="Times New Roman"/>
        </w:rPr>
        <w:t xml:space="preserve">s in superficial tension with the first, for it speaks of the possibility of not being rescued. </w:t>
      </w:r>
      <w:r w:rsidR="009D7C64" w:rsidRPr="00B740B4">
        <w:rPr>
          <w:rFonts w:eastAsia="Times New Roman"/>
        </w:rPr>
        <w:t>T</w:t>
      </w:r>
      <w:r w:rsidR="006B5619" w:rsidRPr="00B740B4">
        <w:rPr>
          <w:rFonts w:eastAsia="Times New Roman"/>
        </w:rPr>
        <w:t xml:space="preserve">heir “if… but if not” in vv 17-18 </w:t>
      </w:r>
      <w:r w:rsidR="009D7C64" w:rsidRPr="00B740B4">
        <w:rPr>
          <w:rFonts w:eastAsia="Times New Roman"/>
        </w:rPr>
        <w:t xml:space="preserve">thus </w:t>
      </w:r>
      <w:r w:rsidR="006B5619" w:rsidRPr="00B740B4">
        <w:rPr>
          <w:rFonts w:eastAsia="Times New Roman"/>
        </w:rPr>
        <w:t>balances the king’s “if… but if not” in v 15.</w:t>
      </w:r>
      <w:r w:rsidR="006B5619" w:rsidRPr="00B740B4">
        <w:rPr>
          <w:rStyle w:val="FootnoteReference"/>
          <w:rFonts w:eastAsia="Times New Roman"/>
        </w:rPr>
        <w:footnoteReference w:id="676"/>
      </w:r>
      <w:r w:rsidR="009D7C64" w:rsidRPr="00B740B4">
        <w:rPr>
          <w:rFonts w:eastAsia="Times New Roman"/>
        </w:rPr>
        <w:t xml:space="preserve"> </w:t>
      </w:r>
      <w:r w:rsidR="009955B8" w:rsidRPr="00B740B4">
        <w:rPr>
          <w:rFonts w:eastAsia="Times New Roman"/>
        </w:rPr>
        <w:t xml:space="preserve">Their wager </w:t>
      </w:r>
      <w:r w:rsidR="009D7C64" w:rsidRPr="00B740B4">
        <w:rPr>
          <w:rFonts w:eastAsia="Times New Roman"/>
        </w:rPr>
        <w:t>has affirmed</w:t>
      </w:r>
      <w:r>
        <w:rPr>
          <w:rFonts w:eastAsia="Times New Roman"/>
        </w:rPr>
        <w:t xml:space="preserve"> that they will be rescued. But such rescue</w:t>
      </w:r>
      <w:r w:rsidR="00B35F95" w:rsidRPr="00B740B4">
        <w:rPr>
          <w:rFonts w:eastAsia="Times New Roman"/>
        </w:rPr>
        <w:t xml:space="preserve"> has often not</w:t>
      </w:r>
      <w:r w:rsidR="009955B8" w:rsidRPr="00B740B4">
        <w:rPr>
          <w:rFonts w:eastAsia="Times New Roman"/>
        </w:rPr>
        <w:t xml:space="preserve"> been the expe</w:t>
      </w:r>
      <w:r w:rsidR="00F20491" w:rsidRPr="00B740B4">
        <w:rPr>
          <w:rFonts w:eastAsia="Times New Roman"/>
        </w:rPr>
        <w:t>rience of the faithful</w:t>
      </w:r>
      <w:r w:rsidR="009955B8" w:rsidRPr="00B740B4">
        <w:rPr>
          <w:rFonts w:eastAsia="Times New Roman"/>
        </w:rPr>
        <w:t>, and for their sake the three heroes make clear that even in that situation they would still maintain their commitment to God. The implicit question being asked of them is the Adversary’s q</w:t>
      </w:r>
      <w:r w:rsidR="00F20491" w:rsidRPr="00B740B4">
        <w:rPr>
          <w:rFonts w:eastAsia="Times New Roman"/>
        </w:rPr>
        <w:t xml:space="preserve">uestion about Job, does he </w:t>
      </w:r>
      <w:r w:rsidR="009955B8" w:rsidRPr="00B740B4">
        <w:rPr>
          <w:rFonts w:eastAsia="Times New Roman"/>
        </w:rPr>
        <w:t xml:space="preserve">honor God </w:t>
      </w:r>
      <w:r w:rsidR="00F20491" w:rsidRPr="00B740B4">
        <w:rPr>
          <w:rFonts w:eastAsia="Times New Roman"/>
        </w:rPr>
        <w:t xml:space="preserve">only </w:t>
      </w:r>
      <w:r w:rsidR="009955B8" w:rsidRPr="00B740B4">
        <w:rPr>
          <w:rFonts w:eastAsia="Times New Roman"/>
        </w:rPr>
        <w:t>because of the blessings God gives him? God may be trusted to protect us, but our honoring him is not conditional upon his preserving us from every blazing furnace, so that if he should not do so, we are free to abandon him and try some other god.</w:t>
      </w:r>
      <w:r w:rsidR="00F20491" w:rsidRPr="00B740B4">
        <w:rPr>
          <w:rStyle w:val="FootnoteReference"/>
          <w:rFonts w:eastAsia="Times New Roman"/>
        </w:rPr>
        <w:footnoteReference w:id="677"/>
      </w:r>
      <w:r w:rsidR="009955B8" w:rsidRPr="00B740B4">
        <w:rPr>
          <w:rFonts w:eastAsia="Times New Roman"/>
        </w:rPr>
        <w:t xml:space="preserve"> Death is preferable to apostasy. We regard no other god but God, no matter what happens. We obey God, not human beings (Acts 4:19–20; 5:29). </w:t>
      </w:r>
    </w:p>
    <w:p w:rsidR="009955B8" w:rsidRPr="00B740B4" w:rsidRDefault="009955B8" w:rsidP="009955B8">
      <w:pPr>
        <w:rPr>
          <w:rFonts w:eastAsia="Times New Roman"/>
        </w:rPr>
      </w:pPr>
      <w:r w:rsidRPr="00B740B4">
        <w:rPr>
          <w:rFonts w:eastAsia="Times New Roman"/>
        </w:rPr>
        <w:t xml:space="preserve">Such a confession means that human potentates are defeated whether their victims escape the flames (as they will here) or whether they do not (as in 2 Macc 7). </w:t>
      </w:r>
      <w:r w:rsidR="00B35F95" w:rsidRPr="00B740B4">
        <w:rPr>
          <w:rFonts w:eastAsia="Times New Roman"/>
        </w:rPr>
        <w:t>The confession of the three is the more remarkable because it is made without reference to the prospect of resurrection. It thus contrasts with the confessions made in 2 Macc 7 and expected in Matt 10:24–33 (cf. also Dan 12). If they are to be martyred, the confessors envisage no such vindication or resurrection. Their confession is made starkly for God’s sake. “Whether we live or die, we are the Lord’s” (Rom 14:8).</w:t>
      </w:r>
      <w:r w:rsidR="00B35F95" w:rsidRPr="00B740B4">
        <w:rPr>
          <w:rFonts w:eastAsia="Times New Roman"/>
          <w:vertAlign w:val="superscript"/>
        </w:rPr>
        <w:footnoteReference w:id="678"/>
      </w:r>
      <w:r w:rsidR="00B35F95" w:rsidRPr="00B740B4">
        <w:rPr>
          <w:rFonts w:eastAsia="Times New Roman"/>
        </w:rPr>
        <w:t xml:space="preserve"> </w:t>
      </w:r>
      <w:r w:rsidRPr="00B740B4">
        <w:rPr>
          <w:rFonts w:eastAsia="Times New Roman"/>
        </w:rPr>
        <w:t>Their testing tak</w:t>
      </w:r>
      <w:r w:rsidR="00B35F95" w:rsidRPr="00B740B4">
        <w:rPr>
          <w:rFonts w:eastAsia="Times New Roman"/>
        </w:rPr>
        <w:t>es place in the flames, but</w:t>
      </w:r>
      <w:r w:rsidRPr="00B740B4">
        <w:rPr>
          <w:rFonts w:eastAsia="Times New Roman"/>
        </w:rPr>
        <w:t xml:space="preserve"> it has already taken place when the flames have been threatened.</w:t>
      </w:r>
    </w:p>
    <w:p w:rsidR="009955B8" w:rsidRPr="00B740B4" w:rsidRDefault="009955B8" w:rsidP="009955B8">
      <w:pPr>
        <w:rPr>
          <w:rFonts w:eastAsia="Times New Roman"/>
        </w:rPr>
      </w:pPr>
      <w:r w:rsidRPr="00B740B4">
        <w:rPr>
          <w:rFonts w:eastAsia="Times New Roman"/>
        </w:rPr>
        <w:t xml:space="preserve">In the dispersion this testing takes place both metaphorically and </w:t>
      </w:r>
      <w:r w:rsidR="00F20491" w:rsidRPr="00B740B4">
        <w:rPr>
          <w:rFonts w:eastAsia="Times New Roman"/>
        </w:rPr>
        <w:t xml:space="preserve">literally. The exile </w:t>
      </w:r>
      <w:r w:rsidRPr="00B740B4">
        <w:rPr>
          <w:rFonts w:eastAsia="Times New Roman"/>
        </w:rPr>
        <w:t xml:space="preserve">is a white-hot crucible that tests by threatening to consume (see Ps 66:10–12). For many </w:t>
      </w:r>
      <w:r w:rsidR="006C16DE" w:rsidRPr="00B740B4">
        <w:rPr>
          <w:rFonts w:eastAsia="Times New Roman"/>
        </w:rPr>
        <w:t>Judahite</w:t>
      </w:r>
      <w:r w:rsidRPr="00B740B4">
        <w:rPr>
          <w:rFonts w:eastAsia="Times New Roman"/>
        </w:rPr>
        <w:t>s who are not threatened wi</w:t>
      </w:r>
      <w:r w:rsidR="00B35F95" w:rsidRPr="00B740B4">
        <w:rPr>
          <w:rFonts w:eastAsia="Times New Roman"/>
        </w:rPr>
        <w:t>th a literal furnace, the furnace</w:t>
      </w:r>
      <w:r w:rsidRPr="00B740B4">
        <w:rPr>
          <w:rFonts w:eastAsia="Times New Roman"/>
        </w:rPr>
        <w:t xml:space="preserve"> gives concrete form to the image of walking through fire. L</w:t>
      </w:r>
      <w:r w:rsidR="00B35F95" w:rsidRPr="00B740B4">
        <w:rPr>
          <w:rFonts w:eastAsia="Times New Roman"/>
        </w:rPr>
        <w:t xml:space="preserve">ife in exile can bring a </w:t>
      </w:r>
      <w:r w:rsidRPr="00B740B4">
        <w:rPr>
          <w:rFonts w:eastAsia="Times New Roman"/>
        </w:rPr>
        <w:t xml:space="preserve">threat to the distinctiveness of </w:t>
      </w:r>
      <w:r w:rsidR="006C16DE" w:rsidRPr="00B740B4">
        <w:rPr>
          <w:rFonts w:eastAsia="Times New Roman"/>
        </w:rPr>
        <w:t>Judahite</w:t>
      </w:r>
      <w:r w:rsidRPr="00B740B4">
        <w:rPr>
          <w:rFonts w:eastAsia="Times New Roman"/>
        </w:rPr>
        <w:t>s (chap. 1), to their very life (chap. 2)</w:t>
      </w:r>
      <w:r w:rsidR="00B35F95" w:rsidRPr="00B740B4">
        <w:rPr>
          <w:rFonts w:eastAsia="Times New Roman"/>
        </w:rPr>
        <w:t xml:space="preserve">, and also to their </w:t>
      </w:r>
      <w:r w:rsidRPr="00B740B4">
        <w:rPr>
          <w:rFonts w:eastAsia="Times New Roman"/>
        </w:rPr>
        <w:t>faithful</w:t>
      </w:r>
      <w:r w:rsidR="00B35F95" w:rsidRPr="00B740B4">
        <w:rPr>
          <w:rFonts w:eastAsia="Times New Roman"/>
        </w:rPr>
        <w:t>ness to God. It asks for</w:t>
      </w:r>
      <w:r w:rsidRPr="00B740B4">
        <w:rPr>
          <w:rFonts w:eastAsia="Times New Roman"/>
        </w:rPr>
        <w:t xml:space="preserve"> a bold trust and obedience that gives Caesar what is his, but reserves what is God’s for God. </w:t>
      </w:r>
    </w:p>
    <w:p w:rsidR="009955B8" w:rsidRPr="00B740B4" w:rsidRDefault="009955B8" w:rsidP="009955B8">
      <w:pPr>
        <w:rPr>
          <w:rFonts w:eastAsia="Times New Roman"/>
        </w:rPr>
      </w:pPr>
      <w:r w:rsidRPr="00B740B4">
        <w:rPr>
          <w:rFonts w:eastAsia="Times New Roman"/>
          <w:b/>
        </w:rPr>
        <w:t>19–25</w:t>
      </w:r>
      <w:r w:rsidRPr="00B740B4">
        <w:rPr>
          <w:rFonts w:eastAsia="Times New Roman"/>
        </w:rPr>
        <w:t xml:space="preserve"> While the story reaches one climax with th</w:t>
      </w:r>
      <w:r w:rsidR="00B35F95" w:rsidRPr="00B740B4">
        <w:rPr>
          <w:rFonts w:eastAsia="Times New Roman"/>
        </w:rPr>
        <w:t>e Judahites’</w:t>
      </w:r>
      <w:r w:rsidRPr="00B740B4">
        <w:rPr>
          <w:rFonts w:eastAsia="Times New Roman"/>
        </w:rPr>
        <w:t xml:space="preserve"> confession, Nebuchadnezzar’s fury sets it on the way to another. He is enraged at the r</w:t>
      </w:r>
      <w:r w:rsidR="00B35F95" w:rsidRPr="00B740B4">
        <w:rPr>
          <w:rFonts w:eastAsia="Times New Roman"/>
        </w:rPr>
        <w:t xml:space="preserve">ights of God being </w:t>
      </w:r>
      <w:r w:rsidRPr="00B740B4">
        <w:rPr>
          <w:rFonts w:eastAsia="Times New Roman"/>
        </w:rPr>
        <w:t xml:space="preserve">exalted over his own, and </w:t>
      </w:r>
      <w:r w:rsidR="00F20491" w:rsidRPr="00B740B4">
        <w:rPr>
          <w:rFonts w:eastAsia="Times New Roman"/>
        </w:rPr>
        <w:t xml:space="preserve">he </w:t>
      </w:r>
      <w:r w:rsidRPr="00B740B4">
        <w:rPr>
          <w:rFonts w:eastAsia="Times New Roman"/>
        </w:rPr>
        <w:t>determines to seal the confessors’ fate more</w:t>
      </w:r>
      <w:r w:rsidR="00B35F95" w:rsidRPr="00B740B4">
        <w:rPr>
          <w:rFonts w:eastAsia="Times New Roman"/>
        </w:rPr>
        <w:t xml:space="preserve"> securely and speedily. T</w:t>
      </w:r>
      <w:r w:rsidRPr="00B740B4">
        <w:rPr>
          <w:rFonts w:eastAsia="Times New Roman"/>
        </w:rPr>
        <w:t>he possibility of his moves being counterpro</w:t>
      </w:r>
      <w:r w:rsidR="00B35F95" w:rsidRPr="00B740B4">
        <w:rPr>
          <w:rFonts w:eastAsia="Times New Roman"/>
        </w:rPr>
        <w:t>ductive is already advertised; h</w:t>
      </w:r>
      <w:r w:rsidRPr="00B740B4">
        <w:rPr>
          <w:rFonts w:eastAsia="Times New Roman"/>
        </w:rPr>
        <w:t>is</w:t>
      </w:r>
      <w:r w:rsidR="00B35F95" w:rsidRPr="00B740B4">
        <w:rPr>
          <w:rFonts w:eastAsia="Times New Roman"/>
        </w:rPr>
        <w:t xml:space="preserve"> fury is beginning to rebound (</w:t>
      </w:r>
      <w:r w:rsidRPr="00B740B4">
        <w:rPr>
          <w:rFonts w:eastAsia="Times New Roman"/>
        </w:rPr>
        <w:t xml:space="preserve">v 22). </w:t>
      </w:r>
      <w:r w:rsidR="00133F45" w:rsidRPr="00B740B4">
        <w:rPr>
          <w:rFonts w:eastAsia="Times New Roman"/>
        </w:rPr>
        <w:t>The men who submitted to the king lose their lives; what will happen to the men who resisted the king? T</w:t>
      </w:r>
      <w:r w:rsidRPr="00B740B4">
        <w:rPr>
          <w:rFonts w:eastAsia="Times New Roman"/>
        </w:rPr>
        <w:t xml:space="preserve">he confessors fall to their doom (v 23). </w:t>
      </w:r>
      <w:r w:rsidR="002C55F1" w:rsidRPr="00B740B4">
        <w:rPr>
          <w:rFonts w:eastAsia="Times New Roman"/>
        </w:rPr>
        <w:t>“At first it looks here as if God were deserting his servants”; he does not protect them from being thrown into the furnace. “No help appears from heaven.”</w:t>
      </w:r>
      <w:r w:rsidR="002C55F1" w:rsidRPr="00B740B4">
        <w:rPr>
          <w:rStyle w:val="FootnoteReference"/>
          <w:rFonts w:eastAsia="Times New Roman"/>
        </w:rPr>
        <w:footnoteReference w:id="679"/>
      </w:r>
      <w:r w:rsidR="002C55F1" w:rsidRPr="00B740B4">
        <w:rPr>
          <w:rFonts w:eastAsia="Times New Roman"/>
        </w:rPr>
        <w:t xml:space="preserve"> </w:t>
      </w:r>
      <w:r w:rsidR="00B35F95" w:rsidRPr="00B740B4">
        <w:rPr>
          <w:rFonts w:eastAsia="Times New Roman"/>
        </w:rPr>
        <w:t>But s</w:t>
      </w:r>
      <w:r w:rsidRPr="00B740B4">
        <w:rPr>
          <w:rFonts w:eastAsia="Times New Roman"/>
        </w:rPr>
        <w:t>uddenly</w:t>
      </w:r>
      <w:r w:rsidR="00B35F95" w:rsidRPr="00B740B4">
        <w:rPr>
          <w:rFonts w:eastAsia="Times New Roman"/>
        </w:rPr>
        <w:t xml:space="preserve"> Nebuchadnezzar sees a sign </w:t>
      </w:r>
      <w:r w:rsidRPr="00B740B4">
        <w:rPr>
          <w:rFonts w:eastAsia="Times New Roman"/>
        </w:rPr>
        <w:t xml:space="preserve">he cannot ignore, as he could </w:t>
      </w:r>
      <w:r w:rsidR="00F20491" w:rsidRPr="00B740B4">
        <w:rPr>
          <w:rFonts w:eastAsia="Times New Roman"/>
        </w:rPr>
        <w:t xml:space="preserve">ignore </w:t>
      </w:r>
      <w:r w:rsidRPr="00B740B4">
        <w:rPr>
          <w:rFonts w:eastAsia="Times New Roman"/>
        </w:rPr>
        <w:t>the deaths of his best soldiers. The king who thought that no god could save the confessors from his power is the one who now perceives God’s intervention</w:t>
      </w:r>
      <w:r w:rsidR="00F20491" w:rsidRPr="00B740B4">
        <w:rPr>
          <w:rFonts w:eastAsia="Times New Roman"/>
        </w:rPr>
        <w:t>.</w:t>
      </w:r>
      <w:r w:rsidR="00F20491" w:rsidRPr="00B740B4">
        <w:rPr>
          <w:rStyle w:val="FootnoteReference"/>
          <w:rFonts w:eastAsia="Times New Roman"/>
        </w:rPr>
        <w:footnoteReference w:id="680"/>
      </w:r>
      <w:r w:rsidRPr="00B740B4">
        <w:rPr>
          <w:rFonts w:eastAsia="Times New Roman"/>
        </w:rPr>
        <w:t xml:space="preserve"> The three </w:t>
      </w:r>
      <w:r w:rsidR="00386088">
        <w:rPr>
          <w:rFonts w:eastAsia="Times New Roman"/>
        </w:rPr>
        <w:t xml:space="preserve">men </w:t>
      </w:r>
      <w:r w:rsidRPr="00B740B4">
        <w:rPr>
          <w:rFonts w:eastAsia="Times New Roman"/>
        </w:rPr>
        <w:t xml:space="preserve">have not been delivered </w:t>
      </w:r>
      <w:r w:rsidRPr="00B740B4">
        <w:rPr>
          <w:rFonts w:eastAsia="Times New Roman"/>
          <w:i/>
        </w:rPr>
        <w:t>from</w:t>
      </w:r>
      <w:r w:rsidRPr="00B740B4">
        <w:rPr>
          <w:rFonts w:eastAsia="Times New Roman"/>
        </w:rPr>
        <w:t xml:space="preserve"> the fire, but they are delivered </w:t>
      </w:r>
      <w:r w:rsidRPr="00B740B4">
        <w:rPr>
          <w:rFonts w:eastAsia="Times New Roman"/>
          <w:i/>
        </w:rPr>
        <w:t>in</w:t>
      </w:r>
      <w:r w:rsidRPr="00B740B4">
        <w:rPr>
          <w:rFonts w:eastAsia="Times New Roman"/>
        </w:rPr>
        <w:t xml:space="preserve"> the fire (cf. Rom 8:37).</w:t>
      </w:r>
      <w:r w:rsidR="00F20491" w:rsidRPr="00B740B4">
        <w:rPr>
          <w:rStyle w:val="FootnoteReference"/>
          <w:rFonts w:eastAsia="Times New Roman"/>
        </w:rPr>
        <w:footnoteReference w:id="681"/>
      </w:r>
      <w:r w:rsidR="00133F45" w:rsidRPr="00B740B4">
        <w:rPr>
          <w:rFonts w:eastAsia="Times New Roman"/>
        </w:rPr>
        <w:t xml:space="preserve"> They</w:t>
      </w:r>
      <w:r w:rsidR="00B35F95" w:rsidRPr="00B740B4">
        <w:rPr>
          <w:rFonts w:eastAsia="Times New Roman"/>
        </w:rPr>
        <w:t xml:space="preserve"> reach </w:t>
      </w:r>
      <w:r w:rsidR="00133F45" w:rsidRPr="00B740B4">
        <w:rPr>
          <w:rFonts w:eastAsia="Times New Roman"/>
        </w:rPr>
        <w:t xml:space="preserve">affirmation and vindication not by way of </w:t>
      </w:r>
      <w:r w:rsidRPr="00B740B4">
        <w:rPr>
          <w:rFonts w:eastAsia="Times New Roman"/>
        </w:rPr>
        <w:t>risk-free triumph but by the way of the cross. They are free, looking as if they ar</w:t>
      </w:r>
      <w:r w:rsidR="00F20491" w:rsidRPr="00B740B4">
        <w:rPr>
          <w:rFonts w:eastAsia="Times New Roman"/>
        </w:rPr>
        <w:t>e enjoying a walk in the garden.</w:t>
      </w:r>
      <w:r w:rsidR="00F20491" w:rsidRPr="00B740B4">
        <w:rPr>
          <w:rStyle w:val="FootnoteReference"/>
          <w:rFonts w:eastAsia="Times New Roman"/>
        </w:rPr>
        <w:footnoteReference w:id="682"/>
      </w:r>
    </w:p>
    <w:p w:rsidR="009955B8" w:rsidRPr="00B740B4" w:rsidRDefault="00EF0A79" w:rsidP="009955B8">
      <w:pPr>
        <w:rPr>
          <w:rFonts w:eastAsia="Times New Roman"/>
        </w:rPr>
      </w:pPr>
      <w:r w:rsidRPr="00B740B4">
        <w:rPr>
          <w:rFonts w:eastAsia="Times New Roman"/>
        </w:rPr>
        <w:t>Nebuchadnezzar sees</w:t>
      </w:r>
      <w:r w:rsidR="009955B8" w:rsidRPr="00B740B4">
        <w:rPr>
          <w:rFonts w:eastAsia="Times New Roman"/>
        </w:rPr>
        <w:t xml:space="preserve"> </w:t>
      </w:r>
      <w:r w:rsidR="009955B8" w:rsidRPr="00B740B4">
        <w:rPr>
          <w:rFonts w:eastAsia="Times New Roman"/>
          <w:i/>
        </w:rPr>
        <w:t>four</w:t>
      </w:r>
      <w:r w:rsidR="009955B8" w:rsidRPr="00B740B4">
        <w:rPr>
          <w:rFonts w:eastAsia="Times New Roman"/>
        </w:rPr>
        <w:t xml:space="preserve"> unbound (v 25)</w:t>
      </w:r>
      <w:r w:rsidR="00386088">
        <w:rPr>
          <w:rFonts w:eastAsia="Times New Roman"/>
        </w:rPr>
        <w:t>,</w:t>
      </w:r>
      <w:r w:rsidR="009955B8" w:rsidRPr="00B740B4">
        <w:rPr>
          <w:rFonts w:eastAsia="Times New Roman"/>
        </w:rPr>
        <w:t xml:space="preserve"> wh</w:t>
      </w:r>
      <w:r w:rsidR="00386088">
        <w:rPr>
          <w:rFonts w:eastAsia="Times New Roman"/>
        </w:rPr>
        <w:t>o contrast with three bound. The</w:t>
      </w:r>
      <w:r w:rsidR="009955B8" w:rsidRPr="00B740B4">
        <w:rPr>
          <w:rFonts w:eastAsia="Times New Roman"/>
        </w:rPr>
        <w:t xml:space="preserve"> deliverance</w:t>
      </w:r>
      <w:r w:rsidR="00386088">
        <w:rPr>
          <w:rFonts w:eastAsia="Times New Roman"/>
        </w:rPr>
        <w:t xml:space="preserve"> of the three</w:t>
      </w:r>
      <w:r w:rsidR="009955B8" w:rsidRPr="00B740B4">
        <w:rPr>
          <w:rFonts w:eastAsia="Times New Roman"/>
        </w:rPr>
        <w:t xml:space="preserve"> com</w:t>
      </w:r>
      <w:r w:rsidRPr="00B740B4">
        <w:rPr>
          <w:rFonts w:eastAsia="Times New Roman"/>
        </w:rPr>
        <w:t xml:space="preserve">es </w:t>
      </w:r>
      <w:r w:rsidR="009955B8" w:rsidRPr="00B740B4">
        <w:rPr>
          <w:rFonts w:eastAsia="Times New Roman"/>
        </w:rPr>
        <w:t xml:space="preserve">through the presence of a fourth person in their midst. </w:t>
      </w:r>
      <w:r w:rsidR="001E644C" w:rsidRPr="00B740B4">
        <w:rPr>
          <w:rFonts w:eastAsia="Times New Roman"/>
        </w:rPr>
        <w:t>Nebuchadnezzar will later declare that this person is a divine aide (</w:t>
      </w:r>
      <w:r w:rsidR="00AF422C">
        <w:rPr>
          <w:rFonts w:eastAsia="Times New Roman"/>
        </w:rPr>
        <w:t>v</w:t>
      </w:r>
      <w:r w:rsidR="001E644C" w:rsidRPr="00B740B4">
        <w:rPr>
          <w:rFonts w:eastAsia="Times New Roman"/>
        </w:rPr>
        <w:t xml:space="preserve"> 28), the kind of supernatural being acting on God’s behalf and representing God who a ppears elsewhere in the OT (there is no pointer towardsits being a preincarnate appearance of Jesus). It is t</w:t>
      </w:r>
      <w:r w:rsidR="009955B8" w:rsidRPr="00B740B4">
        <w:rPr>
          <w:rFonts w:eastAsia="Times New Roman"/>
        </w:rPr>
        <w:t xml:space="preserve">he divine aide who camps </w:t>
      </w:r>
      <w:r w:rsidR="003C73C9" w:rsidRPr="00B740B4">
        <w:rPr>
          <w:rFonts w:eastAsia="Times New Roman"/>
        </w:rPr>
        <w:t>ar</w:t>
      </w:r>
      <w:r w:rsidR="009955B8" w:rsidRPr="00B740B4">
        <w:rPr>
          <w:rFonts w:eastAsia="Times New Roman"/>
        </w:rPr>
        <w:t>ound those who honor God and ext</w:t>
      </w:r>
      <w:r w:rsidR="0018668D" w:rsidRPr="00B740B4">
        <w:rPr>
          <w:rFonts w:eastAsia="Times New Roman"/>
        </w:rPr>
        <w:t xml:space="preserve">ricates them </w:t>
      </w:r>
      <w:r w:rsidR="0018668D" w:rsidRPr="00B740B4">
        <w:rPr>
          <w:rFonts w:eastAsia="Times New Roman"/>
        </w:rPr>
        <w:lastRenderedPageBreak/>
        <w:t>from peril (Ps 34:7 [8</w:t>
      </w:r>
      <w:r w:rsidR="009955B8" w:rsidRPr="00B740B4">
        <w:rPr>
          <w:rFonts w:eastAsia="Times New Roman"/>
        </w:rPr>
        <w:t xml:space="preserve">]) </w:t>
      </w:r>
      <w:r w:rsidR="001E644C" w:rsidRPr="00B740B4">
        <w:rPr>
          <w:rFonts w:eastAsia="Times New Roman"/>
        </w:rPr>
        <w:t xml:space="preserve">and who here </w:t>
      </w:r>
      <w:r w:rsidR="00386088">
        <w:rPr>
          <w:rFonts w:eastAsia="Times New Roman"/>
        </w:rPr>
        <w:t>enters the fire, perhaps neutralizing</w:t>
      </w:r>
      <w:r w:rsidR="009955B8" w:rsidRPr="00B740B4">
        <w:rPr>
          <w:rFonts w:eastAsia="Times New Roman"/>
        </w:rPr>
        <w:t xml:space="preserve"> its capacity for harm by the presence of his superior energy. God’s promise “I will be with you” characteristically belongs to </w:t>
      </w:r>
      <w:r w:rsidR="001E644C" w:rsidRPr="00B740B4">
        <w:rPr>
          <w:rFonts w:eastAsia="Times New Roman"/>
        </w:rPr>
        <w:t xml:space="preserve">such </w:t>
      </w:r>
      <w:r w:rsidR="009955B8" w:rsidRPr="00B740B4">
        <w:rPr>
          <w:rFonts w:eastAsia="Times New Roman"/>
        </w:rPr>
        <w:t xml:space="preserve">contexts of affliction and pressure (Exod 3:12; Isa 7:14; 43:1–3; Matt 28:20; see also Ps 23:4–5). The experience of God’s being with his people not only follows on their commitment to him, rather than preceding </w:t>
      </w:r>
      <w:r w:rsidR="00386088">
        <w:rPr>
          <w:rFonts w:eastAsia="Times New Roman"/>
        </w:rPr>
        <w:t xml:space="preserve">it; it comes </w:t>
      </w:r>
      <w:r w:rsidR="009955B8" w:rsidRPr="00B740B4">
        <w:rPr>
          <w:rFonts w:eastAsia="Times New Roman"/>
        </w:rPr>
        <w:t>in the furnace, not in being preserved from it</w:t>
      </w:r>
      <w:r w:rsidR="0049665C" w:rsidRPr="00B740B4">
        <w:rPr>
          <w:rFonts w:eastAsia="Times New Roman"/>
        </w:rPr>
        <w:t>.</w:t>
      </w:r>
      <w:r w:rsidR="0049665C" w:rsidRPr="00B740B4">
        <w:rPr>
          <w:rStyle w:val="FootnoteReference"/>
          <w:rFonts w:eastAsia="Times New Roman"/>
        </w:rPr>
        <w:footnoteReference w:id="683"/>
      </w:r>
      <w:r w:rsidR="009955B8" w:rsidRPr="00B740B4">
        <w:rPr>
          <w:rFonts w:eastAsia="Times New Roman"/>
        </w:rPr>
        <w:t xml:space="preserve"> </w:t>
      </w:r>
    </w:p>
    <w:p w:rsidR="009955B8" w:rsidRPr="00B740B4" w:rsidRDefault="009955B8" w:rsidP="009955B8">
      <w:pPr>
        <w:rPr>
          <w:rFonts w:eastAsia="Times New Roman"/>
        </w:rPr>
      </w:pPr>
      <w:r w:rsidRPr="00B740B4">
        <w:rPr>
          <w:rFonts w:eastAsia="Times New Roman"/>
          <w:b/>
        </w:rPr>
        <w:t>26–30</w:t>
      </w:r>
      <w:r w:rsidRPr="00B740B4">
        <w:rPr>
          <w:rFonts w:eastAsia="Times New Roman"/>
        </w:rPr>
        <w:t xml:space="preserve"> The kiln apparently has a door at ground level as well as the opening at the top through which the confessors were thrown. At Nebuchadnezzar’s command they emerge through this door. The courtiers who had looked on at their</w:t>
      </w:r>
      <w:r w:rsidR="0049665C" w:rsidRPr="00B740B4">
        <w:rPr>
          <w:rFonts w:eastAsia="Times New Roman"/>
        </w:rPr>
        <w:t xml:space="preserve"> trial are there; so are </w:t>
      </w:r>
      <w:r w:rsidRPr="00B740B4">
        <w:rPr>
          <w:rFonts w:eastAsia="Times New Roman"/>
        </w:rPr>
        <w:t>the leading figures among the dignitaries who had gathered for the statue’s</w:t>
      </w:r>
      <w:r w:rsidR="00EF0A79" w:rsidRPr="00B740B4">
        <w:rPr>
          <w:rFonts w:eastAsia="Times New Roman"/>
        </w:rPr>
        <w:t xml:space="preserve"> dedication. Once more they assemble</w:t>
      </w:r>
      <w:r w:rsidRPr="00B740B4">
        <w:rPr>
          <w:rFonts w:eastAsia="Times New Roman"/>
        </w:rPr>
        <w:t xml:space="preserve"> as representatives of the peoples of the world as a whole, now not to bow before a statue and the king and empire it supports,</w:t>
      </w:r>
      <w:r w:rsidR="00EF0A79" w:rsidRPr="00B740B4">
        <w:rPr>
          <w:rFonts w:eastAsia="Times New Roman"/>
        </w:rPr>
        <w:t xml:space="preserve"> but to witness how God </w:t>
      </w:r>
      <w:r w:rsidRPr="00B740B4">
        <w:rPr>
          <w:rFonts w:eastAsia="Times New Roman"/>
        </w:rPr>
        <w:t>may act when people b</w:t>
      </w:r>
      <w:r w:rsidR="0049665C" w:rsidRPr="00B740B4">
        <w:rPr>
          <w:rFonts w:eastAsia="Times New Roman"/>
        </w:rPr>
        <w:t xml:space="preserve">ow before him alone. As chap. </w:t>
      </w:r>
      <w:r w:rsidRPr="00B740B4">
        <w:rPr>
          <w:rFonts w:eastAsia="Times New Roman"/>
        </w:rPr>
        <w:t xml:space="preserve">2 shows that there </w:t>
      </w:r>
      <w:r w:rsidRPr="00B740B4">
        <w:rPr>
          <w:rFonts w:eastAsia="Times New Roman"/>
          <w:i/>
        </w:rPr>
        <w:t>is</w:t>
      </w:r>
      <w:r w:rsidRPr="00B740B4">
        <w:rPr>
          <w:rFonts w:eastAsia="Times New Roman"/>
        </w:rPr>
        <w:t xml:space="preserve"> a God who can reveal the mysteries of </w:t>
      </w:r>
      <w:r w:rsidR="0049665C" w:rsidRPr="00B740B4">
        <w:rPr>
          <w:rFonts w:eastAsia="Times New Roman"/>
        </w:rPr>
        <w:t xml:space="preserve">the </w:t>
      </w:r>
      <w:r w:rsidRPr="00B740B4">
        <w:rPr>
          <w:rFonts w:eastAsia="Times New Roman"/>
        </w:rPr>
        <w:t>heaven</w:t>
      </w:r>
      <w:r w:rsidR="0049665C" w:rsidRPr="00B740B4">
        <w:rPr>
          <w:rFonts w:eastAsia="Times New Roman"/>
        </w:rPr>
        <w:t>s, so chap.</w:t>
      </w:r>
      <w:r w:rsidRPr="00B740B4">
        <w:rPr>
          <w:rFonts w:eastAsia="Times New Roman"/>
        </w:rPr>
        <w:t xml:space="preserve"> 3 shows that there </w:t>
      </w:r>
      <w:r w:rsidRPr="00B740B4">
        <w:rPr>
          <w:rFonts w:eastAsia="Times New Roman"/>
          <w:i/>
        </w:rPr>
        <w:t>is</w:t>
      </w:r>
      <w:r w:rsidRPr="00B740B4">
        <w:rPr>
          <w:rFonts w:eastAsia="Times New Roman"/>
        </w:rPr>
        <w:t xml:space="preserve"> a God who can intervene in individual and national life, discrediting human pretensions and the monuments that embody them. The statue is now forgotten; both God and human beings have relativized the claim to universal significance made in respect of it (v 28)</w:t>
      </w:r>
      <w:r w:rsidR="0049665C" w:rsidRPr="00B740B4">
        <w:rPr>
          <w:rFonts w:eastAsia="Times New Roman"/>
        </w:rPr>
        <w:t>.</w:t>
      </w:r>
      <w:r w:rsidR="0049665C" w:rsidRPr="00B740B4">
        <w:rPr>
          <w:rStyle w:val="FootnoteReference"/>
          <w:rFonts w:eastAsia="Times New Roman"/>
        </w:rPr>
        <w:footnoteReference w:id="684"/>
      </w:r>
      <w:r w:rsidRPr="00B740B4">
        <w:rPr>
          <w:rFonts w:eastAsia="Times New Roman"/>
        </w:rPr>
        <w:t xml:space="preserve"> God has que</w:t>
      </w:r>
      <w:r w:rsidR="00EF0A79" w:rsidRPr="00B740B4">
        <w:rPr>
          <w:rFonts w:eastAsia="Times New Roman"/>
        </w:rPr>
        <w:t>nched Nebuchadnezzar’s flames. S</w:t>
      </w:r>
      <w:r w:rsidRPr="00B740B4">
        <w:rPr>
          <w:rFonts w:eastAsia="Times New Roman"/>
        </w:rPr>
        <w:t>o has the faith of those Nebuchadnezzar subjected to them (Heb. 11:34), the act of consecration whereby they gave up their</w:t>
      </w:r>
      <w:r w:rsidR="00B403B1" w:rsidRPr="00B740B4">
        <w:rPr>
          <w:rFonts w:eastAsia="Times New Roman"/>
        </w:rPr>
        <w:t xml:space="preserve"> bodies for God’s sake (Rom 12:1</w:t>
      </w:r>
      <w:r w:rsidR="0049665C" w:rsidRPr="00B740B4">
        <w:rPr>
          <w:rFonts w:eastAsia="Times New Roman"/>
        </w:rPr>
        <w:t>).</w:t>
      </w:r>
      <w:r w:rsidR="0049665C" w:rsidRPr="00B740B4">
        <w:rPr>
          <w:rStyle w:val="FootnoteReference"/>
          <w:rFonts w:eastAsia="Times New Roman"/>
        </w:rPr>
        <w:footnoteReference w:id="685"/>
      </w:r>
    </w:p>
    <w:p w:rsidR="009955B8" w:rsidRPr="00B740B4" w:rsidRDefault="00EF0A79" w:rsidP="009955B8">
      <w:pPr>
        <w:rPr>
          <w:rFonts w:eastAsia="Times New Roman"/>
        </w:rPr>
      </w:pPr>
      <w:r w:rsidRPr="00B740B4">
        <w:rPr>
          <w:rFonts w:eastAsia="Times New Roman"/>
        </w:rPr>
        <w:t>The issue in Dan 3 “does not really concern the golden image but actually the question ‘who is god/God.’”</w:t>
      </w:r>
      <w:r w:rsidRPr="00B740B4">
        <w:rPr>
          <w:rFonts w:eastAsia="Times New Roman"/>
          <w:vertAlign w:val="superscript"/>
        </w:rPr>
        <w:footnoteReference w:id="686"/>
      </w:r>
      <w:r w:rsidRPr="00B740B4">
        <w:rPr>
          <w:rFonts w:eastAsia="Times New Roman"/>
        </w:rPr>
        <w:t xml:space="preserve"> </w:t>
      </w:r>
      <w:r w:rsidR="009955B8" w:rsidRPr="00B740B4">
        <w:rPr>
          <w:rFonts w:eastAsia="Times New Roman"/>
        </w:rPr>
        <w:t>Nebuchadnezzar’s acknowledgment of God brings the story to its second climax. In outward expression of this acknowledgment</w:t>
      </w:r>
      <w:r w:rsidR="0049665C" w:rsidRPr="00B740B4">
        <w:rPr>
          <w:rFonts w:eastAsia="Times New Roman"/>
        </w:rPr>
        <w:t>,</w:t>
      </w:r>
      <w:r w:rsidR="009955B8" w:rsidRPr="00B740B4">
        <w:rPr>
          <w:rFonts w:eastAsia="Times New Roman"/>
        </w:rPr>
        <w:t xml:space="preserve"> the king makes Judaism a recognized religion wi</w:t>
      </w:r>
      <w:r w:rsidR="00B403B1" w:rsidRPr="00B740B4">
        <w:rPr>
          <w:rFonts w:eastAsia="Times New Roman"/>
        </w:rPr>
        <w:t>th rights to toleration and res</w:t>
      </w:r>
      <w:r w:rsidR="009955B8" w:rsidRPr="00B740B4">
        <w:rPr>
          <w:rFonts w:eastAsia="Times New Roman"/>
        </w:rPr>
        <w:t>p</w:t>
      </w:r>
      <w:r w:rsidR="00B403B1" w:rsidRPr="00B740B4">
        <w:rPr>
          <w:rFonts w:eastAsia="Times New Roman"/>
        </w:rPr>
        <w:t>e</w:t>
      </w:r>
      <w:r w:rsidR="009955B8" w:rsidRPr="00B740B4">
        <w:rPr>
          <w:rFonts w:eastAsia="Times New Roman"/>
        </w:rPr>
        <w:t>ct</w:t>
      </w:r>
      <w:r w:rsidR="00A77A01" w:rsidRPr="00B740B4">
        <w:rPr>
          <w:rFonts w:eastAsia="Times New Roman"/>
        </w:rPr>
        <w:t xml:space="preserve">, in a way that parallels </w:t>
      </w:r>
      <w:r w:rsidRPr="00B740B4">
        <w:rPr>
          <w:rFonts w:eastAsia="Times New Roman"/>
        </w:rPr>
        <w:t xml:space="preserve">the </w:t>
      </w:r>
      <w:r w:rsidR="00A77A01" w:rsidRPr="00B740B4">
        <w:rPr>
          <w:rFonts w:eastAsia="Times New Roman"/>
        </w:rPr>
        <w:t>actions of Persian kings in Ezra and elsewhere</w:t>
      </w:r>
      <w:r w:rsidR="009955B8" w:rsidRPr="00B740B4">
        <w:rPr>
          <w:rFonts w:eastAsia="Times New Roman"/>
        </w:rPr>
        <w:t>.</w:t>
      </w:r>
      <w:r w:rsidR="00A77A01" w:rsidRPr="00B740B4">
        <w:rPr>
          <w:rStyle w:val="FootnoteReference"/>
          <w:rFonts w:eastAsia="Times New Roman"/>
        </w:rPr>
        <w:footnoteReference w:id="687"/>
      </w:r>
      <w:r w:rsidRPr="00B740B4">
        <w:rPr>
          <w:rFonts w:eastAsia="Times New Roman"/>
        </w:rPr>
        <w:t xml:space="preserve"> </w:t>
      </w:r>
      <w:r w:rsidR="00894253" w:rsidRPr="00B740B4">
        <w:rPr>
          <w:rFonts w:eastAsia="Times New Roman"/>
        </w:rPr>
        <w:t>It</w:t>
      </w:r>
      <w:r w:rsidRPr="00B740B4">
        <w:rPr>
          <w:rFonts w:eastAsia="Times New Roman"/>
        </w:rPr>
        <w:t xml:space="preserve"> </w:t>
      </w:r>
      <w:r w:rsidR="00894253" w:rsidRPr="00B740B4">
        <w:rPr>
          <w:rFonts w:eastAsia="Times New Roman"/>
        </w:rPr>
        <w:t xml:space="preserve">also </w:t>
      </w:r>
      <w:r w:rsidRPr="00B740B4">
        <w:rPr>
          <w:rFonts w:eastAsia="Times New Roman"/>
        </w:rPr>
        <w:t>prefigures Constantine’s</w:t>
      </w:r>
      <w:r w:rsidR="00894253" w:rsidRPr="00B740B4">
        <w:rPr>
          <w:rFonts w:eastAsia="Times New Roman"/>
        </w:rPr>
        <w:t>,</w:t>
      </w:r>
      <w:r w:rsidRPr="00B740B4">
        <w:rPr>
          <w:rFonts w:eastAsia="Times New Roman"/>
        </w:rPr>
        <w:t xml:space="preserve"> who later turns from making the faithful suffer to making </w:t>
      </w:r>
      <w:r w:rsidR="00343A48">
        <w:rPr>
          <w:rFonts w:eastAsia="Times New Roman"/>
        </w:rPr>
        <w:t>t</w:t>
      </w:r>
      <w:r w:rsidRPr="00B740B4">
        <w:rPr>
          <w:rFonts w:eastAsia="Times New Roman"/>
        </w:rPr>
        <w:t>he impious suffer.</w:t>
      </w:r>
      <w:r w:rsidRPr="00B740B4">
        <w:rPr>
          <w:rFonts w:eastAsia="Times New Roman"/>
          <w:vertAlign w:val="superscript"/>
        </w:rPr>
        <w:footnoteReference w:id="688"/>
      </w:r>
      <w:r w:rsidRPr="00B740B4">
        <w:rPr>
          <w:rFonts w:eastAsia="Times New Roman"/>
        </w:rPr>
        <w:t xml:space="preserve"> It </w:t>
      </w:r>
      <w:r w:rsidR="00894253" w:rsidRPr="00B740B4">
        <w:rPr>
          <w:rFonts w:eastAsia="Times New Roman"/>
        </w:rPr>
        <w:t>does mean that</w:t>
      </w:r>
      <w:r w:rsidRPr="00B740B4">
        <w:rPr>
          <w:rFonts w:eastAsia="Times New Roman"/>
        </w:rPr>
        <w:t xml:space="preserve"> Nebuchadnezzar still expects to control people’s religion; religion is still subordinate to the state. </w:t>
      </w:r>
      <w:r w:rsidR="00894253" w:rsidRPr="00B740B4">
        <w:rPr>
          <w:rFonts w:eastAsia="Times New Roman"/>
        </w:rPr>
        <w:t xml:space="preserve">And the theological justification for his action (v 29b) might point to much more, and might make his action seem anticlimactic. </w:t>
      </w:r>
      <w:r w:rsidRPr="00B740B4">
        <w:rPr>
          <w:rFonts w:eastAsia="Times New Roman"/>
        </w:rPr>
        <w:t>B</w:t>
      </w:r>
      <w:r w:rsidR="009955B8" w:rsidRPr="00B740B4">
        <w:rPr>
          <w:rFonts w:eastAsia="Times New Roman"/>
        </w:rPr>
        <w:t xml:space="preserve">ut the act does close off one road that could take dispersion </w:t>
      </w:r>
      <w:r w:rsidR="006C16DE" w:rsidRPr="00B740B4">
        <w:rPr>
          <w:rFonts w:eastAsia="Times New Roman"/>
        </w:rPr>
        <w:t>Judahite</w:t>
      </w:r>
      <w:r w:rsidRPr="00B740B4">
        <w:rPr>
          <w:rFonts w:eastAsia="Times New Roman"/>
        </w:rPr>
        <w:t>s to the furnace</w:t>
      </w:r>
      <w:r w:rsidR="009955B8" w:rsidRPr="00B740B4">
        <w:rPr>
          <w:rFonts w:eastAsia="Times New Roman"/>
        </w:rPr>
        <w:t xml:space="preserve">, when clashes with the state arise from their </w:t>
      </w:r>
      <w:r w:rsidRPr="00B740B4">
        <w:rPr>
          <w:rFonts w:eastAsia="Times New Roman"/>
        </w:rPr>
        <w:t>religion’s not being recognized</w:t>
      </w:r>
      <w:r w:rsidR="009955B8" w:rsidRPr="00B740B4">
        <w:rPr>
          <w:rFonts w:eastAsia="Times New Roman"/>
        </w:rPr>
        <w:t xml:space="preserve">. </w:t>
      </w:r>
      <w:r w:rsidR="00894253" w:rsidRPr="00B740B4">
        <w:rPr>
          <w:rFonts w:eastAsia="Times New Roman"/>
        </w:rPr>
        <w:t>And t</w:t>
      </w:r>
      <w:r w:rsidR="009955B8" w:rsidRPr="00B740B4">
        <w:rPr>
          <w:rFonts w:eastAsia="Times New Roman"/>
        </w:rPr>
        <w:t>he prospering of the confessors in provincial affairs brings a final climax. The power of their God and the power of the</w:t>
      </w:r>
      <w:r w:rsidR="0049665C" w:rsidRPr="00B740B4">
        <w:rPr>
          <w:rFonts w:eastAsia="Times New Roman"/>
        </w:rPr>
        <w:t>ir commitment to him also bring them political power.</w:t>
      </w:r>
      <w:r w:rsidR="0049665C" w:rsidRPr="00B740B4">
        <w:rPr>
          <w:rStyle w:val="FootnoteReference"/>
          <w:rFonts w:eastAsia="Times New Roman"/>
        </w:rPr>
        <w:footnoteReference w:id="689"/>
      </w:r>
    </w:p>
    <w:p w:rsidR="00894253" w:rsidRPr="00B740B4" w:rsidRDefault="009955B8">
      <w:pPr>
        <w:rPr>
          <w:rFonts w:eastAsia="Times New Roman"/>
        </w:rPr>
      </w:pPr>
      <w:r w:rsidRPr="00B740B4">
        <w:rPr>
          <w:rFonts w:eastAsia="Times New Roman"/>
        </w:rPr>
        <w:t xml:space="preserve">A narrative that combines features of </w:t>
      </w:r>
      <w:r w:rsidR="00594626" w:rsidRPr="00B740B4">
        <w:rPr>
          <w:rFonts w:eastAsia="Times New Roman"/>
        </w:rPr>
        <w:t xml:space="preserve">court </w:t>
      </w:r>
      <w:r w:rsidRPr="00B740B4">
        <w:rPr>
          <w:rFonts w:eastAsia="Times New Roman"/>
        </w:rPr>
        <w:t>tale, legend, aretalogy, and midrash does not invite us to treat it as historiography. Yet its picture of a God who rescues from certain death hardly emerges from pure hope-against</w:t>
      </w:r>
      <w:r w:rsidR="0049665C" w:rsidRPr="00B740B4">
        <w:rPr>
          <w:rFonts w:eastAsia="Times New Roman"/>
        </w:rPr>
        <w:t>-</w:t>
      </w:r>
      <w:r w:rsidRPr="00B740B4">
        <w:rPr>
          <w:rFonts w:eastAsia="Times New Roman"/>
        </w:rPr>
        <w:t xml:space="preserve">hope. Judeo-Christian faith and hope claimed to be based on what God had done, not merely on itself, as if </w:t>
      </w:r>
      <w:r w:rsidR="0049665C" w:rsidRPr="00B740B4">
        <w:rPr>
          <w:rFonts w:eastAsia="Times New Roman"/>
        </w:rPr>
        <w:t>faith were its own miracle. It seem</w:t>
      </w:r>
      <w:r w:rsidRPr="00B740B4">
        <w:rPr>
          <w:rFonts w:eastAsia="Times New Roman"/>
        </w:rPr>
        <w:t xml:space="preserve">s </w:t>
      </w:r>
      <w:r w:rsidRPr="00B740B4">
        <w:rPr>
          <w:rFonts w:eastAsia="Times New Roman"/>
          <w:i/>
        </w:rPr>
        <w:t>a priori</w:t>
      </w:r>
      <w:r w:rsidRPr="00B740B4">
        <w:rPr>
          <w:rFonts w:eastAsia="Times New Roman"/>
        </w:rPr>
        <w:t xml:space="preserve"> likely that some </w:t>
      </w:r>
      <w:r w:rsidRPr="00B740B4">
        <w:rPr>
          <w:rFonts w:eastAsia="Times New Roman"/>
          <w:i/>
        </w:rPr>
        <w:t>experience</w:t>
      </w:r>
      <w:r w:rsidRPr="00B740B4">
        <w:rPr>
          <w:rFonts w:eastAsia="Times New Roman"/>
        </w:rPr>
        <w:t xml:space="preserve"> of God’s deliverance underlies this </w:t>
      </w:r>
      <w:r w:rsidRPr="00B740B4">
        <w:rPr>
          <w:rFonts w:eastAsia="Times New Roman"/>
          <w:i/>
        </w:rPr>
        <w:t>story</w:t>
      </w:r>
      <w:r w:rsidRPr="00B740B4">
        <w:rPr>
          <w:rFonts w:eastAsia="Times New Roman"/>
        </w:rPr>
        <w:t xml:space="preserve"> of God’s deliverance. It might be the experience of God’s delivering individuals in some extraordinary way; it might be the experience of his preserving people in the metaphorical fire of exile itself. Whether or not the story was inspired by the real, but metaphorical, fire of exile, it could be applied to that experience. God had promised that he would deliver, and the story gives believers who walk that fire a narrative embodiment of his keeping this promise. </w:t>
      </w:r>
    </w:p>
    <w:p w:rsidR="00343A48" w:rsidRDefault="00894253" w:rsidP="00894253">
      <w:pPr>
        <w:rPr>
          <w:rFonts w:eastAsia="Times New Roman"/>
        </w:rPr>
      </w:pPr>
      <w:r w:rsidRPr="00B740B4">
        <w:rPr>
          <w:rFonts w:eastAsia="Times New Roman"/>
        </w:rPr>
        <w:t>I</w:t>
      </w:r>
      <w:r w:rsidR="009955B8" w:rsidRPr="00B740B4">
        <w:rPr>
          <w:rFonts w:eastAsia="Times New Roman"/>
        </w:rPr>
        <w:t xml:space="preserve">t more specifically speaks to the individual experience of actual persecution. Dan 12 (or 2 Macc 7, or Matt 5:11–12) envisages reversal, resurrection, vindication, and reward after death. Dan 3 reminds </w:t>
      </w:r>
      <w:r w:rsidR="009955B8" w:rsidRPr="00B740B4">
        <w:rPr>
          <w:rFonts w:eastAsia="Times New Roman"/>
        </w:rPr>
        <w:lastRenderedPageBreak/>
        <w:t xml:space="preserve">us that the first fruits of that </w:t>
      </w:r>
      <w:r w:rsidR="00343A48">
        <w:rPr>
          <w:rFonts w:eastAsia="Times New Roman"/>
        </w:rPr>
        <w:t xml:space="preserve">reversal </w:t>
      </w:r>
      <w:r w:rsidR="009955B8" w:rsidRPr="00B740B4">
        <w:rPr>
          <w:rFonts w:eastAsia="Times New Roman"/>
        </w:rPr>
        <w:t>are sometimes experienced now.</w:t>
      </w:r>
      <w:r w:rsidR="0049665C" w:rsidRPr="00B740B4">
        <w:rPr>
          <w:rStyle w:val="FootnoteReference"/>
          <w:rFonts w:eastAsia="Times New Roman"/>
        </w:rPr>
        <w:footnoteReference w:id="690"/>
      </w:r>
      <w:r w:rsidR="009955B8" w:rsidRPr="00B740B4">
        <w:rPr>
          <w:rFonts w:eastAsia="Times New Roman"/>
        </w:rPr>
        <w:t xml:space="preserve"> From a position aft</w:t>
      </w:r>
      <w:r w:rsidR="0049665C" w:rsidRPr="00B740B4">
        <w:rPr>
          <w:rFonts w:eastAsia="Times New Roman"/>
        </w:rPr>
        <w:t>er Jesus</w:t>
      </w:r>
      <w:r w:rsidR="009955B8" w:rsidRPr="00B740B4">
        <w:rPr>
          <w:rFonts w:eastAsia="Times New Roman"/>
        </w:rPr>
        <w:t>, we can say that final resurrection is certai</w:t>
      </w:r>
      <w:r w:rsidR="0049665C" w:rsidRPr="00B740B4">
        <w:rPr>
          <w:rFonts w:eastAsia="Times New Roman"/>
        </w:rPr>
        <w:t>n because it has begun in Jesus</w:t>
      </w:r>
      <w:r w:rsidR="009955B8" w:rsidRPr="00B740B4">
        <w:rPr>
          <w:rFonts w:eastAsia="Times New Roman"/>
        </w:rPr>
        <w:t xml:space="preserve"> himself. </w:t>
      </w:r>
      <w:r w:rsidRPr="00B740B4">
        <w:rPr>
          <w:rFonts w:eastAsia="Times New Roman"/>
        </w:rPr>
        <w:t>Experiences such as the one underlying</w:t>
      </w:r>
      <w:r w:rsidR="009955B8" w:rsidRPr="00B740B4">
        <w:rPr>
          <w:rFonts w:eastAsia="Times New Roman"/>
        </w:rPr>
        <w:t xml:space="preserve"> Dan 3 </w:t>
      </w:r>
      <w:r w:rsidR="0049665C" w:rsidRPr="00B740B4">
        <w:rPr>
          <w:rFonts w:eastAsia="Times New Roman"/>
        </w:rPr>
        <w:t xml:space="preserve">then </w:t>
      </w:r>
      <w:r w:rsidR="009955B8" w:rsidRPr="00B740B4">
        <w:rPr>
          <w:rFonts w:eastAsia="Times New Roman"/>
        </w:rPr>
        <w:t>evidence that God was always the God of resurrection. To put it the other way, if final resurrection is certain and its reality ha</w:t>
      </w:r>
      <w:r w:rsidR="0049665C" w:rsidRPr="00B740B4">
        <w:rPr>
          <w:rFonts w:eastAsia="Times New Roman"/>
        </w:rPr>
        <w:t>s already been at work in Jesus</w:t>
      </w:r>
      <w:r w:rsidR="009955B8" w:rsidRPr="00B740B4">
        <w:rPr>
          <w:rFonts w:eastAsia="Times New Roman"/>
        </w:rPr>
        <w:t xml:space="preserve">, why should it not also be known from time to time in other </w:t>
      </w:r>
      <w:r w:rsidR="0049665C" w:rsidRPr="00B740B4">
        <w:rPr>
          <w:rFonts w:eastAsia="Times New Roman"/>
        </w:rPr>
        <w:t>contexts before and after Jesus</w:t>
      </w:r>
      <w:r w:rsidR="009955B8" w:rsidRPr="00B740B4">
        <w:rPr>
          <w:rFonts w:eastAsia="Times New Roman"/>
        </w:rPr>
        <w:t xml:space="preserve">? </w:t>
      </w:r>
      <w:r w:rsidRPr="00B740B4">
        <w:rPr>
          <w:rFonts w:eastAsia="Times New Roman"/>
        </w:rPr>
        <w:t>After all, Jesus does promise his disciples that not a hair on their heads will perish (Luke 21:19).</w:t>
      </w:r>
      <w:r w:rsidRPr="00B740B4">
        <w:rPr>
          <w:rFonts w:eastAsia="Times New Roman"/>
          <w:vertAlign w:val="superscript"/>
        </w:rPr>
        <w:footnoteReference w:id="691"/>
      </w:r>
      <w:r w:rsidRPr="00B740B4">
        <w:rPr>
          <w:rFonts w:eastAsia="Times New Roman"/>
        </w:rPr>
        <w:t xml:space="preserve"> </w:t>
      </w:r>
    </w:p>
    <w:p w:rsidR="008B566E" w:rsidRPr="00B740B4" w:rsidRDefault="00894253">
      <w:pPr>
        <w:rPr>
          <w:rFonts w:eastAsia="Times New Roman"/>
        </w:rPr>
      </w:pPr>
      <w:r w:rsidRPr="00B740B4">
        <w:rPr>
          <w:rFonts w:eastAsia="Times New Roman"/>
        </w:rPr>
        <w:t>The story of the faithfulness of the three men will turn out to be important in the context of the Maccabean crisis (1 Macc. 2:59) and it also likely lies in the bac</w:t>
      </w:r>
      <w:r w:rsidR="00E46DCA">
        <w:rPr>
          <w:rFonts w:eastAsia="Times New Roman"/>
        </w:rPr>
        <w:t>kground of Heb 11:34 and 1 Pet</w:t>
      </w:r>
      <w:r w:rsidRPr="00B740B4">
        <w:rPr>
          <w:rFonts w:eastAsia="Times New Roman"/>
        </w:rPr>
        <w:t xml:space="preserve"> 4:12.</w:t>
      </w:r>
      <w:r w:rsidRPr="00B740B4">
        <w:rPr>
          <w:rFonts w:eastAsia="Times New Roman"/>
          <w:vertAlign w:val="superscript"/>
        </w:rPr>
        <w:footnoteReference w:id="692"/>
      </w:r>
      <w:r w:rsidR="00343A48">
        <w:rPr>
          <w:rFonts w:eastAsia="Times New Roman"/>
        </w:rPr>
        <w:t xml:space="preserve"> Admittedly , t</w:t>
      </w:r>
      <w:r w:rsidR="009955B8" w:rsidRPr="00B740B4">
        <w:rPr>
          <w:rFonts w:eastAsia="Times New Roman"/>
        </w:rPr>
        <w:t xml:space="preserve">he all-powerful God’s intervening in the confessors’ extremity </w:t>
      </w:r>
      <w:r w:rsidR="00343A48">
        <w:rPr>
          <w:rFonts w:eastAsia="Times New Roman"/>
        </w:rPr>
        <w:t>does not imply that</w:t>
      </w:r>
      <w:r w:rsidR="009955B8" w:rsidRPr="00B740B4">
        <w:rPr>
          <w:rFonts w:eastAsia="Times New Roman"/>
        </w:rPr>
        <w:t xml:space="preserve"> he can be expected to d</w:t>
      </w:r>
      <w:r w:rsidR="0049665C" w:rsidRPr="00B740B4">
        <w:rPr>
          <w:rFonts w:eastAsia="Times New Roman"/>
        </w:rPr>
        <w:t>o so for all the faithful</w:t>
      </w:r>
      <w:r w:rsidR="009955B8" w:rsidRPr="00B740B4">
        <w:rPr>
          <w:rFonts w:eastAsia="Times New Roman"/>
        </w:rPr>
        <w:t xml:space="preserve"> under pressure. Confessors often become martyrs, and their conviction that God can and will rescue from death has to be referred to that resurrection which Dan </w:t>
      </w:r>
      <w:r w:rsidR="0049665C" w:rsidRPr="00B740B4">
        <w:rPr>
          <w:rFonts w:eastAsia="Times New Roman"/>
        </w:rPr>
        <w:t>12 envisages. But when the faithful</w:t>
      </w:r>
      <w:r w:rsidR="009955B8" w:rsidRPr="00B740B4">
        <w:rPr>
          <w:rFonts w:eastAsia="Times New Roman"/>
        </w:rPr>
        <w:t xml:space="preserve"> face some white-hot furnace they may be </w:t>
      </w:r>
      <w:r w:rsidR="0049665C" w:rsidRPr="00B740B4">
        <w:rPr>
          <w:rFonts w:eastAsia="Times New Roman"/>
        </w:rPr>
        <w:t>encouraged to be steadfast in their commitment to their God, confident that he</w:t>
      </w:r>
      <w:r w:rsidR="009955B8" w:rsidRPr="00B740B4">
        <w:rPr>
          <w:rFonts w:eastAsia="Times New Roman"/>
        </w:rPr>
        <w:t xml:space="preserve"> is Lord of death and that he will demonstrate that he is. The power of paganism offers no ultimate threat. When situations are utterly hopeless, they can trust him to vindicate their commitment and his power by resc</w:t>
      </w:r>
      <w:r w:rsidR="0049665C" w:rsidRPr="00B740B4">
        <w:rPr>
          <w:rFonts w:eastAsia="Times New Roman"/>
        </w:rPr>
        <w:t>uing them one way or the other.</w:t>
      </w:r>
    </w:p>
    <w:p w:rsidR="00B3055B" w:rsidRDefault="00B3055B" w:rsidP="00B3055B">
      <w:pPr>
        <w:rPr>
          <w:rFonts w:eastAsia="Times New Roman"/>
        </w:rPr>
      </w:pPr>
      <w:r w:rsidRPr="00B740B4">
        <w:rPr>
          <w:rFonts w:eastAsia="Times New Roman"/>
        </w:rPr>
        <w:t xml:space="preserve">The stories in Daniel speak of frightening threat and terrible danger, even though they have happy endings. Life in the dispersion is never safe. Yet it is possible to </w:t>
      </w:r>
      <w:r w:rsidR="00343A48">
        <w:rPr>
          <w:rFonts w:eastAsia="Times New Roman"/>
        </w:rPr>
        <w:t>survive and even to triumph, and</w:t>
      </w:r>
      <w:r w:rsidRPr="00B740B4">
        <w:rPr>
          <w:rFonts w:eastAsia="Times New Roman"/>
        </w:rPr>
        <w:t xml:space="preserve"> the faithful need to live in the conviction that the promises </w:t>
      </w:r>
      <w:r w:rsidR="008C70A4">
        <w:rPr>
          <w:rFonts w:eastAsia="Times New Roman"/>
        </w:rPr>
        <w:t>expressed in Daniel’s interpret</w:t>
      </w:r>
      <w:r w:rsidRPr="00B740B4">
        <w:rPr>
          <w:rFonts w:eastAsia="Times New Roman"/>
        </w:rPr>
        <w:t>a</w:t>
      </w:r>
      <w:r w:rsidR="008C70A4">
        <w:rPr>
          <w:rFonts w:eastAsia="Times New Roman"/>
        </w:rPr>
        <w:t>t</w:t>
      </w:r>
      <w:r w:rsidRPr="00B740B4">
        <w:rPr>
          <w:rFonts w:eastAsia="Times New Roman"/>
        </w:rPr>
        <w:t>ions of dreams will be fulfilled.</w:t>
      </w:r>
      <w:r w:rsidRPr="00B740B4">
        <w:rPr>
          <w:rFonts w:eastAsia="Times New Roman"/>
          <w:vertAlign w:val="superscript"/>
        </w:rPr>
        <w:footnoteReference w:id="693"/>
      </w:r>
    </w:p>
    <w:p w:rsidR="008C70A4" w:rsidRDefault="008C70A4" w:rsidP="00B3055B">
      <w:pPr>
        <w:rPr>
          <w:rFonts w:eastAsia="Times New Roman"/>
        </w:rPr>
      </w:pPr>
      <w:r>
        <w:rPr>
          <w:rFonts w:eastAsia="Times New Roman"/>
        </w:rPr>
        <w:t>As I was completing work on this commentary, I received this message from a friend who is a bishop in northeast Africa.</w:t>
      </w:r>
    </w:p>
    <w:p w:rsidR="008C70A4" w:rsidRDefault="008C70A4" w:rsidP="00B3055B">
      <w:pPr>
        <w:rPr>
          <w:rFonts w:eastAsia="Times New Roman"/>
        </w:rPr>
      </w:pPr>
    </w:p>
    <w:p w:rsidR="008C70A4" w:rsidRDefault="008C70A4" w:rsidP="008C70A4">
      <w:pPr>
        <w:pStyle w:val="Quote"/>
      </w:pPr>
      <w:r>
        <w:t>An icon often seen in the churches of Egypt, Ethiopia and Sudan, N</w:t>
      </w:r>
      <w:r w:rsidR="00343A48">
        <w:t>orth and South, is that of the </w:t>
      </w:r>
      <w:r>
        <w:t>four in the fiery furnace: Shadrach, Meshach,  Abednego, and “the One”, whom the Babylonians described as “like a son of the gods” (Daniel 3:25). In the suffering of the long war between North and South Sudan, it was this God, “He who suffers with us,” who was the comfort and the hope of many Christians. “Our God is able to save us from this fiery furnace,” the three young men declared, “but if not” (in this way), we will cleave to Him (“not bow down to Nebuchadnezzar”). Throughout northeastern Africa the message of this God is one that resonates with the African heart.</w:t>
      </w:r>
    </w:p>
    <w:p w:rsidR="00C93CC0" w:rsidRPr="00B740B4" w:rsidRDefault="00C93CC0" w:rsidP="00096F8C">
      <w:pPr>
        <w:pStyle w:val="Heading1"/>
        <w:rPr>
          <w:noProof/>
        </w:rPr>
      </w:pPr>
      <w:r w:rsidRPr="00B740B4">
        <w:rPr>
          <w:noProof/>
        </w:rPr>
        <w:t>Nebuchadnezzar Testifies to Kingship a</w:t>
      </w:r>
      <w:r w:rsidR="00044D0F" w:rsidRPr="00B740B4">
        <w:rPr>
          <w:noProof/>
        </w:rPr>
        <w:t>nd Understanding</w:t>
      </w:r>
      <w:r w:rsidRPr="00B740B4">
        <w:rPr>
          <w:noProof/>
        </w:rPr>
        <w:t xml:space="preserve"> Threatened, Lost, and Restored (</w:t>
      </w:r>
      <w:r w:rsidR="00CB10AA" w:rsidRPr="00B740B4">
        <w:rPr>
          <w:noProof/>
        </w:rPr>
        <w:t>4:1–37 [</w:t>
      </w:r>
      <w:r w:rsidRPr="00B740B4">
        <w:rPr>
          <w:noProof/>
        </w:rPr>
        <w:t>3:31–4:34</w:t>
      </w:r>
      <w:r w:rsidR="00CB10AA" w:rsidRPr="00B740B4">
        <w:rPr>
          <w:noProof/>
        </w:rPr>
        <w:t>]</w:t>
      </w:r>
      <w:r w:rsidRPr="00B740B4">
        <w:rPr>
          <w:noProof/>
        </w:rPr>
        <w:t>)</w:t>
      </w:r>
    </w:p>
    <w:p w:rsidR="00FD6506" w:rsidRPr="00B740B4" w:rsidRDefault="00FD6506" w:rsidP="00546517">
      <w:pPr>
        <w:ind w:firstLine="0"/>
      </w:pPr>
      <w:r w:rsidRPr="00B740B4">
        <w:t xml:space="preserve">In printed Hebrew Bibles </w:t>
      </w:r>
      <w:r w:rsidR="00C23585">
        <w:t>the chapter is 3:31—4:34; a reference such as 4:1-37 [3:31-4:34] in this</w:t>
      </w:r>
      <w:r w:rsidR="00546517" w:rsidRPr="00B740B4">
        <w:t xml:space="preserve"> commentary </w:t>
      </w:r>
      <w:r w:rsidR="00214981">
        <w:t>thus gives the English numbering followed by the printed Hebrew numbering</w:t>
      </w:r>
      <w:r w:rsidRPr="00B740B4">
        <w:t>. Where only one form of reference appears, it is to the English versification.</w:t>
      </w:r>
    </w:p>
    <w:p w:rsidR="00C93CC0" w:rsidRPr="00B740B4" w:rsidRDefault="00C93CC0" w:rsidP="009479B1">
      <w:pPr>
        <w:pStyle w:val="Heading2"/>
        <w:rPr>
          <w:rFonts w:eastAsia="Times New Roman"/>
        </w:rPr>
      </w:pPr>
      <w:r w:rsidRPr="00B740B4">
        <w:rPr>
          <w:rFonts w:eastAsia="Times New Roman"/>
        </w:rPr>
        <w:t>Pericope Bibliography</w:t>
      </w:r>
    </w:p>
    <w:p w:rsidR="00C93CC0" w:rsidRPr="00130E06" w:rsidRDefault="00C93CC0" w:rsidP="00546517">
      <w:pPr>
        <w:ind w:firstLine="0"/>
        <w:rPr>
          <w:rFonts w:eastAsia="Times New Roman"/>
          <w:noProof/>
        </w:rPr>
      </w:pPr>
      <w:r w:rsidRPr="00B740B4">
        <w:rPr>
          <w:rFonts w:eastAsia="Times New Roman"/>
          <w:b/>
          <w:noProof/>
        </w:rPr>
        <w:t>Alonso Díaz, J.</w:t>
      </w:r>
      <w:r w:rsidRPr="00B740B4">
        <w:rPr>
          <w:rFonts w:eastAsia="Times New Roman"/>
          <w:noProof/>
        </w:rPr>
        <w:t xml:space="preserve"> “La conversión de Nabucodonosor en bestia.”  </w:t>
      </w:r>
      <w:r w:rsidR="00130E06">
        <w:rPr>
          <w:rStyle w:val="b"/>
          <w:color w:val="auto"/>
          <w:sz w:val="22"/>
          <w:szCs w:val="22"/>
        </w:rPr>
        <w:t xml:space="preserve">Appler, D. </w:t>
      </w:r>
      <w:r w:rsidR="00130E06">
        <w:rPr>
          <w:rStyle w:val="b"/>
          <w:b w:val="0"/>
          <w:color w:val="auto"/>
          <w:sz w:val="22"/>
          <w:szCs w:val="22"/>
        </w:rPr>
        <w:t xml:space="preserve">“Digging in the Claws.” </w:t>
      </w:r>
      <w:r w:rsidRPr="00B740B4">
        <w:rPr>
          <w:rFonts w:eastAsia="Times New Roman"/>
          <w:b/>
          <w:noProof/>
        </w:rPr>
        <w:t>Ball, C. J.</w:t>
      </w:r>
      <w:r w:rsidRPr="00B740B4">
        <w:rPr>
          <w:rFonts w:eastAsia="Times New Roman"/>
          <w:noProof/>
        </w:rPr>
        <w:t xml:space="preserve"> “Daniel and Babylon.” </w:t>
      </w:r>
      <w:r w:rsidR="00B10E9A" w:rsidRPr="00B740B4">
        <w:rPr>
          <w:rFonts w:eastAsia="Times New Roman"/>
          <w:b/>
          <w:noProof/>
        </w:rPr>
        <w:t xml:space="preserve">Basson, A. </w:t>
      </w:r>
      <w:r w:rsidR="00B10E9A" w:rsidRPr="00B740B4">
        <w:rPr>
          <w:rFonts w:eastAsia="Times New Roman"/>
          <w:noProof/>
        </w:rPr>
        <w:t xml:space="preserve">“‘A King in the Grass.’” </w:t>
      </w:r>
      <w:r w:rsidR="00FB048A" w:rsidRPr="00B740B4">
        <w:rPr>
          <w:rFonts w:eastAsia="Times New Roman"/>
          <w:b/>
          <w:noProof/>
        </w:rPr>
        <w:t>Beaulieu, P.-A.</w:t>
      </w:r>
      <w:r w:rsidR="00FB048A" w:rsidRPr="00B740B4">
        <w:rPr>
          <w:rFonts w:eastAsia="Times New Roman"/>
          <w:noProof/>
        </w:rPr>
        <w:t xml:space="preserve">  </w:t>
      </w:r>
      <w:r w:rsidR="00FB048A" w:rsidRPr="00B740B4">
        <w:rPr>
          <w:rFonts w:eastAsia="Times New Roman"/>
          <w:i/>
          <w:noProof/>
        </w:rPr>
        <w:t>The Reign of Nabonidus</w:t>
      </w:r>
      <w:r w:rsidR="00FB048A" w:rsidRPr="00B740B4">
        <w:rPr>
          <w:rFonts w:eastAsia="Times New Roman"/>
          <w:noProof/>
        </w:rPr>
        <w:t xml:space="preserve">. </w:t>
      </w:r>
      <w:r w:rsidR="00BF2EA1" w:rsidRPr="00B740B4">
        <w:rPr>
          <w:rFonts w:eastAsia="Times New Roman"/>
          <w:b/>
          <w:iCs/>
          <w:noProof/>
        </w:rPr>
        <w:lastRenderedPageBreak/>
        <w:t>Becking</w:t>
      </w:r>
      <w:r w:rsidR="00BF2EA1" w:rsidRPr="00B740B4">
        <w:rPr>
          <w:rFonts w:eastAsia="Times New Roman"/>
          <w:b/>
          <w:noProof/>
        </w:rPr>
        <w:t>, B.</w:t>
      </w:r>
      <w:r w:rsidR="00214981">
        <w:rPr>
          <w:rFonts w:eastAsia="Times New Roman"/>
          <w:noProof/>
        </w:rPr>
        <w:t xml:space="preserve"> “A Divine Spirit is in You,” i</w:t>
      </w:r>
      <w:r w:rsidR="00BF2EA1" w:rsidRPr="00B740B4">
        <w:rPr>
          <w:rFonts w:eastAsia="Times New Roman"/>
          <w:noProof/>
        </w:rPr>
        <w:t xml:space="preserve">n van der Woude </w:t>
      </w:r>
      <w:r w:rsidR="00BF2EA1" w:rsidRPr="00B740B4">
        <w:rPr>
          <w:rFonts w:eastAsia="Times New Roman"/>
          <w:b/>
          <w:noProof/>
        </w:rPr>
        <w:t>(</w:t>
      </w:r>
      <w:r w:rsidR="00BF2EA1" w:rsidRPr="00B740B4">
        <w:rPr>
          <w:rFonts w:eastAsia="Times New Roman"/>
          <w:noProof/>
        </w:rPr>
        <w:t>ed</w:t>
      </w:r>
      <w:r w:rsidR="00BF2EA1" w:rsidRPr="00B740B4">
        <w:rPr>
          <w:rFonts w:eastAsia="Times New Roman"/>
          <w:b/>
          <w:noProof/>
        </w:rPr>
        <w:t xml:space="preserve">.), </w:t>
      </w:r>
      <w:r w:rsidR="00BF2EA1" w:rsidRPr="00B740B4">
        <w:rPr>
          <w:rFonts w:eastAsia="Times New Roman"/>
          <w:i/>
          <w:noProof/>
        </w:rPr>
        <w:t>The Book of Daniel</w:t>
      </w:r>
      <w:r w:rsidR="00BF2EA1" w:rsidRPr="00B740B4">
        <w:rPr>
          <w:rFonts w:eastAsia="Times New Roman"/>
          <w:noProof/>
        </w:rPr>
        <w:t xml:space="preserve">, 515-519. </w:t>
      </w:r>
      <w:r w:rsidR="00FE542D" w:rsidRPr="00B740B4">
        <w:rPr>
          <w:rFonts w:eastAsiaTheme="minorHAnsi"/>
          <w:b/>
        </w:rPr>
        <w:t>Brueggemann, W.</w:t>
      </w:r>
      <w:r w:rsidR="00FE542D" w:rsidRPr="00B740B4">
        <w:rPr>
          <w:rFonts w:eastAsiaTheme="minorHAnsi"/>
        </w:rPr>
        <w:t xml:space="preserve"> </w:t>
      </w:r>
      <w:r w:rsidR="00FE542D" w:rsidRPr="00B740B4">
        <w:rPr>
          <w:rFonts w:eastAsiaTheme="minorHAnsi" w:cs="Times New Roman"/>
        </w:rPr>
        <w:t xml:space="preserve">“The Non-negotiable Price of Sanity.” </w:t>
      </w:r>
      <w:r w:rsidRPr="00B740B4">
        <w:rPr>
          <w:rFonts w:eastAsia="Times New Roman"/>
          <w:b/>
          <w:noProof/>
        </w:rPr>
        <w:t>Bucheim, J. G.</w:t>
      </w:r>
      <w:r w:rsidRPr="00B740B4">
        <w:rPr>
          <w:rFonts w:eastAsia="Times New Roman"/>
          <w:noProof/>
        </w:rPr>
        <w:t xml:space="preserve"> </w:t>
      </w:r>
      <w:r w:rsidRPr="00B740B4">
        <w:rPr>
          <w:rFonts w:eastAsia="Times New Roman"/>
          <w:i/>
          <w:noProof/>
        </w:rPr>
        <w:t>Dissertatio de</w:t>
      </w:r>
      <w:r w:rsidR="00CB10AA" w:rsidRPr="00B740B4">
        <w:rPr>
          <w:rFonts w:eastAsia="Times New Roman"/>
          <w:noProof/>
        </w:rPr>
        <w:t xml:space="preserve"> </w:t>
      </w:r>
      <w:r w:rsidR="00CB10AA" w:rsidRPr="00B740B4">
        <w:rPr>
          <w:rFonts w:eastAsia="Times New Roman"/>
          <w:noProof/>
          <w:lang w:val="el-GR"/>
        </w:rPr>
        <w:t>μ</w:t>
      </w:r>
      <w:r w:rsidR="00CB10AA" w:rsidRPr="00B740B4">
        <w:rPr>
          <w:rFonts w:eastAsia="Times New Roman"/>
          <w:noProof/>
        </w:rPr>
        <w:t>ετα</w:t>
      </w:r>
      <w:r w:rsidR="00CB10AA" w:rsidRPr="00B740B4">
        <w:rPr>
          <w:rFonts w:eastAsia="Times New Roman"/>
          <w:noProof/>
          <w:lang w:val="el-GR"/>
        </w:rPr>
        <w:t>μ</w:t>
      </w:r>
      <w:r w:rsidRPr="00B740B4">
        <w:rPr>
          <w:rFonts w:eastAsia="Times New Roman"/>
          <w:noProof/>
        </w:rPr>
        <w:t xml:space="preserve">ορψώσει </w:t>
      </w:r>
      <w:r w:rsidRPr="00B740B4">
        <w:rPr>
          <w:rFonts w:eastAsia="Times New Roman"/>
          <w:i/>
          <w:noProof/>
        </w:rPr>
        <w:t>regis Nabuchodonosoris</w:t>
      </w:r>
      <w:r w:rsidR="00CB10AA" w:rsidRPr="00B740B4">
        <w:rPr>
          <w:rFonts w:eastAsia="Times New Roman"/>
          <w:noProof/>
        </w:rPr>
        <w:t xml:space="preserve">. </w:t>
      </w:r>
      <w:r w:rsidR="00CE6BAF" w:rsidRPr="00B740B4">
        <w:rPr>
          <w:rFonts w:eastAsia="Times New Roman"/>
          <w:b/>
          <w:noProof/>
        </w:rPr>
        <w:t>Bunta, S. N.</w:t>
      </w:r>
      <w:r w:rsidR="00CE6BAF" w:rsidRPr="00B740B4">
        <w:rPr>
          <w:rFonts w:eastAsia="Times New Roman"/>
          <w:noProof/>
        </w:rPr>
        <w:t xml:space="preserve"> “</w:t>
      </w:r>
      <w:r w:rsidR="00CE6BAF" w:rsidRPr="00B740B4">
        <w:rPr>
          <w:rFonts w:eastAsia="Times New Roman"/>
          <w:bCs/>
          <w:noProof/>
        </w:rPr>
        <w:t xml:space="preserve">The </w:t>
      </w:r>
      <w:r w:rsidR="00CE6BAF" w:rsidRPr="00B740B4">
        <w:rPr>
          <w:rFonts w:eastAsia="Times New Roman"/>
          <w:bCs/>
          <w:i/>
          <w:iCs/>
          <w:noProof/>
        </w:rPr>
        <w:t>Mēs</w:t>
      </w:r>
      <w:r w:rsidR="00CE6BAF" w:rsidRPr="00B740B4">
        <w:rPr>
          <w:rFonts w:eastAsia="Times New Roman"/>
          <w:i/>
          <w:noProof/>
        </w:rPr>
        <w:t>u</w:t>
      </w:r>
      <w:r w:rsidR="00CE6BAF" w:rsidRPr="00B740B4">
        <w:rPr>
          <w:rFonts w:eastAsia="Times New Roman"/>
          <w:bCs/>
          <w:noProof/>
        </w:rPr>
        <w:t>-tree and the Animal Inside.”</w:t>
      </w:r>
      <w:r w:rsidR="00CE6BAF" w:rsidRPr="00B740B4">
        <w:rPr>
          <w:rFonts w:eastAsia="Times New Roman"/>
          <w:b/>
          <w:noProof/>
        </w:rPr>
        <w:t xml:space="preserve"> </w:t>
      </w:r>
      <w:r w:rsidR="0053413D" w:rsidRPr="00B740B4">
        <w:rPr>
          <w:b/>
        </w:rPr>
        <w:t>Burkholder, B.</w:t>
      </w:r>
      <w:r w:rsidR="0053413D" w:rsidRPr="00B740B4">
        <w:t xml:space="preserve"> “Literary Patterns and God's Sovereignty in Daniel 4.” </w:t>
      </w:r>
      <w:r w:rsidR="009F18B2">
        <w:rPr>
          <w:b/>
          <w:noProof/>
        </w:rPr>
        <w:t>Cook, S.</w:t>
      </w:r>
      <w:r w:rsidR="009F18B2">
        <w:rPr>
          <w:noProof/>
        </w:rPr>
        <w:t xml:space="preserve"> L. “</w:t>
      </w:r>
      <w:r w:rsidR="009F18B2" w:rsidRPr="007B7755">
        <w:rPr>
          <w:noProof/>
        </w:rPr>
        <w:t xml:space="preserve">Mythological </w:t>
      </w:r>
      <w:r w:rsidR="00214981">
        <w:rPr>
          <w:noProof/>
        </w:rPr>
        <w:t>Discourse In Ezekiel and Daniel</w:t>
      </w:r>
      <w:r w:rsidR="009F18B2" w:rsidRPr="007B7755">
        <w:rPr>
          <w:noProof/>
        </w:rPr>
        <w:t>.”</w:t>
      </w:r>
      <w:r w:rsidR="009F18B2">
        <w:rPr>
          <w:b/>
          <w:noProof/>
        </w:rPr>
        <w:t xml:space="preserve"> </w:t>
      </w:r>
      <w:r w:rsidRPr="00B740B4">
        <w:rPr>
          <w:rFonts w:eastAsia="Times New Roman"/>
          <w:b/>
          <w:noProof/>
        </w:rPr>
        <w:t>Coxon, P. W.</w:t>
      </w:r>
      <w:r w:rsidRPr="00B740B4">
        <w:rPr>
          <w:rFonts w:eastAsia="Times New Roman"/>
          <w:noProof/>
        </w:rPr>
        <w:t xml:space="preserve"> </w:t>
      </w:r>
      <w:r w:rsidR="00633E6D" w:rsidRPr="00B740B4">
        <w:rPr>
          <w:rFonts w:eastAsia="Times New Roman"/>
          <w:noProof/>
        </w:rPr>
        <w:t xml:space="preserve">“Another Look at Nebuchadnezzar’s Madness,” in van der Woude </w:t>
      </w:r>
      <w:r w:rsidR="00633E6D" w:rsidRPr="00B740B4">
        <w:rPr>
          <w:rFonts w:eastAsia="Times New Roman"/>
          <w:b/>
          <w:noProof/>
        </w:rPr>
        <w:t>(</w:t>
      </w:r>
      <w:r w:rsidR="00633E6D" w:rsidRPr="00B740B4">
        <w:rPr>
          <w:rFonts w:eastAsia="Times New Roman"/>
          <w:noProof/>
        </w:rPr>
        <w:t>ed</w:t>
      </w:r>
      <w:r w:rsidR="00633E6D" w:rsidRPr="00B740B4">
        <w:rPr>
          <w:rFonts w:eastAsia="Times New Roman"/>
          <w:b/>
          <w:noProof/>
        </w:rPr>
        <w:t xml:space="preserve">.), </w:t>
      </w:r>
      <w:r w:rsidR="00633E6D" w:rsidRPr="00B740B4">
        <w:rPr>
          <w:rFonts w:eastAsia="Times New Roman"/>
          <w:i/>
          <w:noProof/>
        </w:rPr>
        <w:t>The Book of Daniel</w:t>
      </w:r>
      <w:r w:rsidR="00633E6D" w:rsidRPr="00B740B4">
        <w:rPr>
          <w:rFonts w:eastAsia="Times New Roman"/>
          <w:noProof/>
        </w:rPr>
        <w:t xml:space="preserve">, 211-222. ———. </w:t>
      </w:r>
      <w:r w:rsidRPr="00B740B4">
        <w:rPr>
          <w:rFonts w:eastAsia="Times New Roman"/>
          <w:noProof/>
        </w:rPr>
        <w:t>“</w:t>
      </w:r>
      <w:r w:rsidR="00CB10AA" w:rsidRPr="00B740B4">
        <w:rPr>
          <w:rFonts w:eastAsia="Times New Roman"/>
          <w:noProof/>
        </w:rPr>
        <w:t xml:space="preserve">The Great Tree of Daniel 4.” </w:t>
      </w:r>
      <w:r w:rsidRPr="00B740B4">
        <w:rPr>
          <w:rFonts w:eastAsia="Times New Roman"/>
          <w:b/>
          <w:noProof/>
        </w:rPr>
        <w:t>Cross, F. M.</w:t>
      </w:r>
      <w:r w:rsidRPr="00B740B4">
        <w:rPr>
          <w:rFonts w:eastAsia="Times New Roman"/>
          <w:noProof/>
        </w:rPr>
        <w:t xml:space="preserve"> “Fragmen</w:t>
      </w:r>
      <w:r w:rsidR="00CB10AA" w:rsidRPr="00B740B4">
        <w:rPr>
          <w:rFonts w:eastAsia="Times New Roman"/>
          <w:noProof/>
        </w:rPr>
        <w:t>ts of the Prayer of Nabonidus.”</w:t>
      </w:r>
      <w:r w:rsidRPr="00B740B4">
        <w:rPr>
          <w:rFonts w:eastAsia="Times New Roman"/>
          <w:noProof/>
        </w:rPr>
        <w:t xml:space="preserve"> </w:t>
      </w:r>
      <w:r w:rsidR="00B47B8E" w:rsidRPr="00B740B4">
        <w:rPr>
          <w:rFonts w:eastAsiaTheme="minorHAnsi" w:cs="OJGFIJ+TimesNewRomanPSMT"/>
          <w:b/>
        </w:rPr>
        <w:t>Davis Bledsoe, A. M. “</w:t>
      </w:r>
      <w:r w:rsidR="00B47B8E" w:rsidRPr="00B740B4">
        <w:rPr>
          <w:rFonts w:eastAsiaTheme="minorHAnsi" w:cs="BodoniBE-Regular"/>
        </w:rPr>
        <w:t>The Identity of the ‘Mad King’</w:t>
      </w:r>
      <w:r w:rsidR="00B47B8E" w:rsidRPr="00B740B4">
        <w:rPr>
          <w:rFonts w:eastAsiaTheme="minorHAnsi" w:cs="OJGFIJ+TimesNewRomanPSMT"/>
          <w:b/>
        </w:rPr>
        <w:t xml:space="preserve"> </w:t>
      </w:r>
      <w:r w:rsidR="00B47B8E" w:rsidRPr="00B740B4">
        <w:rPr>
          <w:rFonts w:eastAsiaTheme="minorHAnsi" w:cs="BodoniBE-Regular"/>
        </w:rPr>
        <w:t xml:space="preserve">of Daniel 4.” </w:t>
      </w:r>
      <w:r w:rsidRPr="00B740B4">
        <w:rPr>
          <w:rFonts w:eastAsia="Times New Roman"/>
          <w:b/>
          <w:noProof/>
        </w:rPr>
        <w:t>Di Lella, A. A.</w:t>
      </w:r>
      <w:r w:rsidR="007D62F3" w:rsidRPr="00B740B4">
        <w:rPr>
          <w:rFonts w:eastAsia="Times New Roman"/>
          <w:noProof/>
        </w:rPr>
        <w:t xml:space="preserve"> “Daniel 4:7–14.” </w:t>
      </w:r>
      <w:r w:rsidR="00633E6D" w:rsidRPr="00B740B4">
        <w:rPr>
          <w:rFonts w:eastAsia="Times New Roman"/>
          <w:b/>
          <w:noProof/>
        </w:rPr>
        <w:t xml:space="preserve">Dommershausen, W. </w:t>
      </w:r>
      <w:r w:rsidR="00633E6D" w:rsidRPr="00B740B4">
        <w:rPr>
          <w:rFonts w:eastAsia="Times New Roman"/>
          <w:i/>
          <w:noProof/>
        </w:rPr>
        <w:t>Nabonid im Buche Daniel</w:t>
      </w:r>
      <w:r w:rsidR="00633E6D" w:rsidRPr="00B740B4">
        <w:rPr>
          <w:rFonts w:eastAsia="Times New Roman"/>
          <w:noProof/>
        </w:rPr>
        <w:t>.</w:t>
      </w:r>
      <w:r w:rsidR="00633E6D" w:rsidRPr="00B740B4">
        <w:rPr>
          <w:rFonts w:eastAsia="Times New Roman"/>
          <w:b/>
          <w:noProof/>
        </w:rPr>
        <w:t xml:space="preserve"> </w:t>
      </w:r>
      <w:r w:rsidRPr="00B740B4">
        <w:rPr>
          <w:rFonts w:eastAsia="Times New Roman"/>
          <w:b/>
          <w:noProof/>
        </w:rPr>
        <w:t>Ehrlich, E. L.</w:t>
      </w:r>
      <w:r w:rsidRPr="00B740B4">
        <w:rPr>
          <w:rFonts w:eastAsia="Times New Roman"/>
          <w:noProof/>
        </w:rPr>
        <w:t xml:space="preserve"> </w:t>
      </w:r>
      <w:r w:rsidR="007D62F3" w:rsidRPr="00B740B4">
        <w:rPr>
          <w:rFonts w:eastAsia="Times New Roman"/>
          <w:i/>
          <w:noProof/>
        </w:rPr>
        <w:t>Der Traum im AT</w:t>
      </w:r>
      <w:r w:rsidR="007D62F3" w:rsidRPr="00B740B4">
        <w:rPr>
          <w:rFonts w:eastAsia="Times New Roman"/>
          <w:noProof/>
        </w:rPr>
        <w:t>,</w:t>
      </w:r>
      <w:r w:rsidRPr="00B740B4">
        <w:rPr>
          <w:rFonts w:eastAsia="Times New Roman"/>
          <w:noProof/>
        </w:rPr>
        <w:t xml:space="preserve"> 113–22. </w:t>
      </w:r>
      <w:r w:rsidR="00E554C6" w:rsidRPr="00B740B4">
        <w:rPr>
          <w:b/>
        </w:rPr>
        <w:t>Ferguson, P. “</w:t>
      </w:r>
      <w:r w:rsidR="00E554C6" w:rsidRPr="00B740B4">
        <w:rPr>
          <w:rFonts w:eastAsia="Times-Roman" w:cs="Times-Roman"/>
        </w:rPr>
        <w:t>Nebuchadnezzar, Gilgamesh,</w:t>
      </w:r>
      <w:r w:rsidR="00E554C6" w:rsidRPr="00B740B4">
        <w:rPr>
          <w:b/>
        </w:rPr>
        <w:t xml:space="preserve"> a</w:t>
      </w:r>
      <w:r w:rsidR="00E554C6" w:rsidRPr="00B740B4">
        <w:rPr>
          <w:rFonts w:eastAsia="Times-Roman" w:cs="Times-Roman"/>
        </w:rPr>
        <w:t xml:space="preserve">nd the ‘Babylonian Job.’” </w:t>
      </w:r>
      <w:r w:rsidRPr="00B740B4">
        <w:rPr>
          <w:rFonts w:eastAsia="Times New Roman"/>
          <w:b/>
          <w:noProof/>
        </w:rPr>
        <w:t>Freedman, D. M.</w:t>
      </w:r>
      <w:r w:rsidRPr="00B740B4">
        <w:rPr>
          <w:rFonts w:eastAsia="Times New Roman"/>
          <w:noProof/>
        </w:rPr>
        <w:t xml:space="preserve"> “The Prayer of Nabonidus.” </w:t>
      </w:r>
      <w:r w:rsidRPr="00B740B4">
        <w:rPr>
          <w:rFonts w:eastAsia="Times New Roman"/>
          <w:b/>
          <w:noProof/>
        </w:rPr>
        <w:t>Gadd, C. J.</w:t>
      </w:r>
      <w:r w:rsidRPr="00B740B4">
        <w:rPr>
          <w:rFonts w:eastAsia="Times New Roman"/>
          <w:noProof/>
        </w:rPr>
        <w:t xml:space="preserve"> “The Harran Inscriptions of Nabonidus.” ———. “The Kingd</w:t>
      </w:r>
      <w:r w:rsidR="005A5446" w:rsidRPr="00B740B4">
        <w:rPr>
          <w:rFonts w:eastAsia="Times New Roman"/>
          <w:noProof/>
        </w:rPr>
        <w:t xml:space="preserve">om of Nabu-na’id in Arabia.” </w:t>
      </w:r>
      <w:r w:rsidR="005A5446" w:rsidRPr="00B740B4">
        <w:rPr>
          <w:rFonts w:eastAsia="Times New Roman"/>
          <w:b/>
          <w:noProof/>
        </w:rPr>
        <w:t xml:space="preserve">García </w:t>
      </w:r>
      <w:r w:rsidR="005A5446" w:rsidRPr="00B740B4">
        <w:rPr>
          <w:rFonts w:eastAsia="Times New Roman"/>
          <w:b/>
          <w:iCs/>
          <w:noProof/>
        </w:rPr>
        <w:t>Martínez</w:t>
      </w:r>
      <w:r w:rsidR="005A5446" w:rsidRPr="00B740B4">
        <w:rPr>
          <w:rFonts w:eastAsia="Times New Roman"/>
          <w:b/>
          <w:noProof/>
        </w:rPr>
        <w:t>,</w:t>
      </w:r>
      <w:r w:rsidRPr="00B740B4">
        <w:rPr>
          <w:rFonts w:eastAsia="Times New Roman"/>
          <w:b/>
          <w:noProof/>
        </w:rPr>
        <w:t xml:space="preserve"> F.</w:t>
      </w:r>
      <w:r w:rsidR="005A5446" w:rsidRPr="00B740B4">
        <w:rPr>
          <w:rFonts w:eastAsia="Times New Roman"/>
          <w:noProof/>
        </w:rPr>
        <w:t xml:space="preserve"> “4Q Or Nab</w:t>
      </w:r>
      <w:r w:rsidRPr="00B740B4">
        <w:rPr>
          <w:rFonts w:eastAsia="Times New Roman"/>
          <w:noProof/>
        </w:rPr>
        <w:t>.</w:t>
      </w:r>
      <w:r w:rsidR="005A5446" w:rsidRPr="00B740B4">
        <w:rPr>
          <w:rFonts w:eastAsia="Times New Roman"/>
          <w:noProof/>
        </w:rPr>
        <w:t>”</w:t>
      </w:r>
      <w:r w:rsidRPr="00B740B4">
        <w:rPr>
          <w:rFonts w:eastAsia="Times New Roman"/>
          <w:noProof/>
        </w:rPr>
        <w:t xml:space="preserve"> </w:t>
      </w:r>
      <w:r w:rsidRPr="00B740B4">
        <w:rPr>
          <w:rFonts w:eastAsia="Times New Roman"/>
          <w:b/>
          <w:noProof/>
        </w:rPr>
        <w:t>Gowan, D. E.</w:t>
      </w:r>
      <w:r w:rsidRPr="00B740B4">
        <w:rPr>
          <w:rFonts w:eastAsia="Times New Roman"/>
          <w:noProof/>
        </w:rPr>
        <w:t xml:space="preserve"> </w:t>
      </w:r>
      <w:r w:rsidR="0018333D" w:rsidRPr="00B740B4">
        <w:rPr>
          <w:rFonts w:eastAsia="Times New Roman"/>
          <w:i/>
          <w:noProof/>
        </w:rPr>
        <w:t>When Man Becomes God</w:t>
      </w:r>
      <w:r w:rsidRPr="00B740B4">
        <w:rPr>
          <w:rFonts w:eastAsia="Times New Roman"/>
          <w:noProof/>
        </w:rPr>
        <w:t xml:space="preserve">. </w:t>
      </w:r>
      <w:r w:rsidRPr="00B740B4">
        <w:rPr>
          <w:rFonts w:eastAsia="Times New Roman"/>
          <w:b/>
          <w:noProof/>
        </w:rPr>
        <w:t>Grelot, P.</w:t>
      </w:r>
      <w:r w:rsidRPr="00B740B4">
        <w:rPr>
          <w:rFonts w:eastAsia="Times New Roman"/>
          <w:noProof/>
        </w:rPr>
        <w:t xml:space="preserve"> “Rudolph Meyer, </w:t>
      </w:r>
      <w:r w:rsidRPr="00B740B4">
        <w:rPr>
          <w:rFonts w:eastAsia="Times New Roman"/>
          <w:i/>
          <w:noProof/>
        </w:rPr>
        <w:t>Das Gebet des Nabonid</w:t>
      </w:r>
      <w:r w:rsidR="0018333D" w:rsidRPr="00B740B4">
        <w:rPr>
          <w:rFonts w:eastAsia="Times New Roman"/>
          <w:noProof/>
        </w:rPr>
        <w:t>.</w:t>
      </w:r>
      <w:r w:rsidRPr="00B740B4">
        <w:rPr>
          <w:rFonts w:eastAsia="Times New Roman"/>
          <w:noProof/>
        </w:rPr>
        <w:t xml:space="preserve">”  ———. “La prière de Nabonide.” ———. </w:t>
      </w:r>
      <w:r w:rsidR="00B91976" w:rsidRPr="00B740B4">
        <w:rPr>
          <w:rFonts w:eastAsia="Times New Roman"/>
          <w:bCs/>
          <w:noProof/>
        </w:rPr>
        <w:t xml:space="preserve">“Nabuchodonosor changé en bête.” ———. </w:t>
      </w:r>
      <w:r w:rsidRPr="00B740B4">
        <w:rPr>
          <w:rFonts w:eastAsia="Times New Roman"/>
          <w:noProof/>
        </w:rPr>
        <w:t xml:space="preserve">“La Septante de Daniel iv et son substrat sémitique.” </w:t>
      </w:r>
      <w:r w:rsidRPr="00B740B4">
        <w:rPr>
          <w:rFonts w:eastAsia="Times New Roman"/>
          <w:b/>
          <w:noProof/>
        </w:rPr>
        <w:t>Haag, E.</w:t>
      </w:r>
      <w:r w:rsidRPr="00B740B4">
        <w:rPr>
          <w:rFonts w:eastAsia="Times New Roman"/>
          <w:noProof/>
        </w:rPr>
        <w:t xml:space="preserve"> “Der Traum des Nebukadnezzar in Dan 4.” </w:t>
      </w:r>
      <w:r w:rsidR="00806636" w:rsidRPr="00B740B4">
        <w:rPr>
          <w:rFonts w:eastAsia="Times New Roman"/>
          <w:b/>
          <w:noProof/>
        </w:rPr>
        <w:t xml:space="preserve">Hartman, L. F. </w:t>
      </w:r>
      <w:r w:rsidR="00806636" w:rsidRPr="00B740B4">
        <w:rPr>
          <w:rFonts w:eastAsiaTheme="minorHAnsi"/>
        </w:rPr>
        <w:t xml:space="preserve">"The Great Tree and Nabuchodonosor's Madness." </w:t>
      </w:r>
      <w:r w:rsidR="00C61D0D" w:rsidRPr="00B740B4">
        <w:rPr>
          <w:rFonts w:eastAsiaTheme="minorHAnsi" w:cs="OJGFIJ+TimesNewRomanPSMT"/>
          <w:b/>
        </w:rPr>
        <w:t>Hays, C. B.</w:t>
      </w:r>
      <w:r w:rsidR="00C61D0D" w:rsidRPr="00B740B4">
        <w:rPr>
          <w:rFonts w:eastAsiaTheme="minorHAnsi" w:cs="OJGFIJ+TimesNewRomanPSMT"/>
        </w:rPr>
        <w:t xml:space="preserve"> “Chirps from the Dust.” </w:t>
      </w:r>
      <w:r w:rsidR="00660F83" w:rsidRPr="00B740B4">
        <w:rPr>
          <w:rFonts w:eastAsiaTheme="minorHAnsi"/>
          <w:b/>
        </w:rPr>
        <w:t xml:space="preserve">Henze, M. </w:t>
      </w:r>
      <w:r w:rsidR="00EA7E80" w:rsidRPr="00B740B4">
        <w:rPr>
          <w:rFonts w:eastAsiaTheme="minorHAnsi"/>
          <w:i/>
        </w:rPr>
        <w:t>The Madness of King Nebuchadnezzar</w:t>
      </w:r>
      <w:r w:rsidR="00EA7E80" w:rsidRPr="00B740B4">
        <w:rPr>
          <w:rFonts w:eastAsiaTheme="minorHAnsi"/>
          <w:b/>
          <w:i/>
        </w:rPr>
        <w:t xml:space="preserve">. </w:t>
      </w:r>
      <w:r w:rsidR="00EA7E80" w:rsidRPr="00B740B4">
        <w:rPr>
          <w:rFonts w:eastAsiaTheme="minorHAnsi"/>
          <w:b/>
        </w:rPr>
        <w:t xml:space="preserve">———. </w:t>
      </w:r>
      <w:r w:rsidR="00660F83" w:rsidRPr="00B740B4">
        <w:rPr>
          <w:rFonts w:eastAsiaTheme="minorHAnsi"/>
        </w:rPr>
        <w:t>“Nebuchadnezzar’s Madness (Daniel 4) in Syriac Literature,” i</w:t>
      </w:r>
      <w:r w:rsidR="00660F83" w:rsidRPr="00B740B4">
        <w:rPr>
          <w:rFonts w:eastAsiaTheme="minorHAnsi"/>
          <w:bCs/>
        </w:rPr>
        <w:t xml:space="preserve">n Collins/Flint (eds.), </w:t>
      </w:r>
      <w:r w:rsidR="00660F83" w:rsidRPr="00B740B4">
        <w:rPr>
          <w:rFonts w:eastAsiaTheme="minorHAnsi"/>
          <w:bCs/>
          <w:i/>
        </w:rPr>
        <w:t>The Book of Daniel</w:t>
      </w:r>
      <w:r w:rsidR="00660F83" w:rsidRPr="00B740B4">
        <w:rPr>
          <w:rFonts w:eastAsiaTheme="minorHAnsi"/>
          <w:b/>
        </w:rPr>
        <w:t xml:space="preserve"> </w:t>
      </w:r>
      <w:r w:rsidR="00660F83" w:rsidRPr="00B740B4">
        <w:rPr>
          <w:rFonts w:eastAsiaTheme="minorHAnsi"/>
        </w:rPr>
        <w:t>2:550-71.</w:t>
      </w:r>
      <w:r w:rsidR="00660F83" w:rsidRPr="00B740B4">
        <w:rPr>
          <w:rFonts w:eastAsiaTheme="minorHAnsi"/>
          <w:b/>
          <w:i/>
        </w:rPr>
        <w:t xml:space="preserve"> </w:t>
      </w:r>
      <w:r w:rsidR="00633E6D" w:rsidRPr="00B740B4">
        <w:rPr>
          <w:b/>
        </w:rPr>
        <w:t>Hurvitz, A.</w:t>
      </w:r>
      <w:r w:rsidR="00633E6D" w:rsidRPr="00B740B4">
        <w:t xml:space="preserve"> “The History of a Legal Formula.” </w:t>
      </w:r>
      <w:r w:rsidR="001F1B6E" w:rsidRPr="00B740B4">
        <w:rPr>
          <w:b/>
          <w:iCs/>
        </w:rPr>
        <w:t>Koch, K</w:t>
      </w:r>
      <w:r w:rsidR="001F1B6E" w:rsidRPr="00B740B4">
        <w:t xml:space="preserve">. “Gottes Herrschaft über das Reich des Menschen,” in van der Woude </w:t>
      </w:r>
      <w:r w:rsidR="001F1B6E" w:rsidRPr="00B740B4">
        <w:rPr>
          <w:b/>
        </w:rPr>
        <w:t>(</w:t>
      </w:r>
      <w:r w:rsidR="001F1B6E" w:rsidRPr="00B740B4">
        <w:t>ed</w:t>
      </w:r>
      <w:r w:rsidR="001F1B6E" w:rsidRPr="00B740B4">
        <w:rPr>
          <w:b/>
        </w:rPr>
        <w:t xml:space="preserve">.), </w:t>
      </w:r>
      <w:r w:rsidR="001F1B6E" w:rsidRPr="00B740B4">
        <w:rPr>
          <w:i/>
        </w:rPr>
        <w:t>The Book of Daniel</w:t>
      </w:r>
      <w:r w:rsidR="001F1B6E" w:rsidRPr="00B740B4">
        <w:t xml:space="preserve">, 77-119. </w:t>
      </w:r>
      <w:r w:rsidR="00497BF1" w:rsidRPr="00B740B4">
        <w:rPr>
          <w:rFonts w:eastAsiaTheme="minorHAnsi" w:cs="TimesNewRoman"/>
          <w:b/>
        </w:rPr>
        <w:t xml:space="preserve">Lust, J. </w:t>
      </w:r>
      <w:r w:rsidR="00497BF1" w:rsidRPr="00B740B4">
        <w:rPr>
          <w:rFonts w:eastAsiaTheme="minorHAnsi" w:cs="TimesNewRoman"/>
        </w:rPr>
        <w:t xml:space="preserve">“The Septuagint Version of Daniel 4—5,” in van der Woude (ed.), </w:t>
      </w:r>
      <w:r w:rsidR="00497BF1" w:rsidRPr="00B740B4">
        <w:rPr>
          <w:rFonts w:eastAsiaTheme="minorHAnsi" w:cs="TimesNewRoman"/>
          <w:i/>
        </w:rPr>
        <w:t>The Book of Daniel</w:t>
      </w:r>
      <w:r w:rsidR="00497BF1" w:rsidRPr="00B740B4">
        <w:rPr>
          <w:rFonts w:eastAsiaTheme="minorHAnsi" w:cs="TimesNewRoman"/>
        </w:rPr>
        <w:t>, 39-53.</w:t>
      </w:r>
      <w:r w:rsidR="00497BF1" w:rsidRPr="00B740B4">
        <w:t xml:space="preserve"> </w:t>
      </w:r>
      <w:r w:rsidR="006010BB" w:rsidRPr="00B740B4">
        <w:rPr>
          <w:rFonts w:eastAsiaTheme="minorHAnsi" w:cs="TimesNewRoman"/>
          <w:b/>
        </w:rPr>
        <w:t>Mastin, B.A.</w:t>
      </w:r>
      <w:r w:rsidR="006010BB" w:rsidRPr="00B740B4">
        <w:rPr>
          <w:rFonts w:eastAsiaTheme="minorHAnsi" w:cs="TimesNewRoman"/>
        </w:rPr>
        <w:t xml:space="preserve"> “</w:t>
      </w:r>
      <w:r w:rsidR="0069652E" w:rsidRPr="00B740B4">
        <w:rPr>
          <w:rFonts w:eastAsiaTheme="minorHAnsi" w:cs="TimesNewRoman"/>
        </w:rPr>
        <w:t xml:space="preserve">The Meaning of </w:t>
      </w:r>
      <w:r w:rsidR="0069652E" w:rsidRPr="00B740B4">
        <w:rPr>
          <w:rFonts w:eastAsiaTheme="minorHAnsi" w:cs="TimesNewRoman"/>
          <w:i/>
        </w:rPr>
        <w:t>h</w:t>
      </w:r>
      <w:r w:rsidR="0069652E" w:rsidRPr="00B740B4">
        <w:rPr>
          <w:rFonts w:eastAsiaTheme="minorHAnsi" w:cs="TimesNewRoman"/>
          <w:i/>
          <w:vertAlign w:val="superscript"/>
        </w:rPr>
        <w:t>a</w:t>
      </w:r>
      <w:r w:rsidR="006010BB" w:rsidRPr="00B740B4">
        <w:rPr>
          <w:rFonts w:eastAsiaTheme="minorHAnsi" w:cs="TimesNewRoman"/>
          <w:i/>
        </w:rPr>
        <w:t>la´</w:t>
      </w:r>
      <w:r w:rsidR="0069652E" w:rsidRPr="00B740B4">
        <w:rPr>
          <w:rFonts w:eastAsiaTheme="minorHAnsi" w:cs="TimesNewRoman"/>
        </w:rPr>
        <w:t xml:space="preserve"> at Daniel iv 27.</w:t>
      </w:r>
      <w:r w:rsidR="006010BB" w:rsidRPr="00B740B4">
        <w:rPr>
          <w:rFonts w:eastAsiaTheme="minorHAnsi" w:cs="TimesNewRoman"/>
        </w:rPr>
        <w:t>”</w:t>
      </w:r>
      <w:r w:rsidR="0069652E" w:rsidRPr="00B740B4">
        <w:rPr>
          <w:rFonts w:eastAsiaTheme="minorHAnsi" w:cs="TimesNewRoman"/>
        </w:rPr>
        <w:t xml:space="preserve"> </w:t>
      </w:r>
      <w:r w:rsidR="00497BF1" w:rsidRPr="00B740B4">
        <w:rPr>
          <w:rFonts w:eastAsiaTheme="minorHAnsi" w:cs="TimesNewRoman"/>
          <w:b/>
        </w:rPr>
        <w:t xml:space="preserve">McNamara, M. </w:t>
      </w:r>
      <w:r w:rsidR="00497BF1" w:rsidRPr="00B740B4">
        <w:rPr>
          <w:b/>
        </w:rPr>
        <w:t xml:space="preserve"> </w:t>
      </w:r>
      <w:r w:rsidR="00497BF1" w:rsidRPr="00B740B4">
        <w:t xml:space="preserve">“Nabonidus and the Book of Daniel.” </w:t>
      </w:r>
      <w:r w:rsidR="00B81A7C" w:rsidRPr="00B740B4">
        <w:rPr>
          <w:rFonts w:eastAsiaTheme="minorHAnsi" w:cs="TimesNewRoman"/>
          <w:b/>
        </w:rPr>
        <w:t xml:space="preserve">Meadowcroft, T. </w:t>
      </w:r>
      <w:r w:rsidR="00B81A7C" w:rsidRPr="00B740B4">
        <w:rPr>
          <w:bCs/>
        </w:rPr>
        <w:t xml:space="preserve">“Point of View in Storytelling.” </w:t>
      </w:r>
      <w:r w:rsidRPr="00B740B4">
        <w:rPr>
          <w:rFonts w:eastAsia="Times New Roman"/>
          <w:b/>
          <w:noProof/>
        </w:rPr>
        <w:t>Mertens, A.</w:t>
      </w:r>
      <w:r w:rsidRPr="00B740B4">
        <w:rPr>
          <w:rFonts w:eastAsia="Times New Roman"/>
          <w:noProof/>
        </w:rPr>
        <w:t xml:space="preserve"> </w:t>
      </w:r>
      <w:r w:rsidR="0018333D" w:rsidRPr="00B740B4">
        <w:rPr>
          <w:rFonts w:eastAsia="Times New Roman"/>
          <w:i/>
          <w:noProof/>
        </w:rPr>
        <w:t>Das Buch Daniel</w:t>
      </w:r>
      <w:r w:rsidR="0018333D" w:rsidRPr="00B740B4">
        <w:rPr>
          <w:rFonts w:eastAsia="Times New Roman"/>
          <w:noProof/>
        </w:rPr>
        <w:t>,</w:t>
      </w:r>
      <w:r w:rsidR="0018333D" w:rsidRPr="00B740B4">
        <w:rPr>
          <w:rFonts w:eastAsia="Times New Roman"/>
          <w:i/>
          <w:noProof/>
        </w:rPr>
        <w:t xml:space="preserve"> </w:t>
      </w:r>
      <w:r w:rsidRPr="00B740B4">
        <w:rPr>
          <w:rFonts w:eastAsia="Times New Roman"/>
          <w:noProof/>
        </w:rPr>
        <w:t xml:space="preserve">34–42. </w:t>
      </w:r>
      <w:r w:rsidR="00E802FC" w:rsidRPr="00B740B4">
        <w:rPr>
          <w:rStyle w:val="b"/>
          <w:color w:val="auto"/>
          <w:sz w:val="22"/>
          <w:szCs w:val="22"/>
        </w:rPr>
        <w:t>Metzger, M.</w:t>
      </w:r>
      <w:r w:rsidR="00E802FC" w:rsidRPr="00B740B4">
        <w:t xml:space="preserve"> “Der Weltenbaum in vorderorientalischer Bildtradition.” </w:t>
      </w:r>
      <w:r w:rsidRPr="00B740B4">
        <w:rPr>
          <w:rFonts w:eastAsia="Times New Roman"/>
          <w:b/>
          <w:noProof/>
        </w:rPr>
        <w:t>Meyer, R.</w:t>
      </w:r>
      <w:r w:rsidRPr="00B740B4">
        <w:rPr>
          <w:rFonts w:eastAsia="Times New Roman"/>
          <w:noProof/>
        </w:rPr>
        <w:t xml:space="preserve"> </w:t>
      </w:r>
      <w:r w:rsidRPr="00B740B4">
        <w:rPr>
          <w:rFonts w:eastAsia="Times New Roman"/>
          <w:i/>
          <w:noProof/>
        </w:rPr>
        <w:t>Das Gebet des Nabonid</w:t>
      </w:r>
      <w:r w:rsidR="0018333D" w:rsidRPr="00B740B4">
        <w:rPr>
          <w:rFonts w:eastAsia="Times New Roman"/>
          <w:noProof/>
        </w:rPr>
        <w:t xml:space="preserve">. </w:t>
      </w:r>
      <w:r w:rsidRPr="00B740B4">
        <w:rPr>
          <w:rFonts w:eastAsia="Times New Roman"/>
          <w:noProof/>
        </w:rPr>
        <w:t xml:space="preserve">———. “Das Qumranfragment ‘Gebet des Nabonid.’” </w:t>
      </w:r>
      <w:r w:rsidRPr="00B740B4">
        <w:rPr>
          <w:rFonts w:eastAsia="Times New Roman"/>
          <w:b/>
          <w:noProof/>
        </w:rPr>
        <w:t>Milik, J. T.</w:t>
      </w:r>
      <w:r w:rsidRPr="00B740B4">
        <w:rPr>
          <w:rFonts w:eastAsia="Times New Roman"/>
          <w:noProof/>
        </w:rPr>
        <w:t xml:space="preserve"> “‘Prière de Nabonide’ et autres écrits d’un cycle de Daniel.” </w:t>
      </w:r>
      <w:r w:rsidR="00806636" w:rsidRPr="00B740B4">
        <w:rPr>
          <w:b/>
          <w:noProof/>
        </w:rPr>
        <w:t>Murray, R.</w:t>
      </w:r>
      <w:r w:rsidR="00806636" w:rsidRPr="00B740B4">
        <w:rPr>
          <w:noProof/>
        </w:rPr>
        <w:t xml:space="preserve"> </w:t>
      </w:r>
      <w:r w:rsidR="00806636" w:rsidRPr="00B740B4">
        <w:rPr>
          <w:rFonts w:cs="Calibri"/>
          <w:noProof/>
        </w:rPr>
        <w:t>“</w:t>
      </w:r>
      <w:r w:rsidR="00806636" w:rsidRPr="00B740B4">
        <w:rPr>
          <w:noProof/>
        </w:rPr>
        <w:t xml:space="preserve">The Origin of Aramaic </w:t>
      </w:r>
      <w:r w:rsidR="00806636" w:rsidRPr="00B740B4">
        <w:rPr>
          <w:rFonts w:eastAsia="MS Mincho"/>
          <w:i/>
          <w:noProof/>
        </w:rPr>
        <w:t>‘îr</w:t>
      </w:r>
      <w:r w:rsidR="00806636" w:rsidRPr="00B740B4">
        <w:rPr>
          <w:noProof/>
        </w:rPr>
        <w:t xml:space="preserve">, Angel.” </w:t>
      </w:r>
      <w:r w:rsidR="001452EA" w:rsidRPr="001452EA">
        <w:rPr>
          <w:b/>
          <w:noProof/>
        </w:rPr>
        <w:t>Newsom, C. A.</w:t>
      </w:r>
      <w:r w:rsidR="001452EA">
        <w:rPr>
          <w:noProof/>
        </w:rPr>
        <w:t xml:space="preserve"> </w:t>
      </w:r>
      <w:r w:rsidR="001452EA">
        <w:rPr>
          <w:bCs/>
        </w:rPr>
        <w:t xml:space="preserve">“Why Nabonidus?” </w:t>
      </w:r>
      <w:r w:rsidRPr="00B740B4">
        <w:rPr>
          <w:rFonts w:eastAsia="Times New Roman"/>
          <w:b/>
          <w:noProof/>
        </w:rPr>
        <w:t>Nober, P.</w:t>
      </w:r>
      <w:r w:rsidRPr="00B740B4">
        <w:rPr>
          <w:rFonts w:eastAsia="Times New Roman"/>
          <w:noProof/>
        </w:rPr>
        <w:t xml:space="preserve"> “</w:t>
      </w:r>
      <w:r w:rsidRPr="00B740B4">
        <w:rPr>
          <w:rFonts w:eastAsia="MS Mincho"/>
          <w:i/>
          <w:noProof/>
        </w:rPr>
        <w:t>Y</w:t>
      </w:r>
      <w:r w:rsidRPr="00B740B4">
        <w:rPr>
          <w:rFonts w:eastAsia="Times New Roman"/>
          <w:i/>
          <w:noProof/>
          <w:vertAlign w:val="superscript"/>
        </w:rPr>
        <w:t>e</w:t>
      </w:r>
      <w:r w:rsidR="00790D2D" w:rsidRPr="00B740B4">
        <w:rPr>
          <w:rFonts w:eastAsia="MS Mincho"/>
          <w:i/>
          <w:noProof/>
        </w:rPr>
        <w:t>ba‘</w:t>
      </w:r>
      <w:r w:rsidRPr="00B740B4">
        <w:rPr>
          <w:rFonts w:eastAsia="MS Mincho"/>
          <w:i/>
          <w:noProof/>
        </w:rPr>
        <w:t>on</w:t>
      </w:r>
      <w:r w:rsidRPr="00B740B4">
        <w:rPr>
          <w:rFonts w:eastAsia="Times New Roman"/>
          <w:noProof/>
        </w:rPr>
        <w:t xml:space="preserve"> (Dn 4, 33).” </w:t>
      </w:r>
      <w:r w:rsidRPr="00B740B4">
        <w:rPr>
          <w:rFonts w:eastAsia="Times New Roman"/>
          <w:b/>
          <w:noProof/>
        </w:rPr>
        <w:t>Oppenheim, A. L.</w:t>
      </w:r>
      <w:r w:rsidRPr="00B740B4">
        <w:rPr>
          <w:rFonts w:eastAsia="Times New Roman"/>
          <w:noProof/>
        </w:rPr>
        <w:t xml:space="preserve"> </w:t>
      </w:r>
      <w:r w:rsidR="0018333D" w:rsidRPr="00B740B4">
        <w:t>“The Interpretation of Dreams.”</w:t>
      </w:r>
      <w:r w:rsidRPr="00B740B4">
        <w:rPr>
          <w:rFonts w:eastAsia="Times New Roman"/>
          <w:noProof/>
        </w:rPr>
        <w:t xml:space="preserve"> </w:t>
      </w:r>
      <w:r w:rsidRPr="00B740B4">
        <w:rPr>
          <w:rFonts w:eastAsia="Times New Roman"/>
          <w:b/>
          <w:noProof/>
        </w:rPr>
        <w:t>Rabinowitz, J. J.</w:t>
      </w:r>
      <w:r w:rsidR="00C216D7">
        <w:rPr>
          <w:rFonts w:eastAsia="Times New Roman"/>
          <w:noProof/>
        </w:rPr>
        <w:t xml:space="preserve"> “A Legal Formula</w:t>
      </w:r>
      <w:r w:rsidRPr="00B740B4">
        <w:rPr>
          <w:rFonts w:eastAsia="Times New Roman"/>
          <w:noProof/>
        </w:rPr>
        <w:t xml:space="preserve"> i</w:t>
      </w:r>
      <w:r w:rsidR="00E96484" w:rsidRPr="00B740B4">
        <w:rPr>
          <w:rFonts w:eastAsia="Times New Roman"/>
          <w:noProof/>
        </w:rPr>
        <w:t>n the Book of Daniel</w:t>
      </w:r>
      <w:r w:rsidRPr="00B740B4">
        <w:rPr>
          <w:rFonts w:eastAsia="Times New Roman"/>
          <w:noProof/>
        </w:rPr>
        <w:t xml:space="preserve">.” </w:t>
      </w:r>
      <w:r w:rsidRPr="00B740B4">
        <w:rPr>
          <w:rFonts w:eastAsia="Times New Roman"/>
          <w:b/>
          <w:noProof/>
        </w:rPr>
        <w:t>Resch, A.</w:t>
      </w:r>
      <w:r w:rsidRPr="00B740B4">
        <w:rPr>
          <w:rFonts w:eastAsia="Times New Roman"/>
          <w:noProof/>
        </w:rPr>
        <w:t xml:space="preserve"> </w:t>
      </w:r>
      <w:r w:rsidRPr="00B740B4">
        <w:rPr>
          <w:rFonts w:eastAsia="Times New Roman"/>
          <w:i/>
          <w:noProof/>
        </w:rPr>
        <w:t>Der Traum im Heilsplan Gottes</w:t>
      </w:r>
      <w:r w:rsidR="00E96484" w:rsidRPr="00B740B4">
        <w:rPr>
          <w:rFonts w:eastAsia="Times New Roman"/>
          <w:noProof/>
        </w:rPr>
        <w:t>,</w:t>
      </w:r>
      <w:r w:rsidRPr="00B740B4">
        <w:rPr>
          <w:rFonts w:eastAsia="Times New Roman"/>
          <w:noProof/>
        </w:rPr>
        <w:t xml:space="preserve"> 123–26. </w:t>
      </w:r>
      <w:r w:rsidR="00497BF1" w:rsidRPr="00B740B4">
        <w:rPr>
          <w:b/>
          <w:iCs/>
        </w:rPr>
        <w:t>Richter</w:t>
      </w:r>
      <w:r w:rsidR="00497BF1" w:rsidRPr="00B740B4">
        <w:rPr>
          <w:b/>
        </w:rPr>
        <w:t>, H.-F.</w:t>
      </w:r>
      <w:r w:rsidR="00497BF1" w:rsidRPr="00B740B4">
        <w:t xml:space="preserve">  “Daniel 4,7-14,” in van der Woude </w:t>
      </w:r>
      <w:r w:rsidR="00497BF1" w:rsidRPr="00B740B4">
        <w:rPr>
          <w:b/>
        </w:rPr>
        <w:t>(</w:t>
      </w:r>
      <w:r w:rsidR="00497BF1" w:rsidRPr="00B740B4">
        <w:t>ed</w:t>
      </w:r>
      <w:r w:rsidR="00497BF1" w:rsidRPr="00B740B4">
        <w:rPr>
          <w:b/>
        </w:rPr>
        <w:t xml:space="preserve">.), </w:t>
      </w:r>
      <w:r w:rsidR="00497BF1" w:rsidRPr="00B740B4">
        <w:rPr>
          <w:i/>
        </w:rPr>
        <w:t>The Book of Daniel</w:t>
      </w:r>
      <w:r w:rsidR="00497BF1" w:rsidRPr="00B740B4">
        <w:t xml:space="preserve">, 244-248. </w:t>
      </w:r>
      <w:r w:rsidRPr="00B740B4">
        <w:rPr>
          <w:rFonts w:eastAsia="Times New Roman"/>
          <w:b/>
          <w:noProof/>
        </w:rPr>
        <w:t>Röllig, W.</w:t>
      </w:r>
      <w:r w:rsidRPr="00B740B4">
        <w:rPr>
          <w:rFonts w:eastAsia="Times New Roman"/>
          <w:noProof/>
        </w:rPr>
        <w:t xml:space="preserve"> “Nabonid und Tēmā.” ———. “Erwägungen zu neuen Stelen König Nabonids.” </w:t>
      </w:r>
      <w:r w:rsidR="00497BF1" w:rsidRPr="00B740B4">
        <w:rPr>
          <w:rStyle w:val="b"/>
          <w:color w:val="auto"/>
          <w:sz w:val="22"/>
          <w:szCs w:val="22"/>
        </w:rPr>
        <w:t>Sack, R. H.</w:t>
      </w:r>
      <w:r w:rsidR="00497BF1" w:rsidRPr="00B740B4">
        <w:t xml:space="preserve"> “The Nabonidus Legend.” ———. </w:t>
      </w:r>
      <w:r w:rsidR="00497BF1" w:rsidRPr="00B740B4">
        <w:rPr>
          <w:i/>
        </w:rPr>
        <w:t>Images of Nebuchadnezzar.</w:t>
      </w:r>
      <w:r w:rsidR="00497BF1" w:rsidRPr="00B740B4">
        <w:t xml:space="preserve"> </w:t>
      </w:r>
      <w:r w:rsidR="003D3C21" w:rsidRPr="00B740B4">
        <w:rPr>
          <w:rFonts w:eastAsia="Times New Roman"/>
          <w:b/>
          <w:noProof/>
        </w:rPr>
        <w:t xml:space="preserve">Schrader, E. </w:t>
      </w:r>
      <w:r w:rsidR="003D3C21" w:rsidRPr="00B740B4">
        <w:rPr>
          <w:rFonts w:eastAsia="Times New Roman"/>
          <w:i/>
          <w:iCs/>
          <w:noProof/>
        </w:rPr>
        <w:t>“</w:t>
      </w:r>
      <w:r w:rsidR="003D3C21" w:rsidRPr="00B740B4">
        <w:rPr>
          <w:rFonts w:eastAsia="Times New Roman"/>
          <w:noProof/>
        </w:rPr>
        <w:t xml:space="preserve">Die Sage vom </w:t>
      </w:r>
      <w:r w:rsidR="003D3C21" w:rsidRPr="00B740B4">
        <w:rPr>
          <w:rFonts w:eastAsia="Times New Roman"/>
          <w:iCs/>
          <w:noProof/>
        </w:rPr>
        <w:t>Wahnsinn</w:t>
      </w:r>
      <w:r w:rsidR="003D3C21" w:rsidRPr="00B740B4">
        <w:rPr>
          <w:rFonts w:eastAsia="Times New Roman"/>
          <w:noProof/>
        </w:rPr>
        <w:t xml:space="preserve"> Nebukadnezar's.”</w:t>
      </w:r>
      <w:r w:rsidR="003D3C21" w:rsidRPr="00B740B4">
        <w:rPr>
          <w:rFonts w:eastAsia="Times New Roman"/>
          <w:b/>
          <w:noProof/>
        </w:rPr>
        <w:t xml:space="preserve"> </w:t>
      </w:r>
      <w:r w:rsidRPr="00B740B4">
        <w:rPr>
          <w:rFonts w:eastAsia="Times New Roman"/>
          <w:b/>
          <w:noProof/>
        </w:rPr>
        <w:t>Shea, W.</w:t>
      </w:r>
      <w:r w:rsidRPr="00B740B4">
        <w:rPr>
          <w:rFonts w:eastAsia="Times New Roman"/>
          <w:noProof/>
        </w:rPr>
        <w:t xml:space="preserve"> </w:t>
      </w:r>
      <w:r w:rsidR="00E96484" w:rsidRPr="00B740B4">
        <w:t>“Further Literary Structures in Daniel 2–7</w:t>
      </w:r>
      <w:r w:rsidR="003D3C21" w:rsidRPr="00B740B4">
        <w:t>,</w:t>
      </w:r>
      <w:r w:rsidR="00E96484" w:rsidRPr="00B740B4">
        <w:t>”</w:t>
      </w:r>
      <w:r w:rsidR="003D3C21" w:rsidRPr="00B740B4">
        <w:t xml:space="preserve"> 193-202. </w:t>
      </w:r>
      <w:r w:rsidR="003D3C21" w:rsidRPr="00B740B4">
        <w:rPr>
          <w:rFonts w:eastAsia="Times New Roman"/>
          <w:b/>
          <w:noProof/>
        </w:rPr>
        <w:t xml:space="preserve">Soden, W. von. </w:t>
      </w:r>
      <w:r w:rsidR="003D3C21" w:rsidRPr="00B740B4">
        <w:rPr>
          <w:rFonts w:eastAsia="Times New Roman"/>
          <w:noProof/>
        </w:rPr>
        <w:t>“Eine babylonische Volksüberlieferung von Nabonid in den Danielerzählungen</w:t>
      </w:r>
      <w:r w:rsidR="003D3C21" w:rsidRPr="00B740B4">
        <w:rPr>
          <w:rFonts w:eastAsia="Times New Roman"/>
          <w:b/>
          <w:noProof/>
        </w:rPr>
        <w:t xml:space="preserve">.” </w:t>
      </w:r>
      <w:r w:rsidR="00987B74" w:rsidRPr="00B740B4">
        <w:rPr>
          <w:rFonts w:eastAsiaTheme="minorHAnsi" w:cs="Times New Roman"/>
          <w:b/>
        </w:rPr>
        <w:t xml:space="preserve">Steinmann, A. </w:t>
      </w:r>
      <w:r w:rsidR="00987B74" w:rsidRPr="00B740B4">
        <w:rPr>
          <w:rFonts w:eastAsiaTheme="minorHAnsi" w:cs="Times New Roman"/>
        </w:rPr>
        <w:t xml:space="preserve">“The Chicken and the Egg.”  </w:t>
      </w:r>
      <w:r w:rsidR="003D3C21" w:rsidRPr="00B740B4">
        <w:rPr>
          <w:rFonts w:eastAsia="Times New Roman"/>
          <w:b/>
          <w:noProof/>
        </w:rPr>
        <w:t>Van d</w:t>
      </w:r>
      <w:r w:rsidR="00E96484" w:rsidRPr="00B740B4">
        <w:rPr>
          <w:rFonts w:eastAsia="Times New Roman"/>
          <w:b/>
          <w:noProof/>
        </w:rPr>
        <w:t>er</w:t>
      </w:r>
      <w:r w:rsidR="00E96484" w:rsidRPr="00B740B4">
        <w:rPr>
          <w:rFonts w:eastAsia="Times New Roman"/>
          <w:noProof/>
        </w:rPr>
        <w:t xml:space="preserve"> </w:t>
      </w:r>
      <w:r w:rsidR="00E96484" w:rsidRPr="00B740B4">
        <w:rPr>
          <w:rFonts w:eastAsia="Times New Roman"/>
          <w:b/>
          <w:noProof/>
        </w:rPr>
        <w:t>Woude, A. S</w:t>
      </w:r>
      <w:r w:rsidRPr="00B740B4">
        <w:rPr>
          <w:rFonts w:eastAsia="Times New Roman"/>
          <w:b/>
          <w:noProof/>
        </w:rPr>
        <w:t>.</w:t>
      </w:r>
      <w:r w:rsidRPr="00B740B4">
        <w:rPr>
          <w:rFonts w:eastAsia="Times New Roman"/>
          <w:noProof/>
        </w:rPr>
        <w:t xml:space="preserve"> “Bemerku</w:t>
      </w:r>
      <w:r w:rsidR="00E96484" w:rsidRPr="00B740B4">
        <w:rPr>
          <w:rFonts w:eastAsia="Times New Roman"/>
          <w:noProof/>
        </w:rPr>
        <w:t xml:space="preserve">ngen zum Gebet des Nabonid.” </w:t>
      </w:r>
      <w:r w:rsidRPr="00B740B4">
        <w:rPr>
          <w:rFonts w:eastAsia="Times New Roman"/>
          <w:b/>
          <w:noProof/>
        </w:rPr>
        <w:t>Vogt, E.</w:t>
      </w:r>
      <w:r w:rsidRPr="00B740B4">
        <w:rPr>
          <w:rFonts w:eastAsia="Times New Roman"/>
          <w:noProof/>
        </w:rPr>
        <w:t xml:space="preserve"> “Precatio regis Nabonid in pia narratione Iudaica (4Q).”</w:t>
      </w:r>
    </w:p>
    <w:p w:rsidR="00C93CC0" w:rsidRPr="00B740B4" w:rsidRDefault="00C93CC0" w:rsidP="009479B1">
      <w:pPr>
        <w:pStyle w:val="Heading2"/>
        <w:rPr>
          <w:rFonts w:eastAsia="Times New Roman"/>
        </w:rPr>
      </w:pPr>
      <w:r w:rsidRPr="00B740B4">
        <w:rPr>
          <w:rFonts w:eastAsia="Times New Roman"/>
        </w:rPr>
        <w:t>Translation</w:t>
      </w:r>
    </w:p>
    <w:p w:rsidR="00AA5183" w:rsidRPr="00B740B4" w:rsidRDefault="00C93CC0" w:rsidP="00370022">
      <w:pPr>
        <w:rPr>
          <w:rFonts w:eastAsia="Times New Roman"/>
          <w:noProof/>
        </w:rPr>
      </w:pPr>
      <w:r w:rsidRPr="00B740B4">
        <w:rPr>
          <w:rFonts w:eastAsia="Times New Roman"/>
          <w:noProof/>
          <w:vertAlign w:val="superscript"/>
        </w:rPr>
        <w:t>1</w:t>
      </w:r>
      <w:r w:rsidR="00343D94" w:rsidRPr="00B740B4">
        <w:rPr>
          <w:rFonts w:eastAsia="Times New Roman"/>
          <w:noProof/>
        </w:rPr>
        <w:t>“K</w:t>
      </w:r>
      <w:r w:rsidRPr="00B740B4">
        <w:rPr>
          <w:rFonts w:eastAsia="Times New Roman"/>
          <w:noProof/>
        </w:rPr>
        <w:t xml:space="preserve">ing </w:t>
      </w:r>
      <w:r w:rsidR="00370022" w:rsidRPr="00B740B4">
        <w:rPr>
          <w:rFonts w:eastAsia="Times New Roman"/>
          <w:noProof/>
        </w:rPr>
        <w:t xml:space="preserve">Nebukadne’ṣṣar </w:t>
      </w:r>
      <w:r w:rsidRPr="00B740B4">
        <w:rPr>
          <w:rFonts w:eastAsia="Times New Roman"/>
          <w:noProof/>
        </w:rPr>
        <w:t xml:space="preserve"> to all peoples, nations, and lang</w:t>
      </w:r>
      <w:r w:rsidR="00370022" w:rsidRPr="00B740B4">
        <w:rPr>
          <w:rFonts w:eastAsia="Times New Roman"/>
          <w:noProof/>
        </w:rPr>
        <w:t>uages who live in all the earth:</w:t>
      </w:r>
      <w:r w:rsidRPr="00B740B4">
        <w:rPr>
          <w:rFonts w:eastAsia="Times New Roman"/>
          <w:noProof/>
        </w:rPr>
        <w:t xml:space="preserve"> </w:t>
      </w:r>
    </w:p>
    <w:p w:rsidR="00AA5183" w:rsidRPr="00B740B4" w:rsidRDefault="00AA5183" w:rsidP="00370022">
      <w:pPr>
        <w:rPr>
          <w:rFonts w:eastAsia="Times New Roman"/>
          <w:noProof/>
        </w:rPr>
      </w:pPr>
    </w:p>
    <w:p w:rsidR="00C93CC0" w:rsidRPr="00B740B4" w:rsidRDefault="00EC1355" w:rsidP="00370022">
      <w:pPr>
        <w:rPr>
          <w:rFonts w:eastAsia="Times New Roman"/>
          <w:noProof/>
        </w:rPr>
      </w:pPr>
      <w:r>
        <w:rPr>
          <w:rFonts w:eastAsia="Times New Roman"/>
          <w:noProof/>
        </w:rPr>
        <w:t>May your well-being</w:t>
      </w:r>
      <w:r w:rsidR="00AA5183" w:rsidRPr="00B740B4">
        <w:rPr>
          <w:rFonts w:eastAsia="Times New Roman"/>
          <w:noProof/>
          <w:vertAlign w:val="superscript"/>
        </w:rPr>
        <w:t>a</w:t>
      </w:r>
      <w:r w:rsidR="00AA5183" w:rsidRPr="00B740B4">
        <w:rPr>
          <w:rFonts w:eastAsia="Times New Roman"/>
          <w:noProof/>
        </w:rPr>
        <w:t xml:space="preserve"> abound!</w:t>
      </w:r>
      <w:r w:rsidR="00C93CC0" w:rsidRPr="00B740B4">
        <w:rPr>
          <w:rFonts w:eastAsia="Times New Roman"/>
          <w:noProof/>
        </w:rPr>
        <w:t xml:space="preserve"> </w:t>
      </w:r>
      <w:r w:rsidR="00C93CC0" w:rsidRPr="00B740B4">
        <w:rPr>
          <w:rFonts w:eastAsia="Times New Roman"/>
          <w:noProof/>
          <w:vertAlign w:val="superscript"/>
        </w:rPr>
        <w:t>2</w:t>
      </w:r>
      <w:r w:rsidR="0079198A" w:rsidRPr="00B740B4">
        <w:rPr>
          <w:rFonts w:eastAsia="Times New Roman"/>
          <w:noProof/>
        </w:rPr>
        <w:t xml:space="preserve">It has seemed good to me </w:t>
      </w:r>
      <w:r w:rsidR="00C93CC0" w:rsidRPr="00B740B4">
        <w:rPr>
          <w:rFonts w:eastAsia="Times New Roman"/>
          <w:noProof/>
        </w:rPr>
        <w:t xml:space="preserve">to tell of </w:t>
      </w:r>
      <w:r w:rsidR="00370022" w:rsidRPr="00B740B4">
        <w:rPr>
          <w:rFonts w:eastAsia="Times New Roman"/>
          <w:noProof/>
        </w:rPr>
        <w:t>the wondrous signs</w:t>
      </w:r>
      <w:r w:rsidR="00D730CF" w:rsidRPr="00B740B4">
        <w:rPr>
          <w:rFonts w:eastAsia="Times New Roman"/>
          <w:noProof/>
          <w:vertAlign w:val="superscript"/>
        </w:rPr>
        <w:t>a</w:t>
      </w:r>
      <w:r w:rsidR="00370022" w:rsidRPr="00B740B4">
        <w:rPr>
          <w:rFonts w:eastAsia="Times New Roman"/>
          <w:noProof/>
        </w:rPr>
        <w:t xml:space="preserve"> that God On</w:t>
      </w:r>
      <w:r w:rsidR="00C93CC0" w:rsidRPr="00B740B4">
        <w:rPr>
          <w:rFonts w:eastAsia="Times New Roman"/>
          <w:noProof/>
        </w:rPr>
        <w:t xml:space="preserve"> High has done for me.</w:t>
      </w:r>
    </w:p>
    <w:p w:rsidR="00370022" w:rsidRPr="00B740B4" w:rsidRDefault="00370022" w:rsidP="00370022">
      <w:pPr>
        <w:rPr>
          <w:rFonts w:eastAsia="Times New Roman"/>
          <w:noProof/>
        </w:rPr>
      </w:pPr>
    </w:p>
    <w:p w:rsidR="00C93CC0" w:rsidRPr="00B740B4" w:rsidRDefault="00C93CC0" w:rsidP="00370022">
      <w:pPr>
        <w:rPr>
          <w:rFonts w:eastAsia="Times New Roman"/>
          <w:noProof/>
        </w:rPr>
      </w:pPr>
      <w:r w:rsidRPr="00B740B4">
        <w:rPr>
          <w:rFonts w:eastAsia="Times New Roman"/>
          <w:noProof/>
          <w:vertAlign w:val="superscript"/>
        </w:rPr>
        <w:t>3</w:t>
      </w:r>
      <w:r w:rsidRPr="00B740B4">
        <w:rPr>
          <w:rFonts w:eastAsia="Times New Roman"/>
          <w:noProof/>
        </w:rPr>
        <w:t>H</w:t>
      </w:r>
      <w:r w:rsidR="0079198A" w:rsidRPr="00B740B4">
        <w:rPr>
          <w:rFonts w:eastAsia="Times New Roman"/>
          <w:noProof/>
        </w:rPr>
        <w:t>is signs, how great</w:t>
      </w:r>
      <w:r w:rsidRPr="00B740B4">
        <w:rPr>
          <w:rFonts w:eastAsia="Times New Roman"/>
          <w:noProof/>
        </w:rPr>
        <w:t>,</w:t>
      </w:r>
    </w:p>
    <w:p w:rsidR="00C93CC0" w:rsidRPr="00B740B4" w:rsidRDefault="00370022" w:rsidP="00370022">
      <w:pPr>
        <w:rPr>
          <w:rFonts w:eastAsia="Times New Roman"/>
          <w:noProof/>
        </w:rPr>
      </w:pPr>
      <w:r w:rsidRPr="00B740B4">
        <w:rPr>
          <w:rFonts w:eastAsia="Times New Roman"/>
          <w:noProof/>
        </w:rPr>
        <w:tab/>
      </w:r>
      <w:r w:rsidR="0079198A" w:rsidRPr="00B740B4">
        <w:rPr>
          <w:rFonts w:eastAsia="Times New Roman"/>
          <w:noProof/>
        </w:rPr>
        <w:t xml:space="preserve">his </w:t>
      </w:r>
      <w:r w:rsidR="00C93CC0" w:rsidRPr="00B740B4">
        <w:rPr>
          <w:rFonts w:eastAsia="Times New Roman"/>
          <w:noProof/>
        </w:rPr>
        <w:t>wonders</w:t>
      </w:r>
      <w:r w:rsidR="0079198A" w:rsidRPr="00B740B4">
        <w:rPr>
          <w:rFonts w:eastAsia="Times New Roman"/>
          <w:noProof/>
        </w:rPr>
        <w:t>, how mighty</w:t>
      </w:r>
      <w:r w:rsidR="00C93CC0" w:rsidRPr="00B740B4">
        <w:rPr>
          <w:rFonts w:eastAsia="Times New Roman"/>
          <w:noProof/>
        </w:rPr>
        <w:t>!</w:t>
      </w:r>
    </w:p>
    <w:p w:rsidR="00C93CC0" w:rsidRPr="00B740B4" w:rsidRDefault="00C93CC0" w:rsidP="00370022">
      <w:pPr>
        <w:rPr>
          <w:rFonts w:eastAsia="Times New Roman"/>
          <w:noProof/>
        </w:rPr>
      </w:pPr>
      <w:r w:rsidRPr="00B740B4">
        <w:rPr>
          <w:rFonts w:eastAsia="Times New Roman"/>
          <w:noProof/>
        </w:rPr>
        <w:t>His kingship lasts through the ages,</w:t>
      </w:r>
    </w:p>
    <w:p w:rsidR="00C93CC0" w:rsidRPr="00B740B4" w:rsidRDefault="00370022" w:rsidP="00370022">
      <w:pPr>
        <w:rPr>
          <w:rFonts w:eastAsia="Times New Roman"/>
          <w:noProof/>
        </w:rPr>
      </w:pPr>
      <w:r w:rsidRPr="00B740B4">
        <w:rPr>
          <w:rFonts w:eastAsia="Times New Roman"/>
          <w:noProof/>
        </w:rPr>
        <w:tab/>
      </w:r>
      <w:r w:rsidR="00C93CC0" w:rsidRPr="00B740B4">
        <w:rPr>
          <w:rFonts w:eastAsia="Times New Roman"/>
          <w:noProof/>
        </w:rPr>
        <w:t>his rule through all generations!</w:t>
      </w:r>
    </w:p>
    <w:p w:rsidR="00370022" w:rsidRPr="00B740B4" w:rsidRDefault="00370022" w:rsidP="00370022">
      <w:pPr>
        <w:rPr>
          <w:rFonts w:eastAsia="Times New Roman"/>
          <w:noProof/>
        </w:rPr>
      </w:pPr>
    </w:p>
    <w:p w:rsidR="00F05249" w:rsidRPr="00B740B4" w:rsidRDefault="00370022" w:rsidP="00370022">
      <w:pPr>
        <w:rPr>
          <w:rFonts w:eastAsia="Times New Roman"/>
        </w:rPr>
      </w:pPr>
      <w:r w:rsidRPr="00B740B4">
        <w:rPr>
          <w:rFonts w:eastAsia="Times New Roman"/>
          <w:vertAlign w:val="superscript"/>
        </w:rPr>
        <w:t>4</w:t>
      </w:r>
      <w:r w:rsidR="00E84DD1" w:rsidRPr="00B740B4">
        <w:rPr>
          <w:rFonts w:eastAsia="Times New Roman"/>
          <w:vertAlign w:val="superscript"/>
        </w:rPr>
        <w:t>a</w:t>
      </w:r>
      <w:r w:rsidR="00C93CC0" w:rsidRPr="00B740B4">
        <w:rPr>
          <w:rFonts w:eastAsia="Times New Roman"/>
        </w:rPr>
        <w:t xml:space="preserve">I, </w:t>
      </w:r>
      <w:r w:rsidRPr="00B740B4">
        <w:rPr>
          <w:rFonts w:eastAsia="Times New Roman"/>
        </w:rPr>
        <w:t>Nebukadne’ṣṣar</w:t>
      </w:r>
      <w:r w:rsidR="00C93CC0" w:rsidRPr="00B740B4">
        <w:rPr>
          <w:rFonts w:eastAsia="Times New Roman"/>
        </w:rPr>
        <w:t>, was successful</w:t>
      </w:r>
      <w:r w:rsidR="00E84DD1" w:rsidRPr="00B740B4">
        <w:rPr>
          <w:rFonts w:eastAsia="Times New Roman"/>
          <w:vertAlign w:val="superscript"/>
        </w:rPr>
        <w:t>b</w:t>
      </w:r>
      <w:r w:rsidR="00C93CC0" w:rsidRPr="00B740B4">
        <w:rPr>
          <w:rFonts w:eastAsia="Times New Roman"/>
        </w:rPr>
        <w:t xml:space="preserve"> and thriving,</w:t>
      </w:r>
      <w:r w:rsidR="00E84DD1" w:rsidRPr="00B740B4">
        <w:rPr>
          <w:rFonts w:eastAsia="Times New Roman"/>
          <w:vertAlign w:val="superscript"/>
        </w:rPr>
        <w:t>c</w:t>
      </w:r>
      <w:r w:rsidR="00C93CC0" w:rsidRPr="00B740B4">
        <w:rPr>
          <w:rFonts w:eastAsia="Times New Roman"/>
        </w:rPr>
        <w:t xml:space="preserve"> at home in my palace. </w:t>
      </w:r>
      <w:r w:rsidRPr="00B740B4">
        <w:rPr>
          <w:rFonts w:eastAsia="Times New Roman"/>
          <w:vertAlign w:val="superscript"/>
        </w:rPr>
        <w:t>5</w:t>
      </w:r>
      <w:r w:rsidR="00F11528" w:rsidRPr="00B740B4">
        <w:rPr>
          <w:rFonts w:eastAsia="Times New Roman"/>
        </w:rPr>
        <w:t>I had a dream and it</w:t>
      </w:r>
      <w:r w:rsidR="00C93CC0" w:rsidRPr="00B740B4">
        <w:rPr>
          <w:rFonts w:eastAsia="Times New Roman"/>
        </w:rPr>
        <w:t xml:space="preserve"> disturbed</w:t>
      </w:r>
      <w:r w:rsidR="00C93CC0" w:rsidRPr="00B740B4">
        <w:rPr>
          <w:rFonts w:eastAsia="Times New Roman"/>
          <w:vertAlign w:val="superscript"/>
        </w:rPr>
        <w:t>a</w:t>
      </w:r>
      <w:r w:rsidR="00C93CC0" w:rsidRPr="00B740B4">
        <w:rPr>
          <w:rFonts w:eastAsia="Times New Roman"/>
        </w:rPr>
        <w:t xml:space="preserve"> me. </w:t>
      </w:r>
      <w:r w:rsidR="00F11528" w:rsidRPr="00B740B4">
        <w:rPr>
          <w:rFonts w:eastAsia="Times New Roman"/>
          <w:vertAlign w:val="superscript"/>
        </w:rPr>
        <w:t>b</w:t>
      </w:r>
      <w:r w:rsidR="00C93CC0" w:rsidRPr="00B740B4">
        <w:rPr>
          <w:rFonts w:eastAsia="Times New Roman"/>
        </w:rPr>
        <w:t>The images</w:t>
      </w:r>
      <w:r w:rsidR="00F11528" w:rsidRPr="00B740B4">
        <w:rPr>
          <w:rFonts w:eastAsia="Times New Roman"/>
          <w:vertAlign w:val="superscript"/>
        </w:rPr>
        <w:t>c</w:t>
      </w:r>
      <w:r w:rsidR="00C93CC0" w:rsidRPr="00B740B4">
        <w:rPr>
          <w:rFonts w:eastAsia="Times New Roman"/>
        </w:rPr>
        <w:t xml:space="preserve"> in the vision</w:t>
      </w:r>
      <w:r w:rsidR="00F11528" w:rsidRPr="00B740B4">
        <w:rPr>
          <w:rFonts w:eastAsia="Times New Roman"/>
          <w:vertAlign w:val="superscript"/>
        </w:rPr>
        <w:t>d</w:t>
      </w:r>
      <w:r w:rsidR="00C93CC0" w:rsidRPr="00B740B4">
        <w:rPr>
          <w:rFonts w:eastAsia="Times New Roman"/>
        </w:rPr>
        <w:t xml:space="preserve"> that came into my head</w:t>
      </w:r>
      <w:r w:rsidR="00F11528" w:rsidRPr="00B740B4">
        <w:rPr>
          <w:rFonts w:eastAsia="Times New Roman"/>
          <w:vertAlign w:val="superscript"/>
        </w:rPr>
        <w:t>e</w:t>
      </w:r>
      <w:r w:rsidR="00C93CC0" w:rsidRPr="00B740B4">
        <w:rPr>
          <w:rFonts w:eastAsia="Times New Roman"/>
        </w:rPr>
        <w:t xml:space="preserve"> as I lay in bed</w:t>
      </w:r>
      <w:r w:rsidR="00F11528" w:rsidRPr="00B740B4">
        <w:rPr>
          <w:rFonts w:eastAsia="Times New Roman"/>
          <w:vertAlign w:val="superscript"/>
        </w:rPr>
        <w:t>b</w:t>
      </w:r>
      <w:r w:rsidR="00C93CC0" w:rsidRPr="00B740B4">
        <w:rPr>
          <w:rFonts w:eastAsia="Times New Roman"/>
        </w:rPr>
        <w:t xml:space="preserve"> alarmed me. </w:t>
      </w:r>
      <w:r w:rsidRPr="00B740B4">
        <w:rPr>
          <w:rFonts w:eastAsia="Times New Roman"/>
          <w:vertAlign w:val="superscript"/>
        </w:rPr>
        <w:t>6</w:t>
      </w:r>
      <w:r w:rsidR="00C93CC0" w:rsidRPr="00B740B4">
        <w:rPr>
          <w:rFonts w:eastAsia="Times New Roman"/>
        </w:rPr>
        <w:t>So I i</w:t>
      </w:r>
      <w:r w:rsidR="00EB39D0" w:rsidRPr="00B740B4">
        <w:rPr>
          <w:rFonts w:eastAsia="Times New Roman"/>
        </w:rPr>
        <w:t>ssued an order that all the expert</w:t>
      </w:r>
      <w:r w:rsidR="00C93CC0" w:rsidRPr="00B740B4">
        <w:rPr>
          <w:rFonts w:eastAsia="Times New Roman"/>
        </w:rPr>
        <w:t>s in Babylon shou</w:t>
      </w:r>
      <w:r w:rsidR="005B02ED">
        <w:rPr>
          <w:rFonts w:eastAsia="Times New Roman"/>
        </w:rPr>
        <w:t>ld be brought before me so they could let me know</w:t>
      </w:r>
      <w:r w:rsidR="00C93CC0" w:rsidRPr="00B740B4">
        <w:rPr>
          <w:rFonts w:eastAsia="Times New Roman"/>
        </w:rPr>
        <w:t xml:space="preserve"> </w:t>
      </w:r>
      <w:r w:rsidR="00C93CC0" w:rsidRPr="00B740B4">
        <w:rPr>
          <w:rFonts w:eastAsia="Times New Roman"/>
        </w:rPr>
        <w:lastRenderedPageBreak/>
        <w:t xml:space="preserve">the interpretation of the dream. </w:t>
      </w:r>
      <w:r w:rsidRPr="00B740B4">
        <w:rPr>
          <w:rFonts w:eastAsia="Times New Roman"/>
          <w:vertAlign w:val="superscript"/>
        </w:rPr>
        <w:t>7</w:t>
      </w:r>
      <w:r w:rsidR="00C93CC0" w:rsidRPr="00B740B4">
        <w:rPr>
          <w:rFonts w:eastAsia="Times New Roman"/>
          <w:vertAlign w:val="superscript"/>
        </w:rPr>
        <w:t>a</w:t>
      </w:r>
      <w:r w:rsidR="00C93CC0" w:rsidRPr="00B740B4">
        <w:rPr>
          <w:rFonts w:eastAsia="Times New Roman"/>
        </w:rPr>
        <w:t>The divi</w:t>
      </w:r>
      <w:r w:rsidR="00F05249" w:rsidRPr="00B740B4">
        <w:rPr>
          <w:rFonts w:eastAsia="Times New Roman"/>
        </w:rPr>
        <w:t>ners, the chanters, the Kasdite</w:t>
      </w:r>
      <w:r w:rsidR="00C93CC0" w:rsidRPr="00B740B4">
        <w:rPr>
          <w:rFonts w:eastAsia="Times New Roman"/>
        </w:rPr>
        <w:t>s, and the exorcists</w:t>
      </w:r>
      <w:r w:rsidR="00C93CC0" w:rsidRPr="00B740B4">
        <w:rPr>
          <w:rFonts w:eastAsia="Times New Roman"/>
          <w:vertAlign w:val="superscript"/>
        </w:rPr>
        <w:t>a</w:t>
      </w:r>
      <w:r w:rsidR="00C93CC0" w:rsidRPr="00B740B4">
        <w:rPr>
          <w:rFonts w:eastAsia="Times New Roman"/>
        </w:rPr>
        <w:t xml:space="preserve"> came, and I re</w:t>
      </w:r>
      <w:r w:rsidR="00F05249" w:rsidRPr="00B740B4">
        <w:rPr>
          <w:rFonts w:eastAsia="Times New Roman"/>
        </w:rPr>
        <w:t xml:space="preserve">counted the dream before </w:t>
      </w:r>
      <w:r w:rsidR="00D730CF" w:rsidRPr="00B740B4">
        <w:rPr>
          <w:rFonts w:eastAsia="Times New Roman"/>
        </w:rPr>
        <w:t>them, b</w:t>
      </w:r>
      <w:r w:rsidR="000B2400">
        <w:rPr>
          <w:rFonts w:eastAsia="Times New Roman"/>
        </w:rPr>
        <w:t>ut they could</w:t>
      </w:r>
      <w:r w:rsidR="009951FE">
        <w:rPr>
          <w:rFonts w:eastAsia="Times New Roman"/>
        </w:rPr>
        <w:t xml:space="preserve"> no</w:t>
      </w:r>
      <w:r w:rsidR="005B02ED">
        <w:rPr>
          <w:rFonts w:eastAsia="Times New Roman"/>
        </w:rPr>
        <w:t xml:space="preserve">t let </w:t>
      </w:r>
      <w:r w:rsidR="00C93CC0" w:rsidRPr="00B740B4">
        <w:rPr>
          <w:rFonts w:eastAsia="Times New Roman"/>
        </w:rPr>
        <w:t xml:space="preserve">me </w:t>
      </w:r>
      <w:r w:rsidR="005B02ED">
        <w:rPr>
          <w:rFonts w:eastAsia="Times New Roman"/>
        </w:rPr>
        <w:t xml:space="preserve">know </w:t>
      </w:r>
      <w:r w:rsidR="00C93CC0" w:rsidRPr="00B740B4">
        <w:rPr>
          <w:rFonts w:eastAsia="Times New Roman"/>
        </w:rPr>
        <w:t xml:space="preserve">its interpretation. </w:t>
      </w:r>
      <w:r w:rsidRPr="00B740B4">
        <w:rPr>
          <w:rFonts w:eastAsia="Times New Roman"/>
          <w:vertAlign w:val="superscript"/>
        </w:rPr>
        <w:t>8</w:t>
      </w:r>
      <w:r w:rsidR="00C93CC0" w:rsidRPr="00B740B4">
        <w:rPr>
          <w:rFonts w:eastAsia="Times New Roman"/>
        </w:rPr>
        <w:t>Then finally</w:t>
      </w:r>
      <w:r w:rsidR="00C93CC0" w:rsidRPr="00B740B4">
        <w:rPr>
          <w:rFonts w:eastAsia="Times New Roman"/>
          <w:vertAlign w:val="superscript"/>
        </w:rPr>
        <w:t>a</w:t>
      </w:r>
      <w:r w:rsidR="00155FA8" w:rsidRPr="00B740B4">
        <w:rPr>
          <w:rFonts w:eastAsia="Times New Roman"/>
        </w:rPr>
        <w:t xml:space="preserve"> Daniyye’l</w:t>
      </w:r>
      <w:r w:rsidR="00C93CC0" w:rsidRPr="00B740B4">
        <w:rPr>
          <w:rFonts w:eastAsia="Times New Roman"/>
        </w:rPr>
        <w:t xml:space="preserve">, who is named </w:t>
      </w:r>
      <w:r w:rsidR="005B02ED">
        <w:rPr>
          <w:rFonts w:eastAsia="Times New Roman"/>
        </w:rPr>
        <w:t>Belṭeš</w:t>
      </w:r>
      <w:r w:rsidR="00155FA8" w:rsidRPr="00B740B4">
        <w:rPr>
          <w:rFonts w:eastAsia="Times New Roman"/>
        </w:rPr>
        <w:t xml:space="preserve">aṣṣar </w:t>
      </w:r>
      <w:r w:rsidR="00C93CC0" w:rsidRPr="00B740B4">
        <w:rPr>
          <w:rFonts w:eastAsia="Times New Roman"/>
        </w:rPr>
        <w:t>after my god,</w:t>
      </w:r>
      <w:r w:rsidR="00C93CC0" w:rsidRPr="00B740B4">
        <w:rPr>
          <w:rFonts w:eastAsia="Times New Roman"/>
          <w:vertAlign w:val="superscript"/>
        </w:rPr>
        <w:t>b</w:t>
      </w:r>
      <w:r w:rsidR="00C93CC0" w:rsidRPr="00B740B4">
        <w:rPr>
          <w:rFonts w:eastAsia="Times New Roman"/>
        </w:rPr>
        <w:t xml:space="preserve"> came before me. The spirit of holy deity</w:t>
      </w:r>
      <w:r w:rsidR="00C93CC0" w:rsidRPr="00B740B4">
        <w:rPr>
          <w:rFonts w:eastAsia="Times New Roman"/>
          <w:vertAlign w:val="superscript"/>
        </w:rPr>
        <w:t>c</w:t>
      </w:r>
      <w:r w:rsidR="00C93CC0" w:rsidRPr="00B740B4">
        <w:rPr>
          <w:rFonts w:eastAsia="Times New Roman"/>
        </w:rPr>
        <w:t xml:space="preserve"> is in him. I recounted the dream before him: </w:t>
      </w:r>
    </w:p>
    <w:p w:rsidR="00C93CC0" w:rsidRPr="00B740B4" w:rsidRDefault="00370022" w:rsidP="00370022">
      <w:pPr>
        <w:rPr>
          <w:rFonts w:eastAsia="Times New Roman"/>
        </w:rPr>
      </w:pPr>
      <w:r w:rsidRPr="00B740B4">
        <w:rPr>
          <w:rFonts w:eastAsia="Times New Roman"/>
          <w:vertAlign w:val="superscript"/>
        </w:rPr>
        <w:t>9</w:t>
      </w:r>
      <w:r w:rsidR="00C93CC0" w:rsidRPr="00B740B4">
        <w:rPr>
          <w:rFonts w:eastAsia="Times New Roman"/>
        </w:rPr>
        <w:t>“</w:t>
      </w:r>
      <w:r w:rsidR="005B02ED">
        <w:rPr>
          <w:rFonts w:eastAsia="Times New Roman"/>
        </w:rPr>
        <w:t>Belṭešaṣṣar</w:t>
      </w:r>
      <w:r w:rsidR="00C93CC0" w:rsidRPr="00B740B4">
        <w:rPr>
          <w:rFonts w:eastAsia="Times New Roman"/>
        </w:rPr>
        <w:t xml:space="preserve">, head of the diviners, I myself </w:t>
      </w:r>
      <w:r w:rsidR="009B22A7" w:rsidRPr="00B740B4">
        <w:rPr>
          <w:rFonts w:eastAsia="Times New Roman"/>
        </w:rPr>
        <w:t xml:space="preserve">have come to </w:t>
      </w:r>
      <w:r w:rsidR="007C6EFE">
        <w:rPr>
          <w:rFonts w:eastAsia="Times New Roman"/>
        </w:rPr>
        <w:t>acknowledge</w:t>
      </w:r>
      <w:r w:rsidR="006F057C" w:rsidRPr="00B740B4">
        <w:rPr>
          <w:rFonts w:eastAsia="Times New Roman"/>
          <w:vertAlign w:val="superscript"/>
        </w:rPr>
        <w:t>a</w:t>
      </w:r>
      <w:r w:rsidR="00C93CC0" w:rsidRPr="00B740B4">
        <w:rPr>
          <w:rFonts w:eastAsia="Times New Roman"/>
        </w:rPr>
        <w:t xml:space="preserve"> that the spirit of holy deity is in you and that no mystery</w:t>
      </w:r>
      <w:r w:rsidR="006F057C" w:rsidRPr="00B740B4">
        <w:rPr>
          <w:rFonts w:eastAsia="Times New Roman"/>
          <w:vertAlign w:val="superscript"/>
        </w:rPr>
        <w:t>b</w:t>
      </w:r>
      <w:r w:rsidR="00C93CC0" w:rsidRPr="00B740B4">
        <w:rPr>
          <w:rFonts w:eastAsia="Times New Roman"/>
        </w:rPr>
        <w:t xml:space="preserve"> defeats y</w:t>
      </w:r>
      <w:r w:rsidR="006A2B56" w:rsidRPr="00B740B4">
        <w:rPr>
          <w:rFonts w:eastAsia="Times New Roman"/>
        </w:rPr>
        <w:t xml:space="preserve">ou. </w:t>
      </w:r>
      <w:r w:rsidR="007A55A5" w:rsidRPr="00B740B4">
        <w:rPr>
          <w:rFonts w:eastAsia="Times New Roman"/>
        </w:rPr>
        <w:t>Tell me about the vision</w:t>
      </w:r>
      <w:r w:rsidR="006A2B56" w:rsidRPr="00B740B4">
        <w:rPr>
          <w:rFonts w:eastAsia="Times New Roman"/>
        </w:rPr>
        <w:t xml:space="preserve"> in</w:t>
      </w:r>
      <w:r w:rsidR="00C93CC0" w:rsidRPr="00B740B4">
        <w:rPr>
          <w:rFonts w:eastAsia="Times New Roman"/>
        </w:rPr>
        <w:t xml:space="preserve"> t</w:t>
      </w:r>
      <w:r w:rsidR="006A2B56" w:rsidRPr="00B740B4">
        <w:rPr>
          <w:rFonts w:eastAsia="Times New Roman"/>
        </w:rPr>
        <w:t>he dream I have had, and</w:t>
      </w:r>
      <w:r w:rsidR="00C93CC0" w:rsidRPr="00B740B4">
        <w:rPr>
          <w:rFonts w:eastAsia="Times New Roman"/>
        </w:rPr>
        <w:t xml:space="preserve"> its interpretation.</w:t>
      </w:r>
      <w:r w:rsidR="00AD36E8">
        <w:rPr>
          <w:rFonts w:eastAsia="Times New Roman"/>
          <w:vertAlign w:val="superscript"/>
        </w:rPr>
        <w:t>c</w:t>
      </w:r>
      <w:r w:rsidR="005B02ED">
        <w:rPr>
          <w:rFonts w:eastAsia="Times New Roman"/>
          <w:vertAlign w:val="superscript"/>
        </w:rPr>
        <w:t xml:space="preserve"> </w:t>
      </w:r>
      <w:r w:rsidRPr="00B740B4">
        <w:rPr>
          <w:rFonts w:eastAsia="Times New Roman"/>
          <w:vertAlign w:val="superscript"/>
        </w:rPr>
        <w:t>10</w:t>
      </w:r>
      <w:r w:rsidR="00C93CC0" w:rsidRPr="00B740B4">
        <w:rPr>
          <w:rFonts w:eastAsia="Times New Roman"/>
        </w:rPr>
        <w:t>The vision that came into my head as I lay in bed:</w:t>
      </w:r>
    </w:p>
    <w:p w:rsidR="00370022" w:rsidRPr="00B740B4" w:rsidRDefault="00370022" w:rsidP="00370022">
      <w:pPr>
        <w:rPr>
          <w:rFonts w:eastAsia="Times New Roman"/>
          <w:noProof/>
        </w:rPr>
      </w:pPr>
    </w:p>
    <w:p w:rsidR="00C93CC0" w:rsidRPr="00B740B4" w:rsidRDefault="000C5457" w:rsidP="00370022">
      <w:pPr>
        <w:rPr>
          <w:rFonts w:eastAsia="Times New Roman"/>
          <w:noProof/>
        </w:rPr>
      </w:pPr>
      <w:r w:rsidRPr="00B740B4">
        <w:rPr>
          <w:rFonts w:eastAsia="Times New Roman"/>
          <w:noProof/>
        </w:rPr>
        <w:t xml:space="preserve">I was looking, and </w:t>
      </w:r>
      <w:r w:rsidR="00C93CC0" w:rsidRPr="00B740B4">
        <w:rPr>
          <w:rFonts w:eastAsia="Times New Roman"/>
          <w:noProof/>
        </w:rPr>
        <w:t>there before me was a tree</w:t>
      </w:r>
      <w:r w:rsidR="00155FA8" w:rsidRPr="00B740B4">
        <w:rPr>
          <w:rFonts w:eastAsia="Times New Roman"/>
          <w:noProof/>
        </w:rPr>
        <w:t>,</w:t>
      </w:r>
    </w:p>
    <w:p w:rsidR="00C93CC0" w:rsidRPr="00B740B4" w:rsidRDefault="00370022" w:rsidP="00370022">
      <w:pPr>
        <w:rPr>
          <w:rFonts w:eastAsia="Times New Roman"/>
          <w:noProof/>
        </w:rPr>
      </w:pPr>
      <w:r w:rsidRPr="00B740B4">
        <w:rPr>
          <w:rFonts w:eastAsia="Times New Roman"/>
          <w:noProof/>
        </w:rPr>
        <w:tab/>
      </w:r>
      <w:r w:rsidR="00C93CC0" w:rsidRPr="00B740B4">
        <w:rPr>
          <w:rFonts w:eastAsia="Times New Roman"/>
          <w:noProof/>
        </w:rPr>
        <w:t>at the center of the earth,</w:t>
      </w:r>
      <w:r w:rsidR="000C5457" w:rsidRPr="00B740B4">
        <w:rPr>
          <w:rFonts w:eastAsia="Times New Roman"/>
          <w:noProof/>
        </w:rPr>
        <w:t xml:space="preserve"> </w:t>
      </w:r>
      <w:r w:rsidR="00C93CC0" w:rsidRPr="00B740B4">
        <w:rPr>
          <w:rFonts w:eastAsia="Times New Roman"/>
          <w:noProof/>
        </w:rPr>
        <w:t>of great height.</w:t>
      </w:r>
    </w:p>
    <w:p w:rsidR="00C93CC0" w:rsidRPr="00B740B4" w:rsidRDefault="00370022" w:rsidP="00370022">
      <w:pPr>
        <w:rPr>
          <w:rFonts w:eastAsia="Times New Roman"/>
          <w:noProof/>
        </w:rPr>
      </w:pPr>
      <w:r w:rsidRPr="00B740B4">
        <w:rPr>
          <w:rFonts w:eastAsia="Times New Roman"/>
          <w:noProof/>
          <w:vertAlign w:val="superscript"/>
        </w:rPr>
        <w:t>11</w:t>
      </w:r>
      <w:r w:rsidR="00C93CC0" w:rsidRPr="00B740B4">
        <w:rPr>
          <w:rFonts w:eastAsia="Times New Roman"/>
          <w:noProof/>
        </w:rPr>
        <w:t>The tree grew</w:t>
      </w:r>
      <w:r w:rsidR="00C93CC0" w:rsidRPr="00B740B4">
        <w:rPr>
          <w:rFonts w:eastAsia="Times New Roman"/>
          <w:noProof/>
          <w:vertAlign w:val="superscript"/>
        </w:rPr>
        <w:t>a</w:t>
      </w:r>
      <w:r w:rsidR="00C93CC0" w:rsidRPr="00B740B4">
        <w:rPr>
          <w:rFonts w:eastAsia="Times New Roman"/>
          <w:noProof/>
        </w:rPr>
        <w:t xml:space="preserve"> in stature and might,</w:t>
      </w:r>
    </w:p>
    <w:p w:rsidR="00C93CC0" w:rsidRPr="00B740B4" w:rsidRDefault="00370022" w:rsidP="00370022">
      <w:pPr>
        <w:rPr>
          <w:rFonts w:eastAsia="Times New Roman"/>
          <w:noProof/>
        </w:rPr>
      </w:pPr>
      <w:r w:rsidRPr="00B740B4">
        <w:rPr>
          <w:rFonts w:eastAsia="Times New Roman"/>
          <w:noProof/>
        </w:rPr>
        <w:tab/>
      </w:r>
      <w:r w:rsidR="00C93CC0" w:rsidRPr="00B740B4">
        <w:rPr>
          <w:rFonts w:eastAsia="Times New Roman"/>
          <w:noProof/>
        </w:rPr>
        <w:t>its height reached</w:t>
      </w:r>
      <w:r w:rsidR="00C93CC0" w:rsidRPr="00B740B4">
        <w:rPr>
          <w:rFonts w:eastAsia="Times New Roman"/>
          <w:noProof/>
          <w:vertAlign w:val="superscript"/>
        </w:rPr>
        <w:t>b</w:t>
      </w:r>
      <w:r w:rsidR="00C93CC0" w:rsidRPr="00B740B4">
        <w:rPr>
          <w:rFonts w:eastAsia="Times New Roman"/>
          <w:noProof/>
        </w:rPr>
        <w:t xml:space="preserve"> to the heavens;</w:t>
      </w:r>
    </w:p>
    <w:p w:rsidR="00C93CC0" w:rsidRPr="00B740B4" w:rsidRDefault="00370022" w:rsidP="00370022">
      <w:pPr>
        <w:rPr>
          <w:rFonts w:eastAsia="Times New Roman"/>
          <w:noProof/>
        </w:rPr>
      </w:pPr>
      <w:r w:rsidRPr="00B740B4">
        <w:rPr>
          <w:rFonts w:eastAsia="Times New Roman"/>
          <w:noProof/>
          <w:vertAlign w:val="superscript"/>
        </w:rPr>
        <w:tab/>
      </w:r>
      <w:r w:rsidR="00C93CC0" w:rsidRPr="00B740B4">
        <w:rPr>
          <w:rFonts w:eastAsia="Times New Roman"/>
          <w:noProof/>
          <w:vertAlign w:val="superscript"/>
        </w:rPr>
        <w:t>c</w:t>
      </w:r>
      <w:r w:rsidR="00C93CC0" w:rsidRPr="00B740B4">
        <w:rPr>
          <w:rFonts w:eastAsia="Times New Roman"/>
          <w:noProof/>
        </w:rPr>
        <w:t>it could be seen from</w:t>
      </w:r>
      <w:r w:rsidR="00C93CC0" w:rsidRPr="00B740B4">
        <w:rPr>
          <w:rFonts w:eastAsia="Times New Roman"/>
          <w:noProof/>
          <w:vertAlign w:val="superscript"/>
        </w:rPr>
        <w:t>c</w:t>
      </w:r>
      <w:r w:rsidR="0085584B">
        <w:rPr>
          <w:rFonts w:eastAsia="Times New Roman"/>
          <w:noProof/>
        </w:rPr>
        <w:t xml:space="preserve"> the ends of the earth:</w:t>
      </w:r>
    </w:p>
    <w:p w:rsidR="00C93CC0" w:rsidRPr="00B740B4" w:rsidRDefault="00370022" w:rsidP="00370022">
      <w:pPr>
        <w:rPr>
          <w:rFonts w:eastAsia="Times New Roman"/>
          <w:noProof/>
        </w:rPr>
      </w:pPr>
      <w:r w:rsidRPr="00B740B4">
        <w:rPr>
          <w:rFonts w:eastAsia="Times New Roman"/>
          <w:noProof/>
          <w:vertAlign w:val="superscript"/>
        </w:rPr>
        <w:t>12</w:t>
      </w:r>
      <w:r w:rsidR="00C93CC0" w:rsidRPr="00B740B4">
        <w:rPr>
          <w:rFonts w:eastAsia="Times New Roman"/>
          <w:noProof/>
        </w:rPr>
        <w:t>It</w:t>
      </w:r>
      <w:r w:rsidR="0085584B">
        <w:rPr>
          <w:rFonts w:eastAsia="Times New Roman"/>
          <w:noProof/>
        </w:rPr>
        <w:t>s foliage lovely</w:t>
      </w:r>
      <w:r w:rsidR="00C93CC0" w:rsidRPr="00B740B4">
        <w:rPr>
          <w:rFonts w:eastAsia="Times New Roman"/>
          <w:noProof/>
        </w:rPr>
        <w:t>,</w:t>
      </w:r>
      <w:r w:rsidR="000C5457" w:rsidRPr="00B740B4">
        <w:rPr>
          <w:rFonts w:eastAsia="Times New Roman"/>
          <w:noProof/>
        </w:rPr>
        <w:t xml:space="preserve"> </w:t>
      </w:r>
      <w:r w:rsidR="0085584B">
        <w:rPr>
          <w:rFonts w:eastAsia="Times New Roman"/>
          <w:noProof/>
        </w:rPr>
        <w:t xml:space="preserve">its </w:t>
      </w:r>
      <w:r w:rsidR="00C93CC0" w:rsidRPr="00B740B4">
        <w:rPr>
          <w:rFonts w:eastAsia="Times New Roman"/>
          <w:noProof/>
        </w:rPr>
        <w:t>fruit</w:t>
      </w:r>
      <w:r w:rsidR="0085584B">
        <w:rPr>
          <w:rFonts w:eastAsia="Times New Roman"/>
          <w:noProof/>
        </w:rPr>
        <w:t xml:space="preserve"> abundant</w:t>
      </w:r>
      <w:r w:rsidR="00C93CC0" w:rsidRPr="00B740B4">
        <w:rPr>
          <w:rFonts w:eastAsia="Times New Roman"/>
          <w:noProof/>
        </w:rPr>
        <w:t>,</w:t>
      </w:r>
    </w:p>
    <w:p w:rsidR="00C93CC0" w:rsidRPr="00B740B4" w:rsidRDefault="00370022" w:rsidP="00370022">
      <w:pPr>
        <w:rPr>
          <w:rFonts w:eastAsia="Times New Roman"/>
          <w:noProof/>
        </w:rPr>
      </w:pPr>
      <w:r w:rsidRPr="00B740B4">
        <w:rPr>
          <w:rFonts w:eastAsia="Times New Roman"/>
          <w:noProof/>
        </w:rPr>
        <w:tab/>
      </w:r>
      <w:r w:rsidR="006F057C" w:rsidRPr="00B740B4">
        <w:rPr>
          <w:rFonts w:eastAsia="Times New Roman"/>
          <w:noProof/>
        </w:rPr>
        <w:t>food for everyone</w:t>
      </w:r>
      <w:r w:rsidR="0085584B">
        <w:rPr>
          <w:rFonts w:eastAsia="Times New Roman"/>
          <w:noProof/>
        </w:rPr>
        <w:t xml:space="preserve"> in it</w:t>
      </w:r>
      <w:r w:rsidR="006F057C" w:rsidRPr="00B740B4">
        <w:rPr>
          <w:rFonts w:eastAsia="Times New Roman"/>
          <w:noProof/>
        </w:rPr>
        <w:t>.</w:t>
      </w:r>
      <w:r w:rsidR="00C93CC0" w:rsidRPr="00B740B4">
        <w:rPr>
          <w:rFonts w:eastAsia="Times New Roman"/>
          <w:noProof/>
          <w:vertAlign w:val="superscript"/>
        </w:rPr>
        <w:t>a</w:t>
      </w:r>
    </w:p>
    <w:p w:rsidR="00C93CC0" w:rsidRPr="00B740B4" w:rsidRDefault="00C93CC0" w:rsidP="00370022">
      <w:pPr>
        <w:rPr>
          <w:rFonts w:eastAsia="Times New Roman"/>
          <w:noProof/>
        </w:rPr>
      </w:pPr>
      <w:r w:rsidRPr="00B740B4">
        <w:rPr>
          <w:rFonts w:eastAsia="Times New Roman"/>
          <w:noProof/>
        </w:rPr>
        <w:t>Beneath it the animals of the wild sheltered,</w:t>
      </w:r>
    </w:p>
    <w:p w:rsidR="00C93CC0" w:rsidRPr="00B740B4" w:rsidRDefault="00370022" w:rsidP="00370022">
      <w:pPr>
        <w:rPr>
          <w:rFonts w:eastAsia="Times New Roman"/>
          <w:noProof/>
        </w:rPr>
      </w:pPr>
      <w:r w:rsidRPr="00B740B4">
        <w:rPr>
          <w:rFonts w:eastAsia="Times New Roman"/>
          <w:noProof/>
        </w:rPr>
        <w:tab/>
      </w:r>
      <w:r w:rsidR="00C93CC0" w:rsidRPr="00B740B4">
        <w:rPr>
          <w:rFonts w:eastAsia="Times New Roman"/>
          <w:noProof/>
        </w:rPr>
        <w:t>in its branches</w:t>
      </w:r>
      <w:r w:rsidR="00155FA8" w:rsidRPr="00B740B4">
        <w:rPr>
          <w:rFonts w:eastAsia="Times New Roman"/>
          <w:noProof/>
        </w:rPr>
        <w:t xml:space="preserve"> the birds of the heavens dwelt,</w:t>
      </w:r>
    </w:p>
    <w:p w:rsidR="00C93CC0" w:rsidRPr="00B740B4" w:rsidRDefault="00370022" w:rsidP="00370022">
      <w:pPr>
        <w:rPr>
          <w:rFonts w:eastAsia="Times New Roman"/>
          <w:noProof/>
        </w:rPr>
      </w:pPr>
      <w:r w:rsidRPr="00B740B4">
        <w:rPr>
          <w:rFonts w:eastAsia="Times New Roman"/>
          <w:noProof/>
        </w:rPr>
        <w:tab/>
      </w:r>
      <w:r w:rsidR="00C93CC0" w:rsidRPr="00B740B4">
        <w:rPr>
          <w:rFonts w:eastAsia="Times New Roman"/>
          <w:noProof/>
        </w:rPr>
        <w:t>from it all living beings got food for themselves.</w:t>
      </w:r>
    </w:p>
    <w:p w:rsidR="00370022" w:rsidRPr="00B740B4" w:rsidRDefault="00370022" w:rsidP="00370022">
      <w:pPr>
        <w:rPr>
          <w:rFonts w:eastAsia="Times New Roman"/>
          <w:noProof/>
        </w:rPr>
      </w:pPr>
    </w:p>
    <w:p w:rsidR="00C93CC0" w:rsidRPr="00B740B4" w:rsidRDefault="00370022" w:rsidP="00F05249">
      <w:pPr>
        <w:ind w:firstLine="0"/>
        <w:rPr>
          <w:rFonts w:eastAsia="Times New Roman"/>
        </w:rPr>
      </w:pPr>
      <w:r w:rsidRPr="00B740B4">
        <w:rPr>
          <w:rFonts w:eastAsia="Times New Roman"/>
          <w:vertAlign w:val="superscript"/>
        </w:rPr>
        <w:t>13</w:t>
      </w:r>
      <w:r w:rsidR="00C93CC0" w:rsidRPr="00B740B4">
        <w:rPr>
          <w:rFonts w:eastAsia="Times New Roman"/>
        </w:rPr>
        <w:t>I saw in the vision that cam</w:t>
      </w:r>
      <w:r w:rsidR="00D84929">
        <w:rPr>
          <w:rFonts w:eastAsia="Times New Roman"/>
        </w:rPr>
        <w:t>e into my head as I lay in bed, and t</w:t>
      </w:r>
      <w:r w:rsidR="00C93CC0" w:rsidRPr="00B740B4">
        <w:rPr>
          <w:rFonts w:eastAsia="Times New Roman"/>
        </w:rPr>
        <w:t xml:space="preserve">here before me was a </w:t>
      </w:r>
      <w:r w:rsidR="00B82F32" w:rsidRPr="00B740B4">
        <w:rPr>
          <w:rFonts w:eastAsia="Times New Roman"/>
        </w:rPr>
        <w:t>lookout</w:t>
      </w:r>
      <w:r w:rsidR="00C93CC0" w:rsidRPr="00B740B4">
        <w:rPr>
          <w:rFonts w:eastAsia="Times New Roman"/>
        </w:rPr>
        <w:t>,</w:t>
      </w:r>
      <w:r w:rsidR="00C93CC0" w:rsidRPr="00B740B4">
        <w:rPr>
          <w:rFonts w:eastAsia="Times New Roman"/>
          <w:vertAlign w:val="superscript"/>
        </w:rPr>
        <w:t>a</w:t>
      </w:r>
      <w:r w:rsidR="00C93CC0" w:rsidRPr="00B740B4">
        <w:rPr>
          <w:rFonts w:eastAsia="Times New Roman"/>
        </w:rPr>
        <w:t xml:space="preserve"> a holy being,</w:t>
      </w:r>
      <w:r w:rsidR="00C93CC0" w:rsidRPr="00B740B4">
        <w:rPr>
          <w:rFonts w:eastAsia="Times New Roman"/>
          <w:vertAlign w:val="superscript"/>
        </w:rPr>
        <w:t>b</w:t>
      </w:r>
      <w:r w:rsidR="00C93CC0" w:rsidRPr="00B740B4">
        <w:rPr>
          <w:rFonts w:eastAsia="Times New Roman"/>
        </w:rPr>
        <w:t xml:space="preserve"> </w:t>
      </w:r>
      <w:r w:rsidR="000C5457" w:rsidRPr="00B740B4">
        <w:rPr>
          <w:rFonts w:eastAsia="Times New Roman"/>
        </w:rPr>
        <w:t xml:space="preserve">descending from </w:t>
      </w:r>
      <w:r w:rsidR="00155FA8" w:rsidRPr="00B740B4">
        <w:rPr>
          <w:rFonts w:eastAsia="Times New Roman"/>
        </w:rPr>
        <w:t xml:space="preserve">the </w:t>
      </w:r>
      <w:r w:rsidR="000C5457" w:rsidRPr="00B740B4">
        <w:rPr>
          <w:rFonts w:eastAsia="Times New Roman"/>
        </w:rPr>
        <w:t>heaven</w:t>
      </w:r>
      <w:r w:rsidR="00155FA8" w:rsidRPr="00B740B4">
        <w:rPr>
          <w:rFonts w:eastAsia="Times New Roman"/>
        </w:rPr>
        <w:t>s</w:t>
      </w:r>
      <w:r w:rsidR="00D84929">
        <w:rPr>
          <w:rFonts w:eastAsia="Times New Roman"/>
        </w:rPr>
        <w:t>,</w:t>
      </w:r>
      <w:r w:rsidRPr="00B740B4">
        <w:rPr>
          <w:rFonts w:eastAsia="Times New Roman"/>
          <w:vertAlign w:val="superscript"/>
        </w:rPr>
        <w:t>14</w:t>
      </w:r>
      <w:r w:rsidR="00C93CC0" w:rsidRPr="00B740B4">
        <w:rPr>
          <w:rFonts w:eastAsia="Times New Roman"/>
        </w:rPr>
        <w:t xml:space="preserve"> </w:t>
      </w:r>
      <w:r w:rsidR="00D84929">
        <w:rPr>
          <w:rFonts w:eastAsia="Times New Roman"/>
        </w:rPr>
        <w:t>and proclaiming</w:t>
      </w:r>
      <w:r w:rsidR="00D84929">
        <w:rPr>
          <w:rFonts w:eastAsia="Times New Roman"/>
          <w:vertAlign w:val="superscript"/>
        </w:rPr>
        <w:t>a</w:t>
      </w:r>
      <w:r w:rsidR="000C5457" w:rsidRPr="00B740B4">
        <w:rPr>
          <w:rFonts w:eastAsia="Times New Roman"/>
        </w:rPr>
        <w:t xml:space="preserve"> in a loud voice:</w:t>
      </w:r>
    </w:p>
    <w:p w:rsidR="00370022" w:rsidRPr="00B740B4" w:rsidRDefault="00370022" w:rsidP="00370022">
      <w:pPr>
        <w:rPr>
          <w:rFonts w:eastAsia="Times New Roman"/>
          <w:noProof/>
        </w:rPr>
      </w:pPr>
    </w:p>
    <w:p w:rsidR="00C93CC0" w:rsidRPr="00B740B4" w:rsidRDefault="00C93CC0" w:rsidP="00370022">
      <w:pPr>
        <w:rPr>
          <w:rFonts w:eastAsia="Times New Roman"/>
          <w:noProof/>
        </w:rPr>
      </w:pPr>
      <w:r w:rsidRPr="00B740B4">
        <w:rPr>
          <w:rFonts w:eastAsia="Times New Roman"/>
          <w:noProof/>
        </w:rPr>
        <w:t>‘Fell the tree, cut off its branches,</w:t>
      </w:r>
    </w:p>
    <w:p w:rsidR="00C93CC0" w:rsidRPr="00B740B4" w:rsidRDefault="00370022" w:rsidP="00370022">
      <w:pPr>
        <w:rPr>
          <w:rFonts w:eastAsia="Times New Roman"/>
          <w:noProof/>
        </w:rPr>
      </w:pPr>
      <w:r w:rsidRPr="00B740B4">
        <w:rPr>
          <w:rFonts w:eastAsia="Times New Roman"/>
          <w:noProof/>
        </w:rPr>
        <w:tab/>
      </w:r>
      <w:r w:rsidR="00C93CC0" w:rsidRPr="00B740B4">
        <w:rPr>
          <w:rFonts w:eastAsia="Times New Roman"/>
          <w:noProof/>
        </w:rPr>
        <w:t>strip off its foliage, scatter its fruit.</w:t>
      </w:r>
    </w:p>
    <w:p w:rsidR="00C93CC0" w:rsidRPr="00B740B4" w:rsidRDefault="00C93CC0" w:rsidP="00370022">
      <w:pPr>
        <w:rPr>
          <w:rFonts w:eastAsia="Times New Roman"/>
          <w:noProof/>
        </w:rPr>
      </w:pPr>
      <w:r w:rsidRPr="00B740B4">
        <w:rPr>
          <w:rFonts w:eastAsia="Times New Roman"/>
          <w:noProof/>
        </w:rPr>
        <w:t>The animals must flee from beneath it,</w:t>
      </w:r>
    </w:p>
    <w:p w:rsidR="00C93CC0" w:rsidRPr="00B740B4" w:rsidRDefault="00370022" w:rsidP="00370022">
      <w:pPr>
        <w:rPr>
          <w:rFonts w:eastAsia="Times New Roman"/>
          <w:noProof/>
        </w:rPr>
      </w:pPr>
      <w:r w:rsidRPr="00B740B4">
        <w:rPr>
          <w:rFonts w:eastAsia="Times New Roman"/>
          <w:noProof/>
        </w:rPr>
        <w:tab/>
      </w:r>
      <w:r w:rsidR="000C5457" w:rsidRPr="00B740B4">
        <w:rPr>
          <w:rFonts w:eastAsia="Times New Roman"/>
          <w:noProof/>
        </w:rPr>
        <w:t>the birds from its branches.</w:t>
      </w:r>
    </w:p>
    <w:p w:rsidR="000C5457" w:rsidRPr="00B740B4" w:rsidRDefault="00370022" w:rsidP="00370022">
      <w:pPr>
        <w:rPr>
          <w:rFonts w:eastAsia="Times New Roman"/>
          <w:noProof/>
        </w:rPr>
      </w:pPr>
      <w:r w:rsidRPr="00B740B4">
        <w:rPr>
          <w:rFonts w:eastAsia="Times New Roman"/>
          <w:noProof/>
          <w:vertAlign w:val="superscript"/>
        </w:rPr>
        <w:t>15</w:t>
      </w:r>
      <w:r w:rsidR="000C5457" w:rsidRPr="00B740B4">
        <w:rPr>
          <w:rFonts w:eastAsia="Times New Roman"/>
          <w:noProof/>
        </w:rPr>
        <w:t xml:space="preserve">Yet </w:t>
      </w:r>
      <w:r w:rsidR="00C93CC0" w:rsidRPr="00B740B4">
        <w:rPr>
          <w:rFonts w:eastAsia="Times New Roman"/>
          <w:noProof/>
          <w:vertAlign w:val="superscript"/>
        </w:rPr>
        <w:t>a</w:t>
      </w:r>
      <w:r w:rsidR="005D76BC" w:rsidRPr="00B740B4">
        <w:rPr>
          <w:rFonts w:eastAsia="Times New Roman"/>
          <w:noProof/>
        </w:rPr>
        <w:t>the stock</w:t>
      </w:r>
      <w:r w:rsidR="00111656" w:rsidRPr="00B740B4">
        <w:rPr>
          <w:rFonts w:eastAsia="Times New Roman"/>
          <w:noProof/>
        </w:rPr>
        <w:t xml:space="preserve"> from its </w:t>
      </w:r>
      <w:r w:rsidR="00C93CC0" w:rsidRPr="00B740B4">
        <w:rPr>
          <w:rFonts w:eastAsia="Times New Roman"/>
          <w:noProof/>
        </w:rPr>
        <w:t>root</w:t>
      </w:r>
      <w:r w:rsidR="00C93CC0" w:rsidRPr="00B740B4">
        <w:rPr>
          <w:rFonts w:eastAsia="Times New Roman"/>
          <w:noProof/>
          <w:vertAlign w:val="superscript"/>
        </w:rPr>
        <w:t>a</w:t>
      </w:r>
      <w:r w:rsidR="00C93CC0" w:rsidRPr="00B740B4">
        <w:rPr>
          <w:rFonts w:eastAsia="Times New Roman"/>
          <w:noProof/>
        </w:rPr>
        <w:t xml:space="preserve"> </w:t>
      </w:r>
    </w:p>
    <w:p w:rsidR="00C93CC0" w:rsidRPr="00B740B4" w:rsidRDefault="000C5457" w:rsidP="00370022">
      <w:pPr>
        <w:rPr>
          <w:rFonts w:eastAsia="Times New Roman"/>
          <w:noProof/>
        </w:rPr>
      </w:pPr>
      <w:r w:rsidRPr="00B740B4">
        <w:rPr>
          <w:rFonts w:eastAsia="Times New Roman"/>
          <w:noProof/>
        </w:rPr>
        <w:tab/>
        <w:t xml:space="preserve">leave </w:t>
      </w:r>
      <w:r w:rsidR="00C93CC0" w:rsidRPr="00B740B4">
        <w:rPr>
          <w:rFonts w:eastAsia="Times New Roman"/>
          <w:noProof/>
        </w:rPr>
        <w:t>in the earth.</w:t>
      </w:r>
    </w:p>
    <w:p w:rsidR="00C93CC0" w:rsidRPr="00B740B4" w:rsidRDefault="00C93CC0" w:rsidP="00370022">
      <w:pPr>
        <w:rPr>
          <w:rFonts w:eastAsia="Times New Roman"/>
          <w:noProof/>
        </w:rPr>
      </w:pPr>
      <w:r w:rsidRPr="00B740B4">
        <w:rPr>
          <w:rFonts w:eastAsia="Times New Roman"/>
          <w:noProof/>
        </w:rPr>
        <w:t xml:space="preserve">With a ring of iron and bronze </w:t>
      </w:r>
      <w:r w:rsidR="00F05249" w:rsidRPr="00B740B4">
        <w:rPr>
          <w:rFonts w:eastAsia="Times New Roman"/>
          <w:noProof/>
        </w:rPr>
        <w:t>a</w:t>
      </w:r>
      <w:r w:rsidRPr="00B740B4">
        <w:rPr>
          <w:rFonts w:eastAsia="Times New Roman"/>
          <w:noProof/>
        </w:rPr>
        <w:t>round him,</w:t>
      </w:r>
      <w:r w:rsidRPr="00B740B4">
        <w:rPr>
          <w:rFonts w:eastAsia="Times New Roman"/>
          <w:noProof/>
          <w:vertAlign w:val="superscript"/>
        </w:rPr>
        <w:t>b</w:t>
      </w:r>
    </w:p>
    <w:p w:rsidR="00C93CC0" w:rsidRPr="00B740B4" w:rsidRDefault="000C5457" w:rsidP="00370022">
      <w:pPr>
        <w:rPr>
          <w:rFonts w:eastAsia="Times New Roman"/>
          <w:noProof/>
        </w:rPr>
      </w:pPr>
      <w:r w:rsidRPr="00B740B4">
        <w:rPr>
          <w:rFonts w:eastAsia="Times New Roman"/>
          <w:noProof/>
        </w:rPr>
        <w:tab/>
      </w:r>
      <w:r w:rsidR="00C93CC0" w:rsidRPr="00B740B4">
        <w:rPr>
          <w:rFonts w:eastAsia="Times New Roman"/>
          <w:noProof/>
        </w:rPr>
        <w:t>with</w:t>
      </w:r>
      <w:r w:rsidR="00C93CC0" w:rsidRPr="00B740B4">
        <w:rPr>
          <w:rFonts w:eastAsia="Times New Roman"/>
          <w:noProof/>
          <w:vertAlign w:val="superscript"/>
        </w:rPr>
        <w:t>c</w:t>
      </w:r>
      <w:r w:rsidR="00C93CC0" w:rsidRPr="00B740B4">
        <w:rPr>
          <w:rFonts w:eastAsia="Times New Roman"/>
          <w:noProof/>
        </w:rPr>
        <w:t xml:space="preserve"> the grass in the wild,</w:t>
      </w:r>
    </w:p>
    <w:p w:rsidR="00C93CC0" w:rsidRPr="00B740B4" w:rsidRDefault="00F05249" w:rsidP="00370022">
      <w:pPr>
        <w:rPr>
          <w:rFonts w:eastAsia="Times New Roman"/>
          <w:noProof/>
        </w:rPr>
      </w:pPr>
      <w:r w:rsidRPr="00B740B4">
        <w:rPr>
          <w:rFonts w:eastAsia="Times New Roman"/>
          <w:noProof/>
        </w:rPr>
        <w:t>H</w:t>
      </w:r>
      <w:r w:rsidR="002C7E92" w:rsidRPr="00B740B4">
        <w:rPr>
          <w:rFonts w:eastAsia="Times New Roman"/>
          <w:noProof/>
        </w:rPr>
        <w:t>e i</w:t>
      </w:r>
      <w:r w:rsidR="00C93CC0" w:rsidRPr="00B740B4">
        <w:rPr>
          <w:rFonts w:eastAsia="Times New Roman"/>
          <w:noProof/>
        </w:rPr>
        <w:t>s to be watered with the dew from the heavens</w:t>
      </w:r>
    </w:p>
    <w:p w:rsidR="00C93CC0" w:rsidRPr="00B740B4" w:rsidRDefault="000C5457" w:rsidP="00370022">
      <w:pPr>
        <w:rPr>
          <w:rFonts w:eastAsia="Times New Roman"/>
          <w:noProof/>
        </w:rPr>
      </w:pPr>
      <w:r w:rsidRPr="00B740B4">
        <w:rPr>
          <w:rFonts w:eastAsia="Times New Roman"/>
          <w:noProof/>
        </w:rPr>
        <w:tab/>
      </w:r>
      <w:r w:rsidR="00C93CC0" w:rsidRPr="00B740B4">
        <w:rPr>
          <w:rFonts w:eastAsia="Times New Roman"/>
          <w:noProof/>
        </w:rPr>
        <w:t xml:space="preserve">and </w:t>
      </w:r>
      <w:r w:rsidR="002C7E92" w:rsidRPr="00B740B4">
        <w:rPr>
          <w:rFonts w:eastAsia="Times New Roman"/>
          <w:noProof/>
        </w:rPr>
        <w:t xml:space="preserve">to </w:t>
      </w:r>
      <w:r w:rsidR="00C93CC0" w:rsidRPr="00B740B4">
        <w:rPr>
          <w:rFonts w:eastAsia="Times New Roman"/>
          <w:noProof/>
        </w:rPr>
        <w:t>share</w:t>
      </w:r>
      <w:r w:rsidR="00C93CC0" w:rsidRPr="00B740B4">
        <w:rPr>
          <w:rFonts w:eastAsia="Times New Roman"/>
          <w:noProof/>
          <w:vertAlign w:val="superscript"/>
        </w:rPr>
        <w:t>d</w:t>
      </w:r>
      <w:r w:rsidR="00C93CC0" w:rsidRPr="00B740B4">
        <w:rPr>
          <w:rFonts w:eastAsia="Times New Roman"/>
          <w:noProof/>
        </w:rPr>
        <w:t xml:space="preserve"> in the plants</w:t>
      </w:r>
      <w:r w:rsidR="00C93CC0" w:rsidRPr="00B740B4">
        <w:rPr>
          <w:rFonts w:eastAsia="Times New Roman"/>
          <w:noProof/>
          <w:vertAlign w:val="superscript"/>
        </w:rPr>
        <w:t>e</w:t>
      </w:r>
      <w:r w:rsidR="00C93CC0" w:rsidRPr="00B740B4">
        <w:rPr>
          <w:rFonts w:eastAsia="Times New Roman"/>
          <w:noProof/>
        </w:rPr>
        <w:t xml:space="preserve"> of the earth, with the animals.</w:t>
      </w:r>
    </w:p>
    <w:p w:rsidR="00C93CC0" w:rsidRPr="00B740B4" w:rsidRDefault="00C93CC0" w:rsidP="00370022">
      <w:pPr>
        <w:rPr>
          <w:rFonts w:eastAsia="Times New Roman"/>
          <w:noProof/>
        </w:rPr>
      </w:pPr>
      <w:r w:rsidRPr="00B740B4">
        <w:rPr>
          <w:rFonts w:eastAsia="Times New Roman"/>
          <w:noProof/>
          <w:vertAlign w:val="superscript"/>
        </w:rPr>
        <w:t>1</w:t>
      </w:r>
      <w:r w:rsidR="00370022" w:rsidRPr="00B740B4">
        <w:rPr>
          <w:rFonts w:eastAsia="Times New Roman"/>
          <w:noProof/>
          <w:vertAlign w:val="superscript"/>
        </w:rPr>
        <w:t>6</w:t>
      </w:r>
      <w:r w:rsidRPr="00B740B4">
        <w:rPr>
          <w:rFonts w:eastAsia="Times New Roman"/>
          <w:noProof/>
        </w:rPr>
        <w:t>Hi</w:t>
      </w:r>
      <w:r w:rsidR="00F624FB" w:rsidRPr="00B740B4">
        <w:rPr>
          <w:rFonts w:eastAsia="Times New Roman"/>
          <w:noProof/>
        </w:rPr>
        <w:t>s human mind is to become chang</w:t>
      </w:r>
      <w:r w:rsidRPr="00B740B4">
        <w:rPr>
          <w:rFonts w:eastAsia="Times New Roman"/>
          <w:noProof/>
        </w:rPr>
        <w:t>ed</w:t>
      </w:r>
    </w:p>
    <w:p w:rsidR="00C93CC0" w:rsidRPr="00B740B4" w:rsidRDefault="000C5457" w:rsidP="00370022">
      <w:pPr>
        <w:rPr>
          <w:rFonts w:eastAsia="Times New Roman"/>
          <w:noProof/>
        </w:rPr>
      </w:pPr>
      <w:r w:rsidRPr="00B740B4">
        <w:rPr>
          <w:rFonts w:eastAsia="Times New Roman"/>
          <w:noProof/>
        </w:rPr>
        <w:tab/>
      </w:r>
      <w:r w:rsidR="00C93CC0" w:rsidRPr="00B740B4">
        <w:rPr>
          <w:rFonts w:eastAsia="Times New Roman"/>
          <w:noProof/>
        </w:rPr>
        <w:t>and an anim</w:t>
      </w:r>
      <w:r w:rsidR="00F05249" w:rsidRPr="00B740B4">
        <w:rPr>
          <w:rFonts w:eastAsia="Times New Roman"/>
          <w:noProof/>
        </w:rPr>
        <w:t>al’s mind is to be given to him;</w:t>
      </w:r>
    </w:p>
    <w:p w:rsidR="00C93CC0" w:rsidRPr="00B740B4" w:rsidRDefault="000C5457" w:rsidP="00370022">
      <w:pPr>
        <w:rPr>
          <w:rFonts w:eastAsia="Times New Roman"/>
          <w:noProof/>
        </w:rPr>
      </w:pPr>
      <w:r w:rsidRPr="00B740B4">
        <w:rPr>
          <w:rFonts w:eastAsia="Times New Roman"/>
          <w:noProof/>
        </w:rPr>
        <w:tab/>
      </w:r>
      <w:r w:rsidR="00F05249" w:rsidRPr="00B740B4">
        <w:rPr>
          <w:rFonts w:eastAsia="Times New Roman"/>
          <w:noProof/>
        </w:rPr>
        <w:t>s</w:t>
      </w:r>
      <w:r w:rsidR="00C93CC0" w:rsidRPr="00B740B4">
        <w:rPr>
          <w:rFonts w:eastAsia="Times New Roman"/>
          <w:noProof/>
        </w:rPr>
        <w:t>even periods</w:t>
      </w:r>
      <w:r w:rsidR="00897328">
        <w:rPr>
          <w:rFonts w:eastAsia="Times New Roman"/>
          <w:noProof/>
          <w:vertAlign w:val="superscript"/>
        </w:rPr>
        <w:t>a</w:t>
      </w:r>
      <w:r w:rsidR="00C93CC0" w:rsidRPr="00B740B4">
        <w:rPr>
          <w:rFonts w:eastAsia="Times New Roman"/>
          <w:noProof/>
        </w:rPr>
        <w:t xml:space="preserve"> are to pass by for him.</w:t>
      </w:r>
    </w:p>
    <w:p w:rsidR="00C93CC0" w:rsidRPr="00B740B4" w:rsidRDefault="00370022" w:rsidP="00370022">
      <w:pPr>
        <w:rPr>
          <w:rFonts w:eastAsia="Times New Roman"/>
          <w:noProof/>
        </w:rPr>
      </w:pPr>
      <w:r w:rsidRPr="00B740B4">
        <w:rPr>
          <w:rFonts w:eastAsia="Times New Roman"/>
          <w:noProof/>
          <w:vertAlign w:val="superscript"/>
        </w:rPr>
        <w:t>17</w:t>
      </w:r>
      <w:r w:rsidR="009B22A7" w:rsidRPr="00B740B4">
        <w:rPr>
          <w:rFonts w:eastAsia="Times New Roman"/>
          <w:noProof/>
        </w:rPr>
        <w:t>The decision is by the decree of</w:t>
      </w:r>
      <w:r w:rsidR="00C93CC0" w:rsidRPr="00B740B4">
        <w:rPr>
          <w:rFonts w:eastAsia="Times New Roman"/>
          <w:noProof/>
        </w:rPr>
        <w:t xml:space="preserve"> </w:t>
      </w:r>
      <w:r w:rsidR="00FA4265" w:rsidRPr="00B740B4">
        <w:rPr>
          <w:rFonts w:eastAsia="Times New Roman"/>
          <w:noProof/>
        </w:rPr>
        <w:t>lookouts</w:t>
      </w:r>
      <w:r w:rsidR="00C93CC0" w:rsidRPr="00B740B4">
        <w:rPr>
          <w:rFonts w:eastAsia="Times New Roman"/>
          <w:noProof/>
        </w:rPr>
        <w:t>,</w:t>
      </w:r>
    </w:p>
    <w:p w:rsidR="00C93CC0" w:rsidRPr="00B740B4" w:rsidRDefault="000C5457" w:rsidP="00370022">
      <w:pPr>
        <w:rPr>
          <w:rFonts w:eastAsia="Times New Roman"/>
          <w:noProof/>
        </w:rPr>
      </w:pPr>
      <w:r w:rsidRPr="00B740B4">
        <w:rPr>
          <w:rFonts w:eastAsia="Times New Roman"/>
          <w:noProof/>
        </w:rPr>
        <w:tab/>
      </w:r>
      <w:r w:rsidR="00C93CC0" w:rsidRPr="00B740B4">
        <w:rPr>
          <w:rFonts w:eastAsia="Times New Roman"/>
          <w:noProof/>
        </w:rPr>
        <w:t>the intent</w:t>
      </w:r>
      <w:r w:rsidR="00C93CC0" w:rsidRPr="00B740B4">
        <w:rPr>
          <w:rFonts w:eastAsia="Times New Roman"/>
          <w:noProof/>
          <w:vertAlign w:val="superscript"/>
        </w:rPr>
        <w:t>a</w:t>
      </w:r>
      <w:r w:rsidR="009B22A7" w:rsidRPr="00B740B4">
        <w:rPr>
          <w:rFonts w:eastAsia="Times New Roman"/>
          <w:noProof/>
        </w:rPr>
        <w:t xml:space="preserve"> by the word of</w:t>
      </w:r>
      <w:r w:rsidR="00C93CC0" w:rsidRPr="00B740B4">
        <w:rPr>
          <w:rFonts w:eastAsia="Times New Roman"/>
          <w:noProof/>
          <w:vertAlign w:val="superscript"/>
        </w:rPr>
        <w:t>b</w:t>
      </w:r>
      <w:r w:rsidR="00C93CC0" w:rsidRPr="00B740B4">
        <w:rPr>
          <w:rFonts w:eastAsia="Times New Roman"/>
          <w:noProof/>
        </w:rPr>
        <w:t xml:space="preserve"> holy beings:</w:t>
      </w:r>
    </w:p>
    <w:p w:rsidR="00F05249" w:rsidRPr="00B740B4" w:rsidRDefault="00F05249" w:rsidP="00370022">
      <w:pPr>
        <w:rPr>
          <w:rFonts w:eastAsia="Times New Roman"/>
        </w:rPr>
      </w:pPr>
      <w:r w:rsidRPr="00B740B4">
        <w:rPr>
          <w:rFonts w:eastAsia="Times New Roman"/>
        </w:rPr>
        <w:t>W</w:t>
      </w:r>
      <w:r w:rsidR="00C93CC0" w:rsidRPr="00B740B4">
        <w:rPr>
          <w:rFonts w:eastAsia="Times New Roman"/>
        </w:rPr>
        <w:t xml:space="preserve">ith the object that human beings may come to acknowledge </w:t>
      </w:r>
    </w:p>
    <w:p w:rsidR="00F05249" w:rsidRPr="00B740B4" w:rsidRDefault="00F05249" w:rsidP="00370022">
      <w:pPr>
        <w:rPr>
          <w:rFonts w:eastAsia="Times New Roman"/>
        </w:rPr>
      </w:pPr>
      <w:r w:rsidRPr="00B740B4">
        <w:rPr>
          <w:rFonts w:eastAsia="Times New Roman"/>
        </w:rPr>
        <w:tab/>
      </w:r>
      <w:r w:rsidR="00155FA8" w:rsidRPr="00B740B4">
        <w:rPr>
          <w:rFonts w:eastAsia="Times New Roman"/>
        </w:rPr>
        <w:t>that the One On</w:t>
      </w:r>
      <w:r w:rsidR="00C93CC0" w:rsidRPr="00B740B4">
        <w:rPr>
          <w:rFonts w:eastAsia="Times New Roman"/>
        </w:rPr>
        <w:t xml:space="preserve"> High rules over</w:t>
      </w:r>
      <w:r w:rsidR="00155FA8" w:rsidRPr="00B740B4">
        <w:rPr>
          <w:rFonts w:eastAsia="Times New Roman"/>
        </w:rPr>
        <w:t xml:space="preserve"> human kingship</w:t>
      </w:r>
      <w:r w:rsidR="00C93CC0" w:rsidRPr="00B740B4">
        <w:rPr>
          <w:rFonts w:eastAsia="Times New Roman"/>
        </w:rPr>
        <w:t xml:space="preserve">. </w:t>
      </w:r>
    </w:p>
    <w:p w:rsidR="00F05249" w:rsidRPr="00B740B4" w:rsidRDefault="00C93CC0" w:rsidP="00370022">
      <w:pPr>
        <w:rPr>
          <w:rFonts w:eastAsia="Times New Roman"/>
        </w:rPr>
      </w:pPr>
      <w:r w:rsidRPr="00B740B4">
        <w:rPr>
          <w:rFonts w:eastAsia="Times New Roman"/>
        </w:rPr>
        <w:t xml:space="preserve">He can give it to anyone he wishes </w:t>
      </w:r>
    </w:p>
    <w:p w:rsidR="00C93CC0" w:rsidRPr="00B740B4" w:rsidRDefault="00F05249" w:rsidP="00370022">
      <w:pPr>
        <w:rPr>
          <w:rFonts w:eastAsia="Times New Roman"/>
        </w:rPr>
      </w:pPr>
      <w:r w:rsidRPr="00B740B4">
        <w:rPr>
          <w:rFonts w:eastAsia="Times New Roman"/>
        </w:rPr>
        <w:tab/>
      </w:r>
      <w:r w:rsidR="00C93CC0" w:rsidRPr="00B740B4">
        <w:rPr>
          <w:rFonts w:eastAsia="Times New Roman"/>
        </w:rPr>
        <w:t xml:space="preserve">and set </w:t>
      </w:r>
      <w:r w:rsidR="00155FA8" w:rsidRPr="00B740B4">
        <w:rPr>
          <w:rFonts w:eastAsia="Times New Roman"/>
        </w:rPr>
        <w:t>over it the most ordinary of human beings</w:t>
      </w:r>
      <w:r w:rsidR="00C93CC0" w:rsidRPr="00B740B4">
        <w:rPr>
          <w:rFonts w:eastAsia="Times New Roman"/>
        </w:rPr>
        <w:t>.’</w:t>
      </w:r>
    </w:p>
    <w:p w:rsidR="00F05249" w:rsidRPr="00B740B4" w:rsidRDefault="00F05249" w:rsidP="00370022">
      <w:pPr>
        <w:rPr>
          <w:rFonts w:eastAsia="Times New Roman"/>
          <w:vertAlign w:val="superscript"/>
        </w:rPr>
      </w:pPr>
    </w:p>
    <w:p w:rsidR="00E84AD9" w:rsidRPr="00B740B4" w:rsidRDefault="00370022" w:rsidP="00370022">
      <w:pPr>
        <w:rPr>
          <w:rFonts w:eastAsia="Times New Roman"/>
        </w:rPr>
      </w:pPr>
      <w:r w:rsidRPr="00B740B4">
        <w:rPr>
          <w:rFonts w:eastAsia="Times New Roman"/>
          <w:vertAlign w:val="superscript"/>
        </w:rPr>
        <w:t>18</w:t>
      </w:r>
      <w:r w:rsidR="00C93CC0" w:rsidRPr="00B740B4">
        <w:rPr>
          <w:rFonts w:eastAsia="Times New Roman"/>
        </w:rPr>
        <w:t xml:space="preserve">That is the dream which I, King </w:t>
      </w:r>
      <w:r w:rsidR="00155FA8" w:rsidRPr="00B740B4">
        <w:rPr>
          <w:rFonts w:eastAsia="Times New Roman"/>
        </w:rPr>
        <w:t>Nebukadne’ṣṣar</w:t>
      </w:r>
      <w:r w:rsidR="00C93CC0" w:rsidRPr="00B740B4">
        <w:rPr>
          <w:rFonts w:eastAsia="Times New Roman"/>
        </w:rPr>
        <w:t xml:space="preserve">, had. You, </w:t>
      </w:r>
      <w:r w:rsidR="005B02ED">
        <w:rPr>
          <w:rFonts w:eastAsia="Times New Roman"/>
        </w:rPr>
        <w:t>Belṭešaṣṣar</w:t>
      </w:r>
      <w:r w:rsidR="00C93CC0" w:rsidRPr="00B740B4">
        <w:rPr>
          <w:rFonts w:eastAsia="Times New Roman"/>
        </w:rPr>
        <w:t>, tell me the inte</w:t>
      </w:r>
      <w:r w:rsidR="00CA5973">
        <w:rPr>
          <w:rFonts w:eastAsia="Times New Roman"/>
        </w:rPr>
        <w:t>rpretation, since</w:t>
      </w:r>
      <w:r w:rsidR="00EB39D0" w:rsidRPr="00B740B4">
        <w:rPr>
          <w:rFonts w:eastAsia="Times New Roman"/>
        </w:rPr>
        <w:t xml:space="preserve"> all the expert</w:t>
      </w:r>
      <w:r w:rsidR="00C93CC0" w:rsidRPr="00B740B4">
        <w:rPr>
          <w:rFonts w:eastAsia="Times New Roman"/>
        </w:rPr>
        <w:t xml:space="preserve">s in </w:t>
      </w:r>
      <w:r w:rsidR="002D5A43">
        <w:rPr>
          <w:rFonts w:eastAsia="Times New Roman"/>
        </w:rPr>
        <w:t>my kingdom are unable to let me know the interpretation</w:t>
      </w:r>
      <w:r w:rsidR="00ED7030">
        <w:rPr>
          <w:rFonts w:eastAsia="Times New Roman"/>
        </w:rPr>
        <w:t>, but you can do so, in that</w:t>
      </w:r>
      <w:r w:rsidR="00C93CC0" w:rsidRPr="00B740B4">
        <w:rPr>
          <w:rFonts w:eastAsia="Times New Roman"/>
        </w:rPr>
        <w:t xml:space="preserve"> the spirit of holy deity is in you.” </w:t>
      </w:r>
    </w:p>
    <w:p w:rsidR="00F05249" w:rsidRPr="00B740B4" w:rsidRDefault="00C93CC0" w:rsidP="00370022">
      <w:pPr>
        <w:rPr>
          <w:rFonts w:eastAsia="Times New Roman"/>
        </w:rPr>
      </w:pPr>
      <w:r w:rsidRPr="00B740B4">
        <w:rPr>
          <w:rFonts w:eastAsia="Times New Roman"/>
          <w:vertAlign w:val="superscript"/>
        </w:rPr>
        <w:t>1</w:t>
      </w:r>
      <w:r w:rsidR="00370022" w:rsidRPr="00B740B4">
        <w:rPr>
          <w:rFonts w:eastAsia="Times New Roman"/>
          <w:vertAlign w:val="superscript"/>
        </w:rPr>
        <w:t>9</w:t>
      </w:r>
      <w:r w:rsidRPr="00B740B4">
        <w:rPr>
          <w:rFonts w:eastAsia="Times New Roman"/>
        </w:rPr>
        <w:t>Dani</w:t>
      </w:r>
      <w:r w:rsidR="00155FA8" w:rsidRPr="00B740B4">
        <w:rPr>
          <w:rFonts w:eastAsia="Times New Roman"/>
        </w:rPr>
        <w:t>yy</w:t>
      </w:r>
      <w:r w:rsidRPr="00B740B4">
        <w:rPr>
          <w:rFonts w:eastAsia="Times New Roman"/>
        </w:rPr>
        <w:t>e</w:t>
      </w:r>
      <w:r w:rsidR="00155FA8" w:rsidRPr="00B740B4">
        <w:rPr>
          <w:rFonts w:eastAsia="Times New Roman"/>
        </w:rPr>
        <w:t>’</w:t>
      </w:r>
      <w:r w:rsidRPr="00B740B4">
        <w:rPr>
          <w:rFonts w:eastAsia="Times New Roman"/>
        </w:rPr>
        <w:t xml:space="preserve">l, whose name was </w:t>
      </w:r>
      <w:r w:rsidR="005B02ED">
        <w:rPr>
          <w:rFonts w:eastAsia="Times New Roman"/>
        </w:rPr>
        <w:t>Belṭešaṣṣar</w:t>
      </w:r>
      <w:r w:rsidRPr="00B740B4">
        <w:rPr>
          <w:rFonts w:eastAsia="Times New Roman"/>
        </w:rPr>
        <w:t xml:space="preserve">, was overcome for a moment. His thoughts </w:t>
      </w:r>
      <w:r w:rsidR="00940B76" w:rsidRPr="00B740B4">
        <w:rPr>
          <w:rFonts w:eastAsia="Times New Roman"/>
        </w:rPr>
        <w:t>alarmed him. The king averr</w:t>
      </w:r>
      <w:r w:rsidR="00514DD8" w:rsidRPr="00B740B4">
        <w:rPr>
          <w:rFonts w:eastAsia="Times New Roman"/>
        </w:rPr>
        <w:t>ed,</w:t>
      </w:r>
      <w:r w:rsidR="00E84AD9" w:rsidRPr="00B740B4">
        <w:rPr>
          <w:rFonts w:eastAsia="Times New Roman"/>
        </w:rPr>
        <w:t xml:space="preserve"> “</w:t>
      </w:r>
      <w:r w:rsidR="005B02ED">
        <w:rPr>
          <w:rFonts w:eastAsia="Times New Roman"/>
        </w:rPr>
        <w:t>Belṭešaṣṣar</w:t>
      </w:r>
      <w:r w:rsidRPr="00B740B4">
        <w:rPr>
          <w:rFonts w:eastAsia="Times New Roman"/>
        </w:rPr>
        <w:t xml:space="preserve">, the dream and the interpretation are not to alarm you.” </w:t>
      </w:r>
      <w:r w:rsidR="005B02ED">
        <w:rPr>
          <w:rFonts w:eastAsia="Times New Roman"/>
        </w:rPr>
        <w:t>Belṭešaṣṣar</w:t>
      </w:r>
      <w:r w:rsidR="00155FA8" w:rsidRPr="00B740B4">
        <w:rPr>
          <w:rFonts w:eastAsia="Times New Roman"/>
        </w:rPr>
        <w:t xml:space="preserve"> </w:t>
      </w:r>
      <w:r w:rsidR="00940B76" w:rsidRPr="00B740B4">
        <w:rPr>
          <w:rFonts w:eastAsia="Times New Roman"/>
        </w:rPr>
        <w:t>respond</w:t>
      </w:r>
      <w:r w:rsidRPr="00B740B4">
        <w:rPr>
          <w:rFonts w:eastAsia="Times New Roman"/>
        </w:rPr>
        <w:t>ed, “My lord, the dream should</w:t>
      </w:r>
      <w:r w:rsidRPr="00B740B4">
        <w:rPr>
          <w:rFonts w:eastAsia="Times New Roman"/>
          <w:vertAlign w:val="superscript"/>
        </w:rPr>
        <w:t>a</w:t>
      </w:r>
      <w:r w:rsidRPr="00B740B4">
        <w:rPr>
          <w:rFonts w:eastAsia="Times New Roman"/>
        </w:rPr>
        <w:t xml:space="preserve"> apply to your opponents and its interpretation to your foes. </w:t>
      </w:r>
      <w:r w:rsidR="00370022" w:rsidRPr="00B740B4">
        <w:rPr>
          <w:rFonts w:eastAsia="Times New Roman"/>
          <w:vertAlign w:val="superscript"/>
        </w:rPr>
        <w:lastRenderedPageBreak/>
        <w:t>20</w:t>
      </w:r>
      <w:r w:rsidRPr="00B740B4">
        <w:rPr>
          <w:rFonts w:eastAsia="Times New Roman"/>
        </w:rPr>
        <w:t xml:space="preserve">The tree you saw which grew in stature and might—its top reached to the heavens, and it could be </w:t>
      </w:r>
      <w:r w:rsidR="00E84AD9" w:rsidRPr="00B740B4">
        <w:rPr>
          <w:rFonts w:eastAsia="Times New Roman"/>
        </w:rPr>
        <w:t>seen from the ends of the earth;</w:t>
      </w:r>
      <w:r w:rsidRPr="00B740B4">
        <w:rPr>
          <w:rFonts w:eastAsia="Times New Roman"/>
        </w:rPr>
        <w:t xml:space="preserve"> </w:t>
      </w:r>
      <w:r w:rsidR="00370022" w:rsidRPr="00B740B4">
        <w:rPr>
          <w:rFonts w:eastAsia="Times New Roman"/>
          <w:vertAlign w:val="superscript"/>
        </w:rPr>
        <w:t>21</w:t>
      </w:r>
      <w:r w:rsidRPr="00B740B4">
        <w:rPr>
          <w:rFonts w:eastAsia="Times New Roman"/>
        </w:rPr>
        <w:t xml:space="preserve">it had lovely foliage, much fruit, and food for everyone; beneath it the animals of the wild dwelt, and in its branches </w:t>
      </w:r>
      <w:r w:rsidR="00E84AD9" w:rsidRPr="00B740B4">
        <w:rPr>
          <w:rFonts w:eastAsia="Times New Roman"/>
        </w:rPr>
        <w:t>the birds of the heavens nested:</w:t>
      </w:r>
      <w:r w:rsidRPr="00B740B4">
        <w:rPr>
          <w:rFonts w:eastAsia="Times New Roman"/>
        </w:rPr>
        <w:t xml:space="preserve"> </w:t>
      </w:r>
      <w:r w:rsidR="00370022" w:rsidRPr="00B740B4">
        <w:rPr>
          <w:rFonts w:eastAsia="Times New Roman"/>
          <w:vertAlign w:val="superscript"/>
        </w:rPr>
        <w:t>22</w:t>
      </w:r>
      <w:r w:rsidRPr="00B740B4">
        <w:rPr>
          <w:rFonts w:eastAsia="Times New Roman"/>
        </w:rPr>
        <w:t xml:space="preserve"> you, your majesty, are the one who h</w:t>
      </w:r>
      <w:r w:rsidR="002D5A43">
        <w:rPr>
          <w:rFonts w:eastAsia="Times New Roman"/>
        </w:rPr>
        <w:t>as grown in stature and might; y</w:t>
      </w:r>
      <w:r w:rsidRPr="00B740B4">
        <w:rPr>
          <w:rFonts w:eastAsia="Times New Roman"/>
        </w:rPr>
        <w:t xml:space="preserve">our stature has grown until it reaches the heavens and your rule until it reaches the end of the earth. </w:t>
      </w:r>
      <w:r w:rsidR="00370022" w:rsidRPr="00B740B4">
        <w:rPr>
          <w:rFonts w:eastAsia="Times New Roman"/>
          <w:vertAlign w:val="superscript"/>
        </w:rPr>
        <w:t>23</w:t>
      </w:r>
      <w:r w:rsidRPr="00B740B4">
        <w:rPr>
          <w:rFonts w:eastAsia="Times New Roman"/>
        </w:rPr>
        <w:t xml:space="preserve">Your majesty saw a </w:t>
      </w:r>
      <w:r w:rsidR="00B82F32" w:rsidRPr="00B740B4">
        <w:rPr>
          <w:rFonts w:eastAsia="Times New Roman"/>
        </w:rPr>
        <w:t>lookout</w:t>
      </w:r>
      <w:r w:rsidRPr="00B740B4">
        <w:rPr>
          <w:rFonts w:eastAsia="Times New Roman"/>
        </w:rPr>
        <w:t>, a holy being, descend from heaven</w:t>
      </w:r>
      <w:r w:rsidR="007864E5" w:rsidRPr="00B740B4">
        <w:rPr>
          <w:rFonts w:eastAsia="Times New Roman"/>
        </w:rPr>
        <w:t>s</w:t>
      </w:r>
      <w:r w:rsidRPr="00B740B4">
        <w:rPr>
          <w:rFonts w:eastAsia="Times New Roman"/>
        </w:rPr>
        <w:t xml:space="preserve"> and say,</w:t>
      </w:r>
    </w:p>
    <w:p w:rsidR="00F05249" w:rsidRPr="00B740B4" w:rsidRDefault="00F05249" w:rsidP="00370022">
      <w:pPr>
        <w:rPr>
          <w:rFonts w:eastAsia="Times New Roman"/>
        </w:rPr>
      </w:pPr>
    </w:p>
    <w:p w:rsidR="00F05249" w:rsidRPr="00B740B4" w:rsidRDefault="00C93CC0" w:rsidP="00370022">
      <w:pPr>
        <w:rPr>
          <w:rFonts w:eastAsia="Times New Roman"/>
        </w:rPr>
      </w:pPr>
      <w:r w:rsidRPr="00B740B4">
        <w:rPr>
          <w:rFonts w:eastAsia="Times New Roman"/>
        </w:rPr>
        <w:t xml:space="preserve">‘Fell the tree and destroy it; </w:t>
      </w:r>
    </w:p>
    <w:p w:rsidR="00F05249" w:rsidRPr="00B740B4" w:rsidRDefault="00F05249" w:rsidP="00370022">
      <w:pPr>
        <w:rPr>
          <w:rFonts w:eastAsia="Times New Roman"/>
        </w:rPr>
      </w:pPr>
      <w:r w:rsidRPr="00B740B4">
        <w:rPr>
          <w:rFonts w:eastAsia="Times New Roman"/>
        </w:rPr>
        <w:tab/>
        <w:t xml:space="preserve">yet </w:t>
      </w:r>
      <w:r w:rsidR="00605E6D" w:rsidRPr="00B740B4">
        <w:rPr>
          <w:rFonts w:eastAsia="Times New Roman"/>
        </w:rPr>
        <w:t xml:space="preserve">the stock from its </w:t>
      </w:r>
      <w:r w:rsidR="00C93CC0" w:rsidRPr="00B740B4">
        <w:rPr>
          <w:rFonts w:eastAsia="Times New Roman"/>
        </w:rPr>
        <w:t xml:space="preserve">root </w:t>
      </w:r>
      <w:r w:rsidRPr="00B740B4">
        <w:rPr>
          <w:rFonts w:eastAsia="Times New Roman"/>
        </w:rPr>
        <w:t xml:space="preserve">leave </w:t>
      </w:r>
      <w:r w:rsidR="00C93CC0" w:rsidRPr="00B740B4">
        <w:rPr>
          <w:rFonts w:eastAsia="Times New Roman"/>
        </w:rPr>
        <w:t xml:space="preserve">in the earth. </w:t>
      </w:r>
    </w:p>
    <w:p w:rsidR="00F05249" w:rsidRPr="00B740B4" w:rsidRDefault="00C93CC0" w:rsidP="00370022">
      <w:pPr>
        <w:rPr>
          <w:rFonts w:eastAsia="Times New Roman"/>
        </w:rPr>
      </w:pPr>
      <w:r w:rsidRPr="00B740B4">
        <w:rPr>
          <w:rFonts w:eastAsia="Times New Roman"/>
        </w:rPr>
        <w:t xml:space="preserve">With a ring of iron and bronze </w:t>
      </w:r>
      <w:r w:rsidR="001F7140" w:rsidRPr="00B740B4">
        <w:rPr>
          <w:rFonts w:eastAsia="Times New Roman"/>
        </w:rPr>
        <w:t>a</w:t>
      </w:r>
      <w:r w:rsidRPr="00B740B4">
        <w:rPr>
          <w:rFonts w:eastAsia="Times New Roman"/>
        </w:rPr>
        <w:t xml:space="preserve">round him, </w:t>
      </w:r>
    </w:p>
    <w:p w:rsidR="00F05249" w:rsidRPr="00B740B4" w:rsidRDefault="00F05249" w:rsidP="00370022">
      <w:pPr>
        <w:rPr>
          <w:rFonts w:eastAsia="Times New Roman"/>
        </w:rPr>
      </w:pPr>
      <w:r w:rsidRPr="00B740B4">
        <w:rPr>
          <w:rFonts w:eastAsia="Times New Roman"/>
        </w:rPr>
        <w:tab/>
      </w:r>
      <w:r w:rsidR="00C93CC0" w:rsidRPr="00B740B4">
        <w:rPr>
          <w:rFonts w:eastAsia="Times New Roman"/>
        </w:rPr>
        <w:t xml:space="preserve">with the grass in the wild, </w:t>
      </w:r>
    </w:p>
    <w:p w:rsidR="00F05249" w:rsidRPr="00B740B4" w:rsidRDefault="00605E6D" w:rsidP="00370022">
      <w:pPr>
        <w:rPr>
          <w:rFonts w:eastAsia="Times New Roman"/>
        </w:rPr>
      </w:pPr>
      <w:r w:rsidRPr="00B740B4">
        <w:rPr>
          <w:rFonts w:eastAsia="Times New Roman"/>
        </w:rPr>
        <w:t>He i</w:t>
      </w:r>
      <w:r w:rsidR="00C93CC0" w:rsidRPr="00B740B4">
        <w:rPr>
          <w:rFonts w:eastAsia="Times New Roman"/>
        </w:rPr>
        <w:t xml:space="preserve">s to be watered with the dew from the heavens </w:t>
      </w:r>
    </w:p>
    <w:p w:rsidR="00F05249" w:rsidRPr="00B740B4" w:rsidRDefault="00F05249" w:rsidP="00370022">
      <w:pPr>
        <w:rPr>
          <w:rFonts w:eastAsia="Times New Roman"/>
        </w:rPr>
      </w:pPr>
      <w:r w:rsidRPr="00B740B4">
        <w:rPr>
          <w:rFonts w:eastAsia="Times New Roman"/>
        </w:rPr>
        <w:tab/>
      </w:r>
      <w:r w:rsidR="00C93CC0" w:rsidRPr="00B740B4">
        <w:rPr>
          <w:rFonts w:eastAsia="Times New Roman"/>
        </w:rPr>
        <w:t xml:space="preserve">and </w:t>
      </w:r>
      <w:r w:rsidR="00605E6D" w:rsidRPr="00B740B4">
        <w:rPr>
          <w:rFonts w:eastAsia="Times New Roman"/>
        </w:rPr>
        <w:t xml:space="preserve">to </w:t>
      </w:r>
      <w:r w:rsidR="00C93CC0" w:rsidRPr="00B740B4">
        <w:rPr>
          <w:rFonts w:eastAsia="Times New Roman"/>
        </w:rPr>
        <w:t xml:space="preserve">share with the animals of the wild, </w:t>
      </w:r>
    </w:p>
    <w:p w:rsidR="00F05249" w:rsidRPr="00B740B4" w:rsidRDefault="00F05249" w:rsidP="00370022">
      <w:pPr>
        <w:rPr>
          <w:rFonts w:eastAsia="Times New Roman"/>
        </w:rPr>
      </w:pPr>
      <w:r w:rsidRPr="00B740B4">
        <w:rPr>
          <w:rFonts w:eastAsia="Times New Roman"/>
        </w:rPr>
        <w:tab/>
      </w:r>
      <w:r w:rsidR="00C93CC0" w:rsidRPr="00B740B4">
        <w:rPr>
          <w:rFonts w:eastAsia="Times New Roman"/>
        </w:rPr>
        <w:t xml:space="preserve">until seven periods pass by for him.’ </w:t>
      </w:r>
    </w:p>
    <w:p w:rsidR="00F05249" w:rsidRPr="00B740B4" w:rsidRDefault="00F05249" w:rsidP="00370022">
      <w:pPr>
        <w:rPr>
          <w:rFonts w:eastAsia="Times New Roman"/>
        </w:rPr>
      </w:pPr>
    </w:p>
    <w:p w:rsidR="00C93CC0" w:rsidRPr="00B740B4" w:rsidRDefault="00370022" w:rsidP="00370022">
      <w:pPr>
        <w:rPr>
          <w:rFonts w:eastAsia="Times New Roman"/>
        </w:rPr>
      </w:pPr>
      <w:r w:rsidRPr="00B740B4">
        <w:rPr>
          <w:rFonts w:eastAsia="Times New Roman"/>
          <w:vertAlign w:val="superscript"/>
        </w:rPr>
        <w:t>24</w:t>
      </w:r>
      <w:r w:rsidR="00C93CC0" w:rsidRPr="00B740B4">
        <w:rPr>
          <w:rFonts w:eastAsia="Times New Roman"/>
        </w:rPr>
        <w:t xml:space="preserve">This is the interpretation, your majesty. It is the decision of the </w:t>
      </w:r>
      <w:r w:rsidR="00155FA8" w:rsidRPr="00B740B4">
        <w:rPr>
          <w:rFonts w:eastAsia="Times New Roman"/>
        </w:rPr>
        <w:t>One On High</w:t>
      </w:r>
      <w:r w:rsidR="00C87D5F">
        <w:rPr>
          <w:rFonts w:eastAsia="Times New Roman"/>
        </w:rPr>
        <w:t xml:space="preserve"> that</w:t>
      </w:r>
      <w:r w:rsidR="00C93CC0" w:rsidRPr="00B740B4">
        <w:rPr>
          <w:rFonts w:eastAsia="Times New Roman"/>
        </w:rPr>
        <w:t xml:space="preserve"> has befallen</w:t>
      </w:r>
      <w:r w:rsidR="00C93CC0" w:rsidRPr="00B740B4">
        <w:rPr>
          <w:rFonts w:eastAsia="Times New Roman"/>
          <w:vertAlign w:val="superscript"/>
        </w:rPr>
        <w:t>a</w:t>
      </w:r>
      <w:r w:rsidR="00C93CC0" w:rsidRPr="00B740B4">
        <w:rPr>
          <w:rFonts w:eastAsia="Times New Roman"/>
        </w:rPr>
        <w:t xml:space="preserve"> my lord the king. </w:t>
      </w:r>
      <w:r w:rsidRPr="00B740B4">
        <w:rPr>
          <w:rFonts w:eastAsia="Times New Roman"/>
          <w:vertAlign w:val="superscript"/>
        </w:rPr>
        <w:t>25</w:t>
      </w:r>
      <w:r w:rsidR="00605E6D" w:rsidRPr="00B740B4">
        <w:rPr>
          <w:rFonts w:eastAsia="Times New Roman"/>
        </w:rPr>
        <w:t>You a</w:t>
      </w:r>
      <w:r w:rsidR="00C93CC0" w:rsidRPr="00B740B4">
        <w:rPr>
          <w:rFonts w:eastAsia="Times New Roman"/>
        </w:rPr>
        <w:t>re going to b</w:t>
      </w:r>
      <w:r w:rsidR="00605E6D" w:rsidRPr="00B740B4">
        <w:rPr>
          <w:rFonts w:eastAsia="Times New Roman"/>
        </w:rPr>
        <w:t>e led away from human society. Y</w:t>
      </w:r>
      <w:r w:rsidR="00C93CC0" w:rsidRPr="00B740B4">
        <w:rPr>
          <w:rFonts w:eastAsia="Times New Roman"/>
        </w:rPr>
        <w:t>our home will be among</w:t>
      </w:r>
      <w:r w:rsidR="00605E6D" w:rsidRPr="00B740B4">
        <w:rPr>
          <w:rFonts w:eastAsia="Times New Roman"/>
        </w:rPr>
        <w:t xml:space="preserve"> the animals of the wild. You wi</w:t>
      </w:r>
      <w:r w:rsidR="00C93CC0" w:rsidRPr="00B740B4">
        <w:rPr>
          <w:rFonts w:eastAsia="Times New Roman"/>
        </w:rPr>
        <w:t>ll be fed plants like an ox and be watered with dew from the heavens, and seven periods will pass by for you</w:t>
      </w:r>
      <w:r w:rsidR="00605E6D" w:rsidRPr="00B740B4">
        <w:rPr>
          <w:rFonts w:eastAsia="Times New Roman"/>
        </w:rPr>
        <w:t>,</w:t>
      </w:r>
      <w:r w:rsidR="00C93CC0" w:rsidRPr="00B740B4">
        <w:rPr>
          <w:rFonts w:eastAsia="Times New Roman"/>
        </w:rPr>
        <w:t xml:space="preserve"> until you acknowledge that the </w:t>
      </w:r>
      <w:r w:rsidR="00155FA8" w:rsidRPr="00B740B4">
        <w:rPr>
          <w:rFonts w:eastAsia="Times New Roman"/>
        </w:rPr>
        <w:t>One On High</w:t>
      </w:r>
      <w:r w:rsidR="00C93CC0" w:rsidRPr="00B740B4">
        <w:rPr>
          <w:rFonts w:eastAsia="Times New Roman"/>
        </w:rPr>
        <w:t xml:space="preserve"> rules over human kingship, and that he can give it to anyone he wishes. </w:t>
      </w:r>
      <w:r w:rsidRPr="00B740B4">
        <w:rPr>
          <w:rFonts w:eastAsia="Times New Roman"/>
          <w:vertAlign w:val="superscript"/>
        </w:rPr>
        <w:t>26</w:t>
      </w:r>
      <w:r w:rsidR="00605E6D" w:rsidRPr="00B740B4">
        <w:rPr>
          <w:rFonts w:eastAsia="Times New Roman"/>
        </w:rPr>
        <w:t>But in that the stock from the</w:t>
      </w:r>
      <w:r w:rsidR="00C93CC0" w:rsidRPr="00B740B4">
        <w:rPr>
          <w:rFonts w:eastAsia="Times New Roman"/>
        </w:rPr>
        <w:t xml:space="preserve"> </w:t>
      </w:r>
      <w:r w:rsidR="00605E6D" w:rsidRPr="00B740B4">
        <w:rPr>
          <w:rFonts w:eastAsia="Times New Roman"/>
        </w:rPr>
        <w:t xml:space="preserve">tree’s root </w:t>
      </w:r>
      <w:r w:rsidR="00C93CC0" w:rsidRPr="00B740B4">
        <w:rPr>
          <w:rFonts w:eastAsia="Times New Roman"/>
        </w:rPr>
        <w:t>was to be left, your kingship will be</w:t>
      </w:r>
      <w:r w:rsidR="00605E6D" w:rsidRPr="00B740B4">
        <w:rPr>
          <w:rFonts w:eastAsia="Times New Roman"/>
        </w:rPr>
        <w:t>come firm for</w:t>
      </w:r>
      <w:r w:rsidR="00C93CC0" w:rsidRPr="00B740B4">
        <w:rPr>
          <w:rFonts w:eastAsia="Times New Roman"/>
        </w:rPr>
        <w:t xml:space="preserve"> you</w:t>
      </w:r>
      <w:r w:rsidR="00F23E1B" w:rsidRPr="00B740B4">
        <w:rPr>
          <w:rFonts w:eastAsia="Times New Roman"/>
        </w:rPr>
        <w:t xml:space="preserve"> from when</w:t>
      </w:r>
      <w:r w:rsidR="00C93CC0" w:rsidRPr="00B740B4">
        <w:rPr>
          <w:rFonts w:eastAsia="Times New Roman"/>
        </w:rPr>
        <w:t xml:space="preserve"> you acknowledge that </w:t>
      </w:r>
      <w:r w:rsidR="000F62CA" w:rsidRPr="00B740B4">
        <w:rPr>
          <w:rFonts w:eastAsia="Times New Roman"/>
        </w:rPr>
        <w:t xml:space="preserve">the </w:t>
      </w:r>
      <w:r w:rsidR="00C93CC0" w:rsidRPr="00B740B4">
        <w:rPr>
          <w:rFonts w:eastAsia="Times New Roman"/>
        </w:rPr>
        <w:t>heaven</w:t>
      </w:r>
      <w:r w:rsidR="000F62CA" w:rsidRPr="00B740B4">
        <w:rPr>
          <w:rFonts w:eastAsia="Times New Roman"/>
        </w:rPr>
        <w:t>s rule</w:t>
      </w:r>
      <w:r w:rsidR="00C93CC0" w:rsidRPr="00B740B4">
        <w:rPr>
          <w:rFonts w:eastAsia="Times New Roman"/>
        </w:rPr>
        <w:t xml:space="preserve">. </w:t>
      </w:r>
      <w:r w:rsidRPr="00B740B4">
        <w:rPr>
          <w:rFonts w:eastAsia="Times New Roman"/>
          <w:vertAlign w:val="superscript"/>
        </w:rPr>
        <w:t>27</w:t>
      </w:r>
      <w:r w:rsidR="00F23E1B" w:rsidRPr="00B740B4">
        <w:rPr>
          <w:rFonts w:eastAsia="Times New Roman"/>
        </w:rPr>
        <w:t>Nevertheless</w:t>
      </w:r>
      <w:r w:rsidR="00C93CC0" w:rsidRPr="00B740B4">
        <w:rPr>
          <w:rFonts w:eastAsia="Times New Roman"/>
        </w:rPr>
        <w:t>,</w:t>
      </w:r>
      <w:r w:rsidR="00C93CC0" w:rsidRPr="00B740B4">
        <w:rPr>
          <w:rFonts w:eastAsia="Times New Roman"/>
          <w:vertAlign w:val="superscript"/>
        </w:rPr>
        <w:t>a</w:t>
      </w:r>
      <w:r w:rsidR="00F23E1B" w:rsidRPr="00B740B4">
        <w:rPr>
          <w:rFonts w:eastAsia="Times New Roman"/>
        </w:rPr>
        <w:t xml:space="preserve"> your majesty, may it seem good to you</w:t>
      </w:r>
      <w:r w:rsidR="00C93CC0" w:rsidRPr="00B740B4">
        <w:rPr>
          <w:rFonts w:eastAsia="Times New Roman"/>
        </w:rPr>
        <w:t xml:space="preserve"> to accept my counsel: break with</w:t>
      </w:r>
      <w:r w:rsidR="00C93CC0" w:rsidRPr="00B740B4">
        <w:rPr>
          <w:rFonts w:eastAsia="Times New Roman"/>
          <w:vertAlign w:val="superscript"/>
        </w:rPr>
        <w:t>b</w:t>
      </w:r>
      <w:r w:rsidR="00F23E1B" w:rsidRPr="00B740B4">
        <w:rPr>
          <w:rFonts w:eastAsia="Times New Roman"/>
        </w:rPr>
        <w:t xml:space="preserve"> your wrongdoing</w:t>
      </w:r>
      <w:r w:rsidR="00D1503E" w:rsidRPr="00B740B4">
        <w:rPr>
          <w:rFonts w:eastAsia="Times New Roman"/>
        </w:rPr>
        <w:t xml:space="preserve"> by acting in faithfulness</w:t>
      </w:r>
      <w:r w:rsidR="00C93CC0" w:rsidRPr="00B740B4">
        <w:rPr>
          <w:rFonts w:eastAsia="Times New Roman"/>
        </w:rPr>
        <w:t>,</w:t>
      </w:r>
      <w:r w:rsidR="00E23BEB">
        <w:rPr>
          <w:rFonts w:eastAsia="Times New Roman"/>
          <w:vertAlign w:val="superscript"/>
        </w:rPr>
        <w:t>c</w:t>
      </w:r>
      <w:r w:rsidR="00C93CC0" w:rsidRPr="00B740B4">
        <w:rPr>
          <w:rFonts w:eastAsia="Times New Roman"/>
        </w:rPr>
        <w:t xml:space="preserve"> break with</w:t>
      </w:r>
      <w:r w:rsidR="00C93CC0" w:rsidRPr="00B740B4">
        <w:rPr>
          <w:rFonts w:eastAsia="Times New Roman"/>
          <w:vertAlign w:val="superscript"/>
        </w:rPr>
        <w:t>b</w:t>
      </w:r>
      <w:r w:rsidR="00FC671D">
        <w:rPr>
          <w:rFonts w:eastAsia="Times New Roman"/>
        </w:rPr>
        <w:t xml:space="preserve"> your waywardness</w:t>
      </w:r>
      <w:r w:rsidR="00D1503E" w:rsidRPr="00B740B4">
        <w:rPr>
          <w:rFonts w:eastAsia="Times New Roman"/>
        </w:rPr>
        <w:t xml:space="preserve"> by showing favor to the lowly</w:t>
      </w:r>
      <w:r w:rsidR="00C93CC0" w:rsidRPr="00B740B4">
        <w:rPr>
          <w:rFonts w:eastAsia="Times New Roman"/>
        </w:rPr>
        <w:t xml:space="preserve">, in case there might be </w:t>
      </w:r>
      <w:r w:rsidR="00C93CC0" w:rsidRPr="00B740B4">
        <w:rPr>
          <w:rFonts w:eastAsia="Times New Roman"/>
          <w:vertAlign w:val="superscript"/>
        </w:rPr>
        <w:t>e</w:t>
      </w:r>
      <w:r w:rsidR="00C93CC0" w:rsidRPr="00B740B4">
        <w:rPr>
          <w:rFonts w:eastAsia="Times New Roman"/>
        </w:rPr>
        <w:t>a prolonging of your success.”</w:t>
      </w:r>
      <w:r w:rsidR="00C93CC0" w:rsidRPr="00B740B4">
        <w:rPr>
          <w:rFonts w:eastAsia="Times New Roman"/>
          <w:vertAlign w:val="superscript"/>
        </w:rPr>
        <w:t>e</w:t>
      </w:r>
    </w:p>
    <w:p w:rsidR="000F62CA" w:rsidRPr="00B740B4" w:rsidRDefault="00370022" w:rsidP="00370022">
      <w:pPr>
        <w:rPr>
          <w:rFonts w:eastAsia="Times New Roman"/>
        </w:rPr>
      </w:pPr>
      <w:r w:rsidRPr="00B740B4">
        <w:rPr>
          <w:rFonts w:eastAsia="Times New Roman"/>
          <w:vertAlign w:val="superscript"/>
        </w:rPr>
        <w:t>28</w:t>
      </w:r>
      <w:r w:rsidR="00C93CC0" w:rsidRPr="00B740B4">
        <w:rPr>
          <w:rFonts w:eastAsia="Times New Roman"/>
        </w:rPr>
        <w:t xml:space="preserve">All this befell King </w:t>
      </w:r>
      <w:r w:rsidR="00155FA8" w:rsidRPr="00B740B4">
        <w:rPr>
          <w:rFonts w:eastAsia="Times New Roman"/>
        </w:rPr>
        <w:t>Nebukadne’ṣṣar</w:t>
      </w:r>
      <w:r w:rsidR="00C93CC0" w:rsidRPr="00B740B4">
        <w:rPr>
          <w:rFonts w:eastAsia="Times New Roman"/>
        </w:rPr>
        <w:t xml:space="preserve">. </w:t>
      </w:r>
      <w:r w:rsidRPr="00B740B4">
        <w:rPr>
          <w:rFonts w:eastAsia="Times New Roman"/>
          <w:vertAlign w:val="superscript"/>
        </w:rPr>
        <w:t>29</w:t>
      </w:r>
      <w:r w:rsidR="00C93CC0" w:rsidRPr="00B740B4">
        <w:rPr>
          <w:rFonts w:eastAsia="Times New Roman"/>
        </w:rPr>
        <w:t xml:space="preserve">At the end of twelve months, he was walking on the roof of the royal palace in Babylon. </w:t>
      </w:r>
      <w:r w:rsidRPr="00B740B4">
        <w:rPr>
          <w:rFonts w:eastAsia="Times New Roman"/>
          <w:vertAlign w:val="superscript"/>
        </w:rPr>
        <w:t>30</w:t>
      </w:r>
      <w:r w:rsidR="0069652E" w:rsidRPr="00B740B4">
        <w:rPr>
          <w:rFonts w:eastAsia="Times New Roman"/>
        </w:rPr>
        <w:t>The king averred, “This is</w:t>
      </w:r>
      <w:r w:rsidR="00C93CC0" w:rsidRPr="00B740B4">
        <w:rPr>
          <w:rFonts w:eastAsia="Times New Roman"/>
        </w:rPr>
        <w:t xml:space="preserve"> great Babylon</w:t>
      </w:r>
      <w:r w:rsidR="0069652E" w:rsidRPr="00B740B4">
        <w:rPr>
          <w:rFonts w:eastAsia="Times New Roman"/>
        </w:rPr>
        <w:t>,</w:t>
      </w:r>
      <w:r w:rsidR="00C93CC0" w:rsidRPr="00B740B4">
        <w:rPr>
          <w:rFonts w:eastAsia="Times New Roman"/>
        </w:rPr>
        <w:t xml:space="preserve"> is</w:t>
      </w:r>
      <w:r w:rsidR="0069652E" w:rsidRPr="00B740B4">
        <w:rPr>
          <w:rFonts w:eastAsia="Times New Roman"/>
        </w:rPr>
        <w:t>n’t it</w:t>
      </w:r>
      <w:r w:rsidR="00C93CC0" w:rsidRPr="00B740B4">
        <w:rPr>
          <w:rFonts w:eastAsia="Times New Roman"/>
        </w:rPr>
        <w:t>!</w:t>
      </w:r>
      <w:r w:rsidR="00EE517A" w:rsidRPr="00B740B4">
        <w:rPr>
          <w:rFonts w:eastAsia="Times New Roman"/>
          <w:vertAlign w:val="superscript"/>
        </w:rPr>
        <w:t>a</w:t>
      </w:r>
      <w:r w:rsidR="00C93CC0" w:rsidRPr="00B740B4">
        <w:rPr>
          <w:rFonts w:eastAsia="Times New Roman"/>
        </w:rPr>
        <w:t xml:space="preserve"> And I myself built it as a royal seat, by my sovereign might and for my kingly honor.” </w:t>
      </w:r>
      <w:r w:rsidRPr="00B740B4">
        <w:rPr>
          <w:rFonts w:eastAsia="Times New Roman"/>
          <w:vertAlign w:val="superscript"/>
        </w:rPr>
        <w:t>31</w:t>
      </w:r>
      <w:r w:rsidR="00C93CC0" w:rsidRPr="00B740B4">
        <w:rPr>
          <w:rFonts w:eastAsia="Times New Roman"/>
        </w:rPr>
        <w:t xml:space="preserve">The words were still on the king’s lips when a voice came down from the heavens, “These words are for you, King </w:t>
      </w:r>
      <w:r w:rsidR="000F62CA" w:rsidRPr="00B740B4">
        <w:rPr>
          <w:rFonts w:eastAsia="Times New Roman"/>
        </w:rPr>
        <w:t>Nebukadne’ṣṣar</w:t>
      </w:r>
      <w:r w:rsidR="00C93CC0" w:rsidRPr="00B740B4">
        <w:rPr>
          <w:rFonts w:eastAsia="Times New Roman"/>
        </w:rPr>
        <w:t xml:space="preserve">. Kingship has passed from you. </w:t>
      </w:r>
      <w:r w:rsidRPr="00B740B4">
        <w:rPr>
          <w:rFonts w:eastAsia="Times New Roman"/>
          <w:vertAlign w:val="superscript"/>
        </w:rPr>
        <w:t>32</w:t>
      </w:r>
      <w:r w:rsidR="000F62CA" w:rsidRPr="00B740B4">
        <w:rPr>
          <w:rFonts w:eastAsia="Times New Roman"/>
        </w:rPr>
        <w:t>You</w:t>
      </w:r>
      <w:r w:rsidR="00044D0F" w:rsidRPr="00B740B4">
        <w:rPr>
          <w:rFonts w:eastAsia="Times New Roman"/>
        </w:rPr>
        <w:t xml:space="preserve"> a</w:t>
      </w:r>
      <w:r w:rsidR="00C93CC0" w:rsidRPr="00B740B4">
        <w:rPr>
          <w:rFonts w:eastAsia="Times New Roman"/>
        </w:rPr>
        <w:t>re going to be led away from human society; your home will be among</w:t>
      </w:r>
      <w:r w:rsidR="00044D0F" w:rsidRPr="00B740B4">
        <w:rPr>
          <w:rFonts w:eastAsia="Times New Roman"/>
        </w:rPr>
        <w:t xml:space="preserve"> the animals of the wild. You wi</w:t>
      </w:r>
      <w:r w:rsidR="00C93CC0" w:rsidRPr="00B740B4">
        <w:rPr>
          <w:rFonts w:eastAsia="Times New Roman"/>
        </w:rPr>
        <w:t>ll be fed plants like an ox, and seven periods will pass by for you</w:t>
      </w:r>
      <w:r w:rsidR="000F62CA" w:rsidRPr="00B740B4">
        <w:rPr>
          <w:rFonts w:eastAsia="Times New Roman"/>
        </w:rPr>
        <w:t>,</w:t>
      </w:r>
      <w:r w:rsidR="00C93CC0" w:rsidRPr="00B740B4">
        <w:rPr>
          <w:rFonts w:eastAsia="Times New Roman"/>
        </w:rPr>
        <w:t xml:space="preserve"> until you acknowledge that the </w:t>
      </w:r>
      <w:r w:rsidR="00155FA8" w:rsidRPr="00B740B4">
        <w:rPr>
          <w:rFonts w:eastAsia="Times New Roman"/>
        </w:rPr>
        <w:t>One On High</w:t>
      </w:r>
      <w:r w:rsidR="00C93CC0" w:rsidRPr="00B740B4">
        <w:rPr>
          <w:rFonts w:eastAsia="Times New Roman"/>
        </w:rPr>
        <w:t xml:space="preserve"> rules over human kingship, and that he can give it to anyone he wishes.” </w:t>
      </w:r>
    </w:p>
    <w:p w:rsidR="00C93CC0" w:rsidRPr="00B740B4" w:rsidRDefault="00370022" w:rsidP="00370022">
      <w:pPr>
        <w:rPr>
          <w:rFonts w:eastAsia="Times New Roman"/>
        </w:rPr>
      </w:pPr>
      <w:r w:rsidRPr="00B740B4">
        <w:rPr>
          <w:rFonts w:eastAsia="Times New Roman"/>
          <w:vertAlign w:val="superscript"/>
        </w:rPr>
        <w:t>33</w:t>
      </w:r>
      <w:r w:rsidR="00C93CC0" w:rsidRPr="00B740B4">
        <w:rPr>
          <w:rFonts w:eastAsia="Times New Roman"/>
        </w:rPr>
        <w:t xml:space="preserve">That very moment the words came true for </w:t>
      </w:r>
      <w:r w:rsidR="00155FA8" w:rsidRPr="00B740B4">
        <w:rPr>
          <w:rFonts w:eastAsia="Times New Roman"/>
        </w:rPr>
        <w:t>Nebukadne’ṣṣar</w:t>
      </w:r>
      <w:r w:rsidR="00C93CC0" w:rsidRPr="00B740B4">
        <w:rPr>
          <w:rFonts w:eastAsia="Times New Roman"/>
        </w:rPr>
        <w:t xml:space="preserve">. He was led away from human society, he ate what grows from the earth like an ox, and his body was watered with dew from the heavens, until </w:t>
      </w:r>
      <w:r w:rsidR="000E5317" w:rsidRPr="00B740B4">
        <w:rPr>
          <w:rFonts w:eastAsia="Times New Roman"/>
        </w:rPr>
        <w:t xml:space="preserve">his hair had grown long like </w:t>
      </w:r>
      <w:r w:rsidR="00C93CC0" w:rsidRPr="00B740B4">
        <w:rPr>
          <w:rFonts w:eastAsia="Times New Roman"/>
        </w:rPr>
        <w:t>eagle</w:t>
      </w:r>
      <w:r w:rsidR="000E5317" w:rsidRPr="00B740B4">
        <w:rPr>
          <w:rFonts w:eastAsia="Times New Roman"/>
        </w:rPr>
        <w:t xml:space="preserve">s and his nails like </w:t>
      </w:r>
      <w:r w:rsidR="00C93CC0" w:rsidRPr="00B740B4">
        <w:rPr>
          <w:rFonts w:eastAsia="Times New Roman"/>
        </w:rPr>
        <w:t>bird</w:t>
      </w:r>
      <w:r w:rsidR="000E5317" w:rsidRPr="00B740B4">
        <w:rPr>
          <w:rFonts w:eastAsia="Times New Roman"/>
        </w:rPr>
        <w:t>s</w:t>
      </w:r>
      <w:r w:rsidR="00C93CC0" w:rsidRPr="00B740B4">
        <w:rPr>
          <w:rFonts w:eastAsia="Times New Roman"/>
        </w:rPr>
        <w:t>.</w:t>
      </w:r>
    </w:p>
    <w:p w:rsidR="00C93CC0" w:rsidRPr="00B740B4" w:rsidRDefault="00370022" w:rsidP="00370022">
      <w:pPr>
        <w:rPr>
          <w:rFonts w:eastAsia="Times New Roman"/>
        </w:rPr>
      </w:pPr>
      <w:r w:rsidRPr="00B740B4">
        <w:rPr>
          <w:rFonts w:eastAsia="Times New Roman"/>
          <w:vertAlign w:val="superscript"/>
        </w:rPr>
        <w:t>34</w:t>
      </w:r>
      <w:r w:rsidR="000F62CA" w:rsidRPr="00B740B4">
        <w:rPr>
          <w:rFonts w:eastAsia="Times New Roman"/>
        </w:rPr>
        <w:t>“B</w:t>
      </w:r>
      <w:r w:rsidR="00C93CC0" w:rsidRPr="00B740B4">
        <w:rPr>
          <w:rFonts w:eastAsia="Times New Roman"/>
        </w:rPr>
        <w:t xml:space="preserve">ut when the time was over, I, </w:t>
      </w:r>
      <w:r w:rsidR="00155FA8" w:rsidRPr="00B740B4">
        <w:rPr>
          <w:rFonts w:eastAsia="Times New Roman"/>
        </w:rPr>
        <w:t>Nebukadne’ṣṣar</w:t>
      </w:r>
      <w:r w:rsidR="00044D0F" w:rsidRPr="00B740B4">
        <w:rPr>
          <w:rFonts w:eastAsia="Times New Roman"/>
        </w:rPr>
        <w:t>, lifted my eyes</w:t>
      </w:r>
      <w:r w:rsidR="00C93CC0" w:rsidRPr="00B740B4">
        <w:rPr>
          <w:rFonts w:eastAsia="Times New Roman"/>
          <w:vertAlign w:val="superscript"/>
        </w:rPr>
        <w:t>a</w:t>
      </w:r>
      <w:r w:rsidR="00C93CC0" w:rsidRPr="00B740B4">
        <w:rPr>
          <w:rFonts w:eastAsia="Times New Roman"/>
        </w:rPr>
        <w:t xml:space="preserve"> to </w:t>
      </w:r>
      <w:r w:rsidR="000F62CA" w:rsidRPr="00B740B4">
        <w:rPr>
          <w:rFonts w:eastAsia="Times New Roman"/>
        </w:rPr>
        <w:t xml:space="preserve">the </w:t>
      </w:r>
      <w:r w:rsidR="00C93CC0" w:rsidRPr="00B740B4">
        <w:rPr>
          <w:rFonts w:eastAsia="Times New Roman"/>
        </w:rPr>
        <w:t>heaven</w:t>
      </w:r>
      <w:r w:rsidR="000F62CA" w:rsidRPr="00B740B4">
        <w:rPr>
          <w:rFonts w:eastAsia="Times New Roman"/>
        </w:rPr>
        <w:t>s</w:t>
      </w:r>
      <w:r w:rsidR="000A74BB" w:rsidRPr="00B740B4">
        <w:rPr>
          <w:rFonts w:eastAsia="Times New Roman"/>
        </w:rPr>
        <w:t>. As my understanding</w:t>
      </w:r>
      <w:r w:rsidR="00A721A1" w:rsidRPr="00B740B4">
        <w:rPr>
          <w:rFonts w:eastAsia="Times New Roman"/>
          <w:vertAlign w:val="superscript"/>
        </w:rPr>
        <w:t>b</w:t>
      </w:r>
      <w:r w:rsidR="00C93CC0" w:rsidRPr="00B740B4">
        <w:rPr>
          <w:rFonts w:eastAsia="Times New Roman"/>
        </w:rPr>
        <w:t xml:space="preserve"> returned,</w:t>
      </w:r>
      <w:r w:rsidR="00A721A1" w:rsidRPr="00B740B4">
        <w:rPr>
          <w:rFonts w:eastAsia="Times New Roman"/>
          <w:vertAlign w:val="superscript"/>
        </w:rPr>
        <w:t>c</w:t>
      </w:r>
      <w:r w:rsidR="00C93CC0" w:rsidRPr="00B740B4">
        <w:rPr>
          <w:rFonts w:eastAsia="Times New Roman"/>
        </w:rPr>
        <w:t xml:space="preserve"> I blessed the </w:t>
      </w:r>
      <w:r w:rsidR="00155FA8" w:rsidRPr="00B740B4">
        <w:rPr>
          <w:rFonts w:eastAsia="Times New Roman"/>
        </w:rPr>
        <w:t>One On High</w:t>
      </w:r>
      <w:r w:rsidR="00C93CC0" w:rsidRPr="00B740B4">
        <w:rPr>
          <w:rFonts w:eastAsia="Times New Roman"/>
        </w:rPr>
        <w:t xml:space="preserve"> and praised and honored the One who lives for ever.</w:t>
      </w:r>
    </w:p>
    <w:p w:rsidR="000C5457" w:rsidRPr="00B740B4" w:rsidRDefault="000C5457" w:rsidP="00370022">
      <w:pPr>
        <w:rPr>
          <w:rFonts w:eastAsia="Times New Roman"/>
        </w:rPr>
      </w:pPr>
    </w:p>
    <w:p w:rsidR="00C93CC0" w:rsidRPr="00B740B4" w:rsidRDefault="00C93CC0" w:rsidP="00370022">
      <w:pPr>
        <w:rPr>
          <w:rFonts w:eastAsia="Times New Roman"/>
          <w:noProof/>
        </w:rPr>
      </w:pPr>
      <w:r w:rsidRPr="00B740B4">
        <w:rPr>
          <w:rFonts w:eastAsia="Times New Roman"/>
          <w:noProof/>
        </w:rPr>
        <w:t>His rule lasts through the ages,</w:t>
      </w:r>
    </w:p>
    <w:p w:rsidR="00C93CC0" w:rsidRPr="00B740B4" w:rsidRDefault="000C5457" w:rsidP="00370022">
      <w:pPr>
        <w:rPr>
          <w:rFonts w:eastAsia="Times New Roman"/>
          <w:noProof/>
        </w:rPr>
      </w:pPr>
      <w:r w:rsidRPr="00B740B4">
        <w:rPr>
          <w:rFonts w:eastAsia="Times New Roman"/>
          <w:noProof/>
        </w:rPr>
        <w:tab/>
      </w:r>
      <w:r w:rsidR="00C93CC0" w:rsidRPr="00B740B4">
        <w:rPr>
          <w:rFonts w:eastAsia="Times New Roman"/>
          <w:noProof/>
        </w:rPr>
        <w:t>his kingship through all generations.</w:t>
      </w:r>
    </w:p>
    <w:p w:rsidR="000F62CA" w:rsidRPr="00B740B4" w:rsidRDefault="00370022" w:rsidP="00370022">
      <w:pPr>
        <w:rPr>
          <w:rFonts w:eastAsia="Times New Roman"/>
          <w:noProof/>
        </w:rPr>
      </w:pPr>
      <w:r w:rsidRPr="00B740B4">
        <w:rPr>
          <w:rFonts w:eastAsia="Times New Roman"/>
          <w:noProof/>
          <w:vertAlign w:val="superscript"/>
        </w:rPr>
        <w:t>35</w:t>
      </w:r>
      <w:r w:rsidR="00C93CC0" w:rsidRPr="00B740B4">
        <w:rPr>
          <w:rFonts w:eastAsia="Times New Roman"/>
          <w:noProof/>
        </w:rPr>
        <w:t xml:space="preserve">All the inhabitants of the earth </w:t>
      </w:r>
    </w:p>
    <w:p w:rsidR="00C93CC0" w:rsidRPr="00B740B4" w:rsidRDefault="000F62CA" w:rsidP="00370022">
      <w:pPr>
        <w:rPr>
          <w:rFonts w:eastAsia="Times New Roman"/>
          <w:noProof/>
        </w:rPr>
      </w:pPr>
      <w:r w:rsidRPr="00B740B4">
        <w:rPr>
          <w:rFonts w:eastAsia="Times New Roman"/>
          <w:noProof/>
        </w:rPr>
        <w:tab/>
      </w:r>
      <w:r w:rsidR="00C93CC0" w:rsidRPr="00B740B4">
        <w:rPr>
          <w:rFonts w:eastAsia="Times New Roman"/>
          <w:noProof/>
        </w:rPr>
        <w:t>are to be counted</w:t>
      </w:r>
      <w:r w:rsidR="00C93CC0" w:rsidRPr="00B740B4">
        <w:rPr>
          <w:rFonts w:eastAsia="Times New Roman"/>
          <w:noProof/>
          <w:vertAlign w:val="superscript"/>
        </w:rPr>
        <w:t>a</w:t>
      </w:r>
      <w:r w:rsidR="00C93CC0" w:rsidRPr="00B740B4">
        <w:rPr>
          <w:rFonts w:eastAsia="Times New Roman"/>
          <w:noProof/>
        </w:rPr>
        <w:t xml:space="preserve"> as nothing.</w:t>
      </w:r>
      <w:r w:rsidR="00C93CC0" w:rsidRPr="00B740B4">
        <w:rPr>
          <w:rFonts w:eastAsia="Times New Roman"/>
          <w:noProof/>
          <w:vertAlign w:val="superscript"/>
        </w:rPr>
        <w:t>b</w:t>
      </w:r>
    </w:p>
    <w:p w:rsidR="00C93CC0" w:rsidRPr="00B740B4" w:rsidRDefault="00C93CC0" w:rsidP="00370022">
      <w:pPr>
        <w:rPr>
          <w:rFonts w:eastAsia="Times New Roman"/>
          <w:noProof/>
        </w:rPr>
      </w:pPr>
      <w:r w:rsidRPr="00B740B4">
        <w:rPr>
          <w:rFonts w:eastAsia="Times New Roman"/>
          <w:noProof/>
        </w:rPr>
        <w:t>He does as he wishes</w:t>
      </w:r>
    </w:p>
    <w:p w:rsidR="00C93CC0" w:rsidRPr="00B740B4" w:rsidRDefault="000C5457" w:rsidP="00370022">
      <w:pPr>
        <w:rPr>
          <w:rFonts w:eastAsia="Times New Roman"/>
          <w:noProof/>
        </w:rPr>
      </w:pPr>
      <w:r w:rsidRPr="00B740B4">
        <w:rPr>
          <w:rFonts w:eastAsia="Times New Roman"/>
          <w:noProof/>
        </w:rPr>
        <w:tab/>
      </w:r>
      <w:r w:rsidR="00C93CC0" w:rsidRPr="00B740B4">
        <w:rPr>
          <w:rFonts w:eastAsia="Times New Roman"/>
          <w:noProof/>
        </w:rPr>
        <w:t xml:space="preserve">with the forces of </w:t>
      </w:r>
      <w:r w:rsidR="000F62CA" w:rsidRPr="00B740B4">
        <w:rPr>
          <w:rFonts w:eastAsia="Times New Roman"/>
          <w:noProof/>
        </w:rPr>
        <w:t xml:space="preserve">the </w:t>
      </w:r>
      <w:r w:rsidR="00C93CC0" w:rsidRPr="00B740B4">
        <w:rPr>
          <w:rFonts w:eastAsia="Times New Roman"/>
          <w:noProof/>
        </w:rPr>
        <w:t>heaven</w:t>
      </w:r>
      <w:r w:rsidR="000F62CA" w:rsidRPr="00B740B4">
        <w:rPr>
          <w:rFonts w:eastAsia="Times New Roman"/>
          <w:noProof/>
        </w:rPr>
        <w:t>s</w:t>
      </w:r>
      <w:r w:rsidR="00C93CC0" w:rsidRPr="00B740B4">
        <w:rPr>
          <w:rFonts w:eastAsia="Times New Roman"/>
          <w:noProof/>
        </w:rPr>
        <w:t xml:space="preserve"> and the inhabitants of earth.</w:t>
      </w:r>
    </w:p>
    <w:p w:rsidR="00C93CC0" w:rsidRPr="00B740B4" w:rsidRDefault="00C93CC0" w:rsidP="00370022">
      <w:pPr>
        <w:rPr>
          <w:rFonts w:eastAsia="Times New Roman"/>
          <w:noProof/>
        </w:rPr>
      </w:pPr>
      <w:r w:rsidRPr="00B740B4">
        <w:rPr>
          <w:rFonts w:eastAsia="Times New Roman"/>
          <w:noProof/>
        </w:rPr>
        <w:t>There is no one who can restrain his hand</w:t>
      </w:r>
    </w:p>
    <w:p w:rsidR="00C93CC0" w:rsidRPr="00B740B4" w:rsidRDefault="000C5457" w:rsidP="00370022">
      <w:pPr>
        <w:rPr>
          <w:rFonts w:eastAsia="Times New Roman"/>
          <w:noProof/>
        </w:rPr>
      </w:pPr>
      <w:r w:rsidRPr="00B740B4">
        <w:rPr>
          <w:rFonts w:eastAsia="Times New Roman"/>
          <w:noProof/>
        </w:rPr>
        <w:tab/>
      </w:r>
      <w:r w:rsidR="00C93CC0" w:rsidRPr="00B740B4">
        <w:rPr>
          <w:rFonts w:eastAsia="Times New Roman"/>
          <w:noProof/>
        </w:rPr>
        <w:t>or say to him, “What have you done?”</w:t>
      </w:r>
    </w:p>
    <w:p w:rsidR="000C5457" w:rsidRPr="00B740B4" w:rsidRDefault="000C5457" w:rsidP="00370022">
      <w:pPr>
        <w:rPr>
          <w:rFonts w:eastAsia="Times New Roman"/>
          <w:noProof/>
        </w:rPr>
      </w:pPr>
    </w:p>
    <w:p w:rsidR="00C93CC0" w:rsidRPr="00B740B4" w:rsidRDefault="00370022" w:rsidP="00370022">
      <w:pPr>
        <w:rPr>
          <w:rFonts w:eastAsia="Times New Roman"/>
        </w:rPr>
      </w:pPr>
      <w:r w:rsidRPr="00B740B4">
        <w:rPr>
          <w:rFonts w:eastAsia="Times New Roman"/>
          <w:vertAlign w:val="superscript"/>
        </w:rPr>
        <w:lastRenderedPageBreak/>
        <w:t>36</w:t>
      </w:r>
      <w:r w:rsidR="000A74BB" w:rsidRPr="00B740B4">
        <w:rPr>
          <w:rFonts w:eastAsia="Times New Roman"/>
        </w:rPr>
        <w:t>When that same hour my understanding</w:t>
      </w:r>
      <w:r w:rsidR="00C93CC0" w:rsidRPr="00B740B4">
        <w:rPr>
          <w:rFonts w:eastAsia="Times New Roman"/>
        </w:rPr>
        <w:t xml:space="preserve"> returned, and as for</w:t>
      </w:r>
      <w:r w:rsidR="00C93CC0" w:rsidRPr="00B740B4">
        <w:rPr>
          <w:rFonts w:eastAsia="Times New Roman"/>
          <w:vertAlign w:val="superscript"/>
        </w:rPr>
        <w:t>a</w:t>
      </w:r>
      <w:r w:rsidR="00C93CC0" w:rsidRPr="00B740B4">
        <w:rPr>
          <w:rFonts w:eastAsia="Times New Roman"/>
        </w:rPr>
        <w:t xml:space="preserve"> my royal honor, my glory</w:t>
      </w:r>
      <w:r w:rsidR="00C93CC0" w:rsidRPr="00B740B4">
        <w:rPr>
          <w:rFonts w:eastAsia="Times New Roman"/>
          <w:vertAlign w:val="superscript"/>
        </w:rPr>
        <w:t>b</w:t>
      </w:r>
      <w:r w:rsidR="00C93CC0" w:rsidRPr="00B740B4">
        <w:rPr>
          <w:rFonts w:eastAsia="Times New Roman"/>
        </w:rPr>
        <w:t xml:space="preserve"> and my splendor returned to me, my courtiers and </w:t>
      </w:r>
      <w:r w:rsidR="00973FEA" w:rsidRPr="00B740B4">
        <w:rPr>
          <w:rFonts w:eastAsia="Times New Roman"/>
        </w:rPr>
        <w:t>lord</w:t>
      </w:r>
      <w:r w:rsidR="00C93CC0" w:rsidRPr="00B740B4">
        <w:rPr>
          <w:rFonts w:eastAsia="Times New Roman"/>
        </w:rPr>
        <w:t>s sought audience</w:t>
      </w:r>
      <w:r w:rsidR="00C93CC0" w:rsidRPr="00B740B4">
        <w:rPr>
          <w:rFonts w:eastAsia="Times New Roman"/>
          <w:vertAlign w:val="superscript"/>
        </w:rPr>
        <w:t>c</w:t>
      </w:r>
      <w:r w:rsidR="0045494E">
        <w:rPr>
          <w:rFonts w:eastAsia="Times New Roman"/>
          <w:vertAlign w:val="superscript"/>
        </w:rPr>
        <w:t xml:space="preserve"> </w:t>
      </w:r>
      <w:r w:rsidR="00C93CC0" w:rsidRPr="00B740B4">
        <w:rPr>
          <w:rFonts w:eastAsia="Times New Roman"/>
        </w:rPr>
        <w:t xml:space="preserve">with me. </w:t>
      </w:r>
      <w:r w:rsidR="00C93CC0" w:rsidRPr="00B740B4">
        <w:rPr>
          <w:rFonts w:eastAsia="Times New Roman"/>
          <w:vertAlign w:val="superscript"/>
        </w:rPr>
        <w:t>d</w:t>
      </w:r>
      <w:r w:rsidR="00C93CC0" w:rsidRPr="00B740B4">
        <w:rPr>
          <w:rFonts w:eastAsia="Times New Roman"/>
        </w:rPr>
        <w:t>So I was restored to my kingship,</w:t>
      </w:r>
      <w:r w:rsidR="00C93CC0" w:rsidRPr="00B740B4">
        <w:rPr>
          <w:rFonts w:eastAsia="Times New Roman"/>
          <w:vertAlign w:val="superscript"/>
        </w:rPr>
        <w:t>d</w:t>
      </w:r>
      <w:r w:rsidR="00C93CC0" w:rsidRPr="00B740B4">
        <w:rPr>
          <w:rFonts w:eastAsia="Times New Roman"/>
        </w:rPr>
        <w:t xml:space="preserve"> and yet more greatness was added to me. </w:t>
      </w:r>
      <w:r w:rsidRPr="00B740B4">
        <w:rPr>
          <w:rFonts w:eastAsia="Times New Roman"/>
          <w:vertAlign w:val="superscript"/>
        </w:rPr>
        <w:t>37</w:t>
      </w:r>
      <w:r w:rsidR="00C93CC0" w:rsidRPr="00B740B4">
        <w:rPr>
          <w:rFonts w:eastAsia="Times New Roman"/>
        </w:rPr>
        <w:t xml:space="preserve">Now I, </w:t>
      </w:r>
      <w:r w:rsidR="00155FA8" w:rsidRPr="00B740B4">
        <w:rPr>
          <w:rFonts w:eastAsia="Times New Roman"/>
        </w:rPr>
        <w:t>Nebukadne’ṣṣar</w:t>
      </w:r>
      <w:r w:rsidR="00C93CC0" w:rsidRPr="00B740B4">
        <w:rPr>
          <w:rFonts w:eastAsia="Times New Roman"/>
        </w:rPr>
        <w:t xml:space="preserve">, praise and exalt and honor the King of </w:t>
      </w:r>
      <w:r w:rsidR="000F62CA" w:rsidRPr="00B740B4">
        <w:rPr>
          <w:rFonts w:eastAsia="Times New Roman"/>
        </w:rPr>
        <w:t xml:space="preserve">the </w:t>
      </w:r>
      <w:r w:rsidR="00C93CC0" w:rsidRPr="00B740B4">
        <w:rPr>
          <w:rFonts w:eastAsia="Times New Roman"/>
        </w:rPr>
        <w:t>heaven</w:t>
      </w:r>
      <w:r w:rsidR="000F62CA" w:rsidRPr="00B740B4">
        <w:rPr>
          <w:rFonts w:eastAsia="Times New Roman"/>
        </w:rPr>
        <w:t>s</w:t>
      </w:r>
      <w:r w:rsidR="00C93CC0" w:rsidRPr="00B740B4">
        <w:rPr>
          <w:rFonts w:eastAsia="Times New Roman"/>
        </w:rPr>
        <w:t>. All his deeds are true and his ways just; those who walk</w:t>
      </w:r>
      <w:r w:rsidR="00C93CC0" w:rsidRPr="00B740B4">
        <w:rPr>
          <w:rFonts w:eastAsia="Times New Roman"/>
          <w:vertAlign w:val="superscript"/>
        </w:rPr>
        <w:t>a</w:t>
      </w:r>
      <w:r w:rsidR="00C93CC0" w:rsidRPr="00B740B4">
        <w:rPr>
          <w:rFonts w:eastAsia="Times New Roman"/>
        </w:rPr>
        <w:t xml:space="preserve"> in pride he can put down.</w:t>
      </w:r>
      <w:r w:rsidR="000F62CA" w:rsidRPr="00B740B4">
        <w:rPr>
          <w:rFonts w:eastAsia="Times New Roman"/>
        </w:rPr>
        <w:t>”</w:t>
      </w:r>
    </w:p>
    <w:p w:rsidR="00C93CC0" w:rsidRPr="00B740B4" w:rsidRDefault="00C93CC0" w:rsidP="009479B1">
      <w:pPr>
        <w:pStyle w:val="Heading2"/>
        <w:rPr>
          <w:rFonts w:eastAsia="Times New Roman"/>
        </w:rPr>
      </w:pPr>
      <w:r w:rsidRPr="00B740B4">
        <w:rPr>
          <w:rFonts w:eastAsia="Times New Roman"/>
        </w:rPr>
        <w:t>Notes</w:t>
      </w:r>
    </w:p>
    <w:p w:rsidR="00C93CC0" w:rsidRPr="00B740B4" w:rsidRDefault="00C93CC0" w:rsidP="00343D94">
      <w:pPr>
        <w:rPr>
          <w:rFonts w:eastAsia="Times New Roman"/>
          <w:noProof/>
        </w:rPr>
      </w:pPr>
      <w:r w:rsidRPr="00B740B4">
        <w:rPr>
          <w:rFonts w:eastAsia="Times New Roman"/>
          <w:noProof/>
        </w:rPr>
        <w:t xml:space="preserve">1.a-a. </w:t>
      </w:r>
      <w:r w:rsidR="00AA5183" w:rsidRPr="00B740B4">
        <w:rPr>
          <w:rFonts w:eastAsia="Times New Roman"/>
          <w:noProof/>
        </w:rPr>
        <w:t xml:space="preserve">Your </w:t>
      </w:r>
      <w:r w:rsidR="00AA5183" w:rsidRPr="00B740B4">
        <w:rPr>
          <w:rFonts w:ascii="Arial" w:eastAsiaTheme="minorHAnsi" w:hAnsi="Arial" w:cs="Arial"/>
        </w:rPr>
        <w:t>ם ל ש</w:t>
      </w:r>
      <w:r w:rsidR="00AA5183" w:rsidRPr="00B740B4">
        <w:rPr>
          <w:rFonts w:eastAsia="Times New Roman"/>
          <w:noProof/>
        </w:rPr>
        <w:t>: the g</w:t>
      </w:r>
      <w:r w:rsidRPr="00B740B4">
        <w:rPr>
          <w:rFonts w:eastAsia="Times New Roman"/>
          <w:noProof/>
        </w:rPr>
        <w:t xml:space="preserve">reeting </w:t>
      </w:r>
      <w:r w:rsidR="002D5A43">
        <w:rPr>
          <w:rFonts w:eastAsia="Times New Roman"/>
          <w:noProof/>
        </w:rPr>
        <w:t>is</w:t>
      </w:r>
      <w:r w:rsidR="00546517" w:rsidRPr="00B740B4">
        <w:rPr>
          <w:rFonts w:eastAsia="Times New Roman"/>
          <w:noProof/>
        </w:rPr>
        <w:t xml:space="preserve"> a </w:t>
      </w:r>
      <w:r w:rsidR="00AA5183" w:rsidRPr="00B740B4">
        <w:rPr>
          <w:rFonts w:eastAsia="Times New Roman"/>
          <w:noProof/>
        </w:rPr>
        <w:t xml:space="preserve">standard one in a </w:t>
      </w:r>
      <w:r w:rsidR="00546517" w:rsidRPr="00B740B4">
        <w:rPr>
          <w:rFonts w:eastAsia="Times New Roman"/>
          <w:noProof/>
        </w:rPr>
        <w:t xml:space="preserve">letter or encyclical </w:t>
      </w:r>
      <w:r w:rsidRPr="00B740B4">
        <w:rPr>
          <w:rFonts w:eastAsia="Times New Roman"/>
          <w:noProof/>
        </w:rPr>
        <w:t>(cf. 6:</w:t>
      </w:r>
      <w:r w:rsidR="00343D94" w:rsidRPr="00B740B4">
        <w:rPr>
          <w:rFonts w:eastAsia="Times New Roman"/>
          <w:noProof/>
        </w:rPr>
        <w:t>25 [</w:t>
      </w:r>
      <w:r w:rsidRPr="00B740B4">
        <w:rPr>
          <w:rFonts w:eastAsia="Times New Roman"/>
          <w:noProof/>
        </w:rPr>
        <w:t>26</w:t>
      </w:r>
      <w:r w:rsidR="00343D94" w:rsidRPr="00B740B4">
        <w:rPr>
          <w:rFonts w:eastAsia="Times New Roman"/>
          <w:noProof/>
        </w:rPr>
        <w:t>]</w:t>
      </w:r>
      <w:r w:rsidRPr="00B740B4">
        <w:rPr>
          <w:rFonts w:eastAsia="Times New Roman"/>
          <w:noProof/>
        </w:rPr>
        <w:t>).</w:t>
      </w:r>
    </w:p>
    <w:p w:rsidR="00D730CF" w:rsidRPr="00B740B4" w:rsidRDefault="00D730CF" w:rsidP="00343D94">
      <w:pPr>
        <w:rPr>
          <w:rFonts w:eastAsia="Times New Roman"/>
          <w:noProof/>
        </w:rPr>
      </w:pPr>
      <w:r w:rsidRPr="00B740B4">
        <w:rPr>
          <w:rFonts w:eastAsia="Times New Roman"/>
          <w:noProof/>
        </w:rPr>
        <w:t xml:space="preserve">2.a. Literally, “signs and wonders” (cf. </w:t>
      </w:r>
      <w:r w:rsidR="00AF422C">
        <w:rPr>
          <w:rFonts w:eastAsia="Times New Roman"/>
          <w:noProof/>
        </w:rPr>
        <w:t>v</w:t>
      </w:r>
      <w:r w:rsidRPr="00B740B4">
        <w:rPr>
          <w:rFonts w:eastAsia="Times New Roman"/>
          <w:noProof/>
        </w:rPr>
        <w:t xml:space="preserve"> 3): a hendiadys.</w:t>
      </w:r>
    </w:p>
    <w:p w:rsidR="00922F24" w:rsidRPr="00B740B4" w:rsidRDefault="00E84DD1" w:rsidP="00343D94">
      <w:pPr>
        <w:rPr>
          <w:rFonts w:eastAsia="Times New Roman"/>
          <w:noProof/>
        </w:rPr>
      </w:pPr>
      <w:r w:rsidRPr="00B740B4">
        <w:rPr>
          <w:rFonts w:eastAsia="Times New Roman"/>
          <w:noProof/>
        </w:rPr>
        <w:t>4.a. OG provides the same date as in 3</w:t>
      </w:r>
      <w:r w:rsidR="002F1C2B" w:rsidRPr="00B740B4">
        <w:rPr>
          <w:rFonts w:eastAsia="Times New Roman"/>
          <w:noProof/>
        </w:rPr>
        <w:t>:1, suggesting that it was through an accomplishment such as</w:t>
      </w:r>
      <w:r w:rsidRPr="00B740B4">
        <w:rPr>
          <w:rFonts w:eastAsia="Times New Roman"/>
          <w:noProof/>
        </w:rPr>
        <w:t xml:space="preserve"> the capture of Jerusalem that Nebuchadnezzar was </w:t>
      </w:r>
      <w:r w:rsidR="002F1C2B" w:rsidRPr="00B740B4">
        <w:rPr>
          <w:rFonts w:eastAsia="Times New Roman"/>
          <w:noProof/>
        </w:rPr>
        <w:t>successful and thriving.</w:t>
      </w:r>
      <w:r w:rsidR="00BC5EB0" w:rsidRPr="00B740B4">
        <w:rPr>
          <w:rFonts w:eastAsia="Times New Roman"/>
          <w:noProof/>
        </w:rPr>
        <w:t xml:space="preserve"> </w:t>
      </w:r>
    </w:p>
    <w:p w:rsidR="00C93CC0" w:rsidRPr="00B740B4" w:rsidRDefault="00343D94" w:rsidP="00343D94">
      <w:pPr>
        <w:rPr>
          <w:rFonts w:eastAsia="Times New Roman"/>
          <w:noProof/>
        </w:rPr>
      </w:pPr>
      <w:r w:rsidRPr="00B740B4">
        <w:rPr>
          <w:rFonts w:eastAsia="Times New Roman"/>
          <w:noProof/>
        </w:rPr>
        <w:t>4</w:t>
      </w:r>
      <w:r w:rsidR="00E84DD1" w:rsidRPr="00B740B4">
        <w:rPr>
          <w:rFonts w:eastAsia="Times New Roman"/>
          <w:noProof/>
        </w:rPr>
        <w:t>.b</w:t>
      </w:r>
      <w:r w:rsidR="00C93CC0" w:rsidRPr="00B740B4">
        <w:rPr>
          <w:rFonts w:eastAsia="Times New Roman"/>
          <w:noProof/>
        </w:rPr>
        <w:t xml:space="preserve">. Paralleled by </w:t>
      </w:r>
      <w:r w:rsidR="00C93CC0" w:rsidRPr="00B740B4">
        <w:rPr>
          <w:rFonts w:ascii="Arial" w:eastAsia="Times New Roman" w:hAnsi="Arial" w:cs="Arial"/>
          <w:noProof/>
        </w:rPr>
        <w:t>רענן</w:t>
      </w:r>
      <w:r w:rsidR="00C93CC0" w:rsidRPr="00B740B4">
        <w:rPr>
          <w:rFonts w:eastAsia="Times New Roman"/>
          <w:noProof/>
        </w:rPr>
        <w:t xml:space="preserve"> </w:t>
      </w:r>
      <w:r w:rsidR="00C93CC0" w:rsidRPr="00B740B4">
        <w:rPr>
          <w:rFonts w:ascii="Calibri" w:eastAsia="Times New Roman" w:hAnsi="Calibri" w:cs="Calibri"/>
          <w:noProof/>
        </w:rPr>
        <w:t>“</w:t>
      </w:r>
      <w:r w:rsidR="00C93CC0" w:rsidRPr="00B740B4">
        <w:rPr>
          <w:rFonts w:eastAsia="Times New Roman"/>
          <w:noProof/>
        </w:rPr>
        <w:t>thriving</w:t>
      </w:r>
      <w:r w:rsidRPr="00B740B4">
        <w:rPr>
          <w:rFonts w:eastAsia="Times New Roman"/>
          <w:noProof/>
        </w:rPr>
        <w:t>,</w:t>
      </w:r>
      <w:r w:rsidR="00C93CC0" w:rsidRPr="00B740B4">
        <w:rPr>
          <w:rFonts w:ascii="Calibri" w:eastAsia="Times New Roman" w:hAnsi="Calibri" w:cs="Calibri"/>
          <w:noProof/>
        </w:rPr>
        <w:t>”</w:t>
      </w:r>
      <w:r w:rsidR="00C93CC0" w:rsidRPr="00B740B4">
        <w:rPr>
          <w:rFonts w:eastAsia="Times New Roman"/>
          <w:noProof/>
        </w:rPr>
        <w:t xml:space="preserve"> </w:t>
      </w:r>
      <w:r w:rsidR="00C93CC0" w:rsidRPr="00B740B4">
        <w:rPr>
          <w:rFonts w:ascii="Arial" w:eastAsia="Times New Roman" w:hAnsi="Arial" w:cs="Arial"/>
          <w:noProof/>
        </w:rPr>
        <w:t>שלה</w:t>
      </w:r>
      <w:r w:rsidR="00C93CC0" w:rsidRPr="00B740B4">
        <w:rPr>
          <w:rFonts w:eastAsia="Times New Roman"/>
          <w:noProof/>
        </w:rPr>
        <w:t xml:space="preserve"> suggests </w:t>
      </w:r>
      <w:r w:rsidR="00C93CC0" w:rsidRPr="00B740B4">
        <w:rPr>
          <w:rFonts w:ascii="Calibri" w:eastAsia="Times New Roman" w:hAnsi="Calibri" w:cs="Calibri"/>
          <w:noProof/>
        </w:rPr>
        <w:t>“</w:t>
      </w:r>
      <w:r w:rsidR="00C93CC0" w:rsidRPr="00B740B4">
        <w:rPr>
          <w:rFonts w:eastAsia="Times New Roman"/>
          <w:noProof/>
        </w:rPr>
        <w:t>prosperous</w:t>
      </w:r>
      <w:r w:rsidR="00C93CC0" w:rsidRPr="00B740B4">
        <w:rPr>
          <w:rFonts w:ascii="Calibri" w:eastAsia="Times New Roman" w:hAnsi="Calibri" w:cs="Calibri"/>
          <w:noProof/>
        </w:rPr>
        <w:t>”</w:t>
      </w:r>
      <w:r w:rsidR="00C93CC0" w:rsidRPr="00B740B4">
        <w:rPr>
          <w:rFonts w:eastAsia="Times New Roman"/>
          <w:noProof/>
        </w:rPr>
        <w:t xml:space="preserve"> </w:t>
      </w:r>
      <w:r w:rsidR="00054588" w:rsidRPr="00B740B4">
        <w:rPr>
          <w:rFonts w:eastAsia="Times New Roman"/>
          <w:noProof/>
        </w:rPr>
        <w:t xml:space="preserve">(cf. Th) </w:t>
      </w:r>
      <w:r w:rsidR="00C93CC0" w:rsidRPr="00B740B4">
        <w:rPr>
          <w:rFonts w:eastAsia="Times New Roman"/>
          <w:noProof/>
        </w:rPr>
        <w:t xml:space="preserve">rather than </w:t>
      </w:r>
      <w:r w:rsidR="00C93CC0" w:rsidRPr="00B740B4">
        <w:rPr>
          <w:rFonts w:ascii="Calibri" w:eastAsia="Times New Roman" w:hAnsi="Calibri" w:cs="Calibri"/>
          <w:noProof/>
        </w:rPr>
        <w:t>“</w:t>
      </w:r>
      <w:r w:rsidR="00C93CC0" w:rsidRPr="00B740B4">
        <w:rPr>
          <w:rFonts w:eastAsia="Times New Roman"/>
          <w:noProof/>
        </w:rPr>
        <w:t>relaxed</w:t>
      </w:r>
      <w:r w:rsidR="00C93CC0" w:rsidRPr="00B740B4">
        <w:rPr>
          <w:rFonts w:ascii="Calibri" w:eastAsia="Times New Roman" w:hAnsi="Calibri" w:cs="Calibri"/>
          <w:noProof/>
        </w:rPr>
        <w:t>”</w:t>
      </w:r>
      <w:r w:rsidR="00054588" w:rsidRPr="00B740B4">
        <w:rPr>
          <w:rFonts w:eastAsia="Times New Roman"/>
          <w:noProof/>
        </w:rPr>
        <w:t xml:space="preserve"> (cf. OG, Vg</w:t>
      </w:r>
      <w:r w:rsidR="00C93CC0" w:rsidRPr="00B740B4">
        <w:rPr>
          <w:rFonts w:eastAsia="Times New Roman"/>
          <w:noProof/>
        </w:rPr>
        <w:t>).</w:t>
      </w:r>
    </w:p>
    <w:p w:rsidR="00C93CC0" w:rsidRPr="00B740B4" w:rsidRDefault="00343D94" w:rsidP="00343D94">
      <w:pPr>
        <w:rPr>
          <w:rFonts w:eastAsia="Times New Roman"/>
          <w:noProof/>
        </w:rPr>
      </w:pPr>
      <w:r w:rsidRPr="00B740B4">
        <w:rPr>
          <w:rFonts w:eastAsia="Times New Roman"/>
          <w:noProof/>
        </w:rPr>
        <w:t>4</w:t>
      </w:r>
      <w:r w:rsidR="00E84DD1" w:rsidRPr="00B740B4">
        <w:rPr>
          <w:rFonts w:eastAsia="Times New Roman"/>
          <w:noProof/>
        </w:rPr>
        <w:t>.c</w:t>
      </w:r>
      <w:r w:rsidR="00265B6F" w:rsidRPr="00B740B4">
        <w:rPr>
          <w:rFonts w:eastAsia="Times New Roman"/>
          <w:noProof/>
        </w:rPr>
        <w:t>.</w:t>
      </w:r>
      <w:r w:rsidR="00C93CC0" w:rsidRPr="00B740B4">
        <w:rPr>
          <w:rFonts w:eastAsia="Times New Roman"/>
          <w:noProof/>
        </w:rPr>
        <w:t xml:space="preserve"> </w:t>
      </w:r>
      <w:r w:rsidR="00C93CC0" w:rsidRPr="00B740B4">
        <w:rPr>
          <w:rFonts w:ascii="Arial" w:eastAsia="Times New Roman" w:hAnsi="Arial" w:cs="Arial"/>
          <w:noProof/>
        </w:rPr>
        <w:t>רענן</w:t>
      </w:r>
      <w:r w:rsidR="00265B6F" w:rsidRPr="00B740B4">
        <w:rPr>
          <w:rFonts w:eastAsia="Times New Roman"/>
          <w:noProof/>
        </w:rPr>
        <w:t xml:space="preserve"> </w:t>
      </w:r>
      <w:r w:rsidR="00C93CC0" w:rsidRPr="00B740B4">
        <w:rPr>
          <w:rFonts w:eastAsia="Times New Roman"/>
          <w:noProof/>
        </w:rPr>
        <w:t>(</w:t>
      </w:r>
      <w:r w:rsidRPr="00B740B4">
        <w:rPr>
          <w:rFonts w:eastAsia="Times New Roman"/>
          <w:noProof/>
        </w:rPr>
        <w:t xml:space="preserve">see Thomas, “ </w:t>
      </w:r>
      <w:r w:rsidRPr="00B740B4">
        <w:rPr>
          <w:rFonts w:ascii="Arial" w:eastAsia="Times New Roman" w:hAnsi="Arial" w:cs="Arial"/>
          <w:noProof/>
        </w:rPr>
        <w:t>רַעֲנָן</w:t>
      </w:r>
      <w:r w:rsidRPr="00B740B4">
        <w:rPr>
          <w:rFonts w:ascii="Calibri" w:eastAsia="Times New Roman" w:hAnsi="Calibri" w:cs="Calibri"/>
          <w:noProof/>
        </w:rPr>
        <w:t>”</w:t>
      </w:r>
      <w:r w:rsidR="00C93CC0" w:rsidRPr="00B740B4">
        <w:rPr>
          <w:rFonts w:eastAsia="Times New Roman"/>
          <w:noProof/>
        </w:rPr>
        <w:t>); used o</w:t>
      </w:r>
      <w:r w:rsidRPr="00B740B4">
        <w:rPr>
          <w:rFonts w:eastAsia="Times New Roman"/>
          <w:noProof/>
        </w:rPr>
        <w:t>f persons only here and Ps 92:14 [15</w:t>
      </w:r>
      <w:r w:rsidR="00C93CC0" w:rsidRPr="00B740B4">
        <w:rPr>
          <w:rFonts w:eastAsia="Times New Roman"/>
          <w:noProof/>
        </w:rPr>
        <w:t xml:space="preserve">] in a similar context, though </w:t>
      </w:r>
      <w:r w:rsidR="00265B6F" w:rsidRPr="00B740B4">
        <w:rPr>
          <w:rFonts w:eastAsia="Times New Roman"/>
          <w:noProof/>
        </w:rPr>
        <w:t>see also the similes in Ps</w:t>
      </w:r>
      <w:r w:rsidR="00D730CF" w:rsidRPr="00B740B4">
        <w:rPr>
          <w:rFonts w:eastAsia="Times New Roman"/>
          <w:noProof/>
        </w:rPr>
        <w:t>s</w:t>
      </w:r>
      <w:r w:rsidR="00265B6F" w:rsidRPr="00B740B4">
        <w:rPr>
          <w:rFonts w:eastAsia="Times New Roman"/>
          <w:noProof/>
        </w:rPr>
        <w:t xml:space="preserve"> 52:8 [10</w:t>
      </w:r>
      <w:r w:rsidR="00C93CC0" w:rsidRPr="00B740B4">
        <w:rPr>
          <w:rFonts w:eastAsia="Times New Roman"/>
          <w:noProof/>
        </w:rPr>
        <w:t>]; 37:35.</w:t>
      </w:r>
    </w:p>
    <w:p w:rsidR="00C93CC0" w:rsidRPr="00B740B4" w:rsidRDefault="00343D94" w:rsidP="00343D94">
      <w:pPr>
        <w:rPr>
          <w:rFonts w:eastAsia="Times New Roman"/>
          <w:noProof/>
        </w:rPr>
      </w:pPr>
      <w:r w:rsidRPr="00B740B4">
        <w:rPr>
          <w:rFonts w:eastAsia="Times New Roman"/>
          <w:noProof/>
        </w:rPr>
        <w:t>5</w:t>
      </w:r>
      <w:r w:rsidR="00C93CC0" w:rsidRPr="00B740B4">
        <w:rPr>
          <w:rFonts w:eastAsia="Times New Roman"/>
          <w:noProof/>
        </w:rPr>
        <w:t xml:space="preserve">.a. </w:t>
      </w:r>
      <w:r w:rsidR="00C93CC0" w:rsidRPr="00B740B4">
        <w:rPr>
          <w:rFonts w:ascii="Arial" w:eastAsia="Times New Roman" w:hAnsi="Arial" w:cs="Arial"/>
          <w:noProof/>
        </w:rPr>
        <w:t>וידחלנני</w:t>
      </w:r>
      <w:r w:rsidR="00C93CC0" w:rsidRPr="00B740B4">
        <w:rPr>
          <w:rFonts w:eastAsia="Times New Roman"/>
          <w:noProof/>
        </w:rPr>
        <w:t>,</w:t>
      </w:r>
      <w:r w:rsidR="00D730CF" w:rsidRPr="00B740B4">
        <w:rPr>
          <w:rFonts w:eastAsia="Times New Roman"/>
          <w:noProof/>
        </w:rPr>
        <w:t xml:space="preserve"> like many </w:t>
      </w:r>
      <w:r w:rsidR="00C93CC0" w:rsidRPr="00B740B4">
        <w:rPr>
          <w:rFonts w:eastAsia="Times New Roman"/>
          <w:noProof/>
        </w:rPr>
        <w:t>v</w:t>
      </w:r>
      <w:r w:rsidR="00265B6F" w:rsidRPr="00B740B4">
        <w:rPr>
          <w:rFonts w:eastAsia="Times New Roman"/>
          <w:noProof/>
        </w:rPr>
        <w:t>erbs in chap. 4, is imperfect</w:t>
      </w:r>
      <w:r w:rsidR="00C93CC0" w:rsidRPr="00B740B4">
        <w:rPr>
          <w:rFonts w:eastAsia="Times New Roman"/>
          <w:noProof/>
        </w:rPr>
        <w:t xml:space="preserve">. I have followed BL 78mpq in assuming that these are past continuous </w:t>
      </w:r>
      <w:r w:rsidR="00265B6F" w:rsidRPr="00B740B4">
        <w:rPr>
          <w:rFonts w:eastAsia="Times New Roman"/>
          <w:noProof/>
        </w:rPr>
        <w:t>or occur in circumstantial clauses. But Dan</w:t>
      </w:r>
      <w:r w:rsidR="002D5A43">
        <w:rPr>
          <w:rFonts w:eastAsia="Times New Roman"/>
          <w:noProof/>
        </w:rPr>
        <w:t>iel</w:t>
      </w:r>
      <w:r w:rsidR="00265B6F" w:rsidRPr="00B740B4">
        <w:rPr>
          <w:rFonts w:eastAsia="Times New Roman"/>
          <w:noProof/>
        </w:rPr>
        <w:t xml:space="preserve"> may be using the imperfect</w:t>
      </w:r>
      <w:r w:rsidR="00C93CC0" w:rsidRPr="00B740B4">
        <w:rPr>
          <w:rFonts w:eastAsia="Times New Roman"/>
          <w:noProof/>
        </w:rPr>
        <w:t xml:space="preserve"> as a simple aorist-type tense, perhaps in imi</w:t>
      </w:r>
      <w:r w:rsidR="00265B6F" w:rsidRPr="00B740B4">
        <w:rPr>
          <w:rFonts w:eastAsia="Times New Roman"/>
          <w:noProof/>
        </w:rPr>
        <w:t>tation of BH’s alternation of perfect and imperfect</w:t>
      </w:r>
      <w:r w:rsidR="00C93CC0" w:rsidRPr="00B740B4">
        <w:rPr>
          <w:rFonts w:eastAsia="Times New Roman"/>
          <w:noProof/>
        </w:rPr>
        <w:t>.</w:t>
      </w:r>
    </w:p>
    <w:p w:rsidR="00F11528" w:rsidRPr="00B740B4" w:rsidRDefault="00F11528" w:rsidP="00343D94">
      <w:pPr>
        <w:rPr>
          <w:rFonts w:eastAsia="Times New Roman"/>
          <w:noProof/>
        </w:rPr>
      </w:pPr>
      <w:r w:rsidRPr="00B740B4">
        <w:rPr>
          <w:rFonts w:eastAsia="Times New Roman"/>
          <w:noProof/>
        </w:rPr>
        <w:t>5.b</w:t>
      </w:r>
      <w:r w:rsidR="00AD36E8">
        <w:rPr>
          <w:rFonts w:eastAsia="Times New Roman"/>
          <w:noProof/>
        </w:rPr>
        <w:t>-</w:t>
      </w:r>
      <w:r w:rsidRPr="00B740B4">
        <w:rPr>
          <w:rFonts w:eastAsia="Times New Roman"/>
          <w:noProof/>
        </w:rPr>
        <w:t>b. Literally, “the images on my bed, even the visions of my head”; Th paraphrases and Syr abbreviates.</w:t>
      </w:r>
    </w:p>
    <w:p w:rsidR="00C93CC0" w:rsidRPr="00B740B4" w:rsidRDefault="00343D94" w:rsidP="00343D94">
      <w:pPr>
        <w:rPr>
          <w:rFonts w:eastAsia="Times New Roman"/>
          <w:noProof/>
        </w:rPr>
      </w:pPr>
      <w:r w:rsidRPr="00B740B4">
        <w:rPr>
          <w:rFonts w:eastAsia="Times New Roman"/>
          <w:noProof/>
        </w:rPr>
        <w:t>5</w:t>
      </w:r>
      <w:r w:rsidR="00F11528" w:rsidRPr="00B740B4">
        <w:rPr>
          <w:rFonts w:eastAsia="Times New Roman"/>
          <w:noProof/>
        </w:rPr>
        <w:t>.c</w:t>
      </w:r>
      <w:r w:rsidR="00C93CC0" w:rsidRPr="00B740B4">
        <w:rPr>
          <w:rFonts w:eastAsia="Times New Roman"/>
          <w:noProof/>
        </w:rPr>
        <w:t xml:space="preserve">. </w:t>
      </w:r>
      <w:r w:rsidR="00C93CC0" w:rsidRPr="00B740B4">
        <w:rPr>
          <w:rFonts w:ascii="Arial" w:eastAsia="Times New Roman" w:hAnsi="Arial" w:cs="Arial"/>
          <w:noProof/>
        </w:rPr>
        <w:t>הרהרין</w:t>
      </w:r>
      <w:r w:rsidR="00C93CC0" w:rsidRPr="00B740B4">
        <w:rPr>
          <w:rFonts w:eastAsia="Times New Roman"/>
          <w:noProof/>
        </w:rPr>
        <w:t xml:space="preserve">; </w:t>
      </w:r>
      <w:r w:rsidR="00C93CC0" w:rsidRPr="00B740B4">
        <w:rPr>
          <w:rFonts w:ascii="Calibri" w:eastAsia="Times New Roman" w:hAnsi="Calibri" w:cs="Calibri"/>
          <w:noProof/>
        </w:rPr>
        <w:t>“</w:t>
      </w:r>
      <w:r w:rsidR="00C93CC0" w:rsidRPr="00B740B4">
        <w:rPr>
          <w:rFonts w:eastAsia="Times New Roman"/>
          <w:noProof/>
        </w:rPr>
        <w:t>fantasies</w:t>
      </w:r>
      <w:r w:rsidR="00C93CC0" w:rsidRPr="00B740B4">
        <w:rPr>
          <w:rFonts w:ascii="Calibri" w:eastAsia="Times New Roman" w:hAnsi="Calibri" w:cs="Calibri"/>
          <w:noProof/>
        </w:rPr>
        <w:t>”</w:t>
      </w:r>
      <w:r w:rsidR="00C93CC0" w:rsidRPr="00B740B4">
        <w:rPr>
          <w:rFonts w:eastAsia="Times New Roman"/>
          <w:noProof/>
        </w:rPr>
        <w:t xml:space="preserve"> (</w:t>
      </w:r>
      <w:r w:rsidR="00C93CC0" w:rsidRPr="00B740B4">
        <w:rPr>
          <w:rFonts w:eastAsia="Times New Roman"/>
          <w:smallCaps/>
          <w:noProof/>
        </w:rPr>
        <w:t>neb</w:t>
      </w:r>
      <w:r w:rsidR="00C93CC0" w:rsidRPr="00B740B4">
        <w:rPr>
          <w:rFonts w:eastAsia="Times New Roman"/>
          <w:noProof/>
        </w:rPr>
        <w:t>) is a later meaning, and only in the sense of sexual fantasies.</w:t>
      </w:r>
    </w:p>
    <w:p w:rsidR="00C93CC0" w:rsidRPr="00B740B4" w:rsidRDefault="00343D94" w:rsidP="00343D94">
      <w:pPr>
        <w:rPr>
          <w:rFonts w:eastAsia="Times New Roman"/>
          <w:noProof/>
        </w:rPr>
      </w:pPr>
      <w:r w:rsidRPr="00B740B4">
        <w:rPr>
          <w:rFonts w:eastAsia="Times New Roman"/>
          <w:noProof/>
        </w:rPr>
        <w:t>5</w:t>
      </w:r>
      <w:r w:rsidR="00F11528" w:rsidRPr="00B740B4">
        <w:rPr>
          <w:rFonts w:eastAsia="Times New Roman"/>
          <w:noProof/>
        </w:rPr>
        <w:t>.d</w:t>
      </w:r>
      <w:r w:rsidR="00C93CC0" w:rsidRPr="00B740B4">
        <w:rPr>
          <w:rFonts w:eastAsia="Times New Roman"/>
          <w:noProof/>
        </w:rPr>
        <w:t>. On pl.</w:t>
      </w:r>
      <w:r w:rsidR="003F57D6" w:rsidRPr="00B740B4">
        <w:rPr>
          <w:rFonts w:eastAsia="Times New Roman"/>
          <w:noProof/>
        </w:rPr>
        <w:t xml:space="preserve"> </w:t>
      </w:r>
      <w:r w:rsidR="003F57D6" w:rsidRPr="00B740B4">
        <w:rPr>
          <w:rFonts w:ascii="Arial" w:eastAsia="Times New Roman" w:hAnsi="Arial" w:cs="Arial"/>
          <w:noProof/>
        </w:rPr>
        <w:t>י</w:t>
      </w:r>
      <w:r w:rsidR="003F57D6" w:rsidRPr="00B740B4">
        <w:rPr>
          <w:rFonts w:ascii="Arial" w:eastAsiaTheme="minorHAnsi" w:hAnsi="Arial" w:cs="Arial"/>
        </w:rPr>
        <w:t xml:space="preserve"> </w:t>
      </w:r>
      <w:r w:rsidR="003F57D6" w:rsidRPr="00B740B4">
        <w:rPr>
          <w:rFonts w:ascii="Arial" w:eastAsia="Times New Roman" w:hAnsi="Arial" w:cs="Arial"/>
          <w:noProof/>
        </w:rPr>
        <w:t>ו</w:t>
      </w:r>
      <w:r w:rsidR="00C93CC0" w:rsidRPr="00B740B4">
        <w:rPr>
          <w:rFonts w:eastAsia="Times New Roman"/>
          <w:noProof/>
        </w:rPr>
        <w:t xml:space="preserve"> </w:t>
      </w:r>
      <w:r w:rsidR="00C93CC0" w:rsidRPr="00B740B4">
        <w:rPr>
          <w:rFonts w:ascii="Arial" w:eastAsia="Times New Roman" w:hAnsi="Arial" w:cs="Arial"/>
          <w:noProof/>
        </w:rPr>
        <w:t>ז</w:t>
      </w:r>
      <w:r w:rsidR="003F57D6" w:rsidRPr="00B740B4">
        <w:rPr>
          <w:rFonts w:ascii="Arial" w:eastAsia="Times New Roman" w:hAnsi="Arial" w:cs="Arial"/>
          <w:noProof/>
        </w:rPr>
        <w:t xml:space="preserve"> ח</w:t>
      </w:r>
      <w:r w:rsidR="00C93CC0" w:rsidRPr="00B740B4">
        <w:rPr>
          <w:rFonts w:eastAsia="Times New Roman"/>
          <w:noProof/>
        </w:rPr>
        <w:t xml:space="preserve"> </w:t>
      </w:r>
      <w:r w:rsidR="003F57D6" w:rsidRPr="00B740B4">
        <w:rPr>
          <w:rFonts w:ascii="Arial" w:eastAsia="Times New Roman" w:hAnsi="Arial" w:cs="Arial"/>
          <w:noProof/>
        </w:rPr>
        <w:t xml:space="preserve"> </w:t>
      </w:r>
      <w:r w:rsidR="00C93CC0" w:rsidRPr="00B740B4">
        <w:rPr>
          <w:rFonts w:eastAsia="Times New Roman"/>
          <w:noProof/>
        </w:rPr>
        <w:t xml:space="preserve"> see n. 2:1.a.</w:t>
      </w:r>
    </w:p>
    <w:p w:rsidR="00C93CC0" w:rsidRPr="00B740B4" w:rsidRDefault="00343D94" w:rsidP="00343D94">
      <w:pPr>
        <w:rPr>
          <w:rFonts w:eastAsia="Times New Roman"/>
          <w:noProof/>
        </w:rPr>
      </w:pPr>
      <w:r w:rsidRPr="00B740B4">
        <w:rPr>
          <w:rFonts w:eastAsia="Times New Roman"/>
          <w:noProof/>
        </w:rPr>
        <w:t>5</w:t>
      </w:r>
      <w:r w:rsidR="00F11528" w:rsidRPr="00B740B4">
        <w:rPr>
          <w:rFonts w:eastAsia="Times New Roman"/>
          <w:noProof/>
        </w:rPr>
        <w:t>.e</w:t>
      </w:r>
      <w:r w:rsidR="003F57D6" w:rsidRPr="00B740B4">
        <w:rPr>
          <w:rFonts w:eastAsia="Times New Roman"/>
          <w:noProof/>
        </w:rPr>
        <w:t xml:space="preserve">. See </w:t>
      </w:r>
      <w:r w:rsidR="00C93CC0" w:rsidRPr="00B740B4">
        <w:rPr>
          <w:rFonts w:eastAsia="Times New Roman"/>
          <w:noProof/>
        </w:rPr>
        <w:t>n. 2:28.c.</w:t>
      </w:r>
    </w:p>
    <w:p w:rsidR="00C93CC0" w:rsidRPr="00B740B4" w:rsidRDefault="003F57D6" w:rsidP="00343D94">
      <w:pPr>
        <w:rPr>
          <w:rFonts w:eastAsia="Times New Roman"/>
          <w:noProof/>
        </w:rPr>
      </w:pPr>
      <w:r w:rsidRPr="00B740B4">
        <w:rPr>
          <w:rFonts w:eastAsia="Times New Roman"/>
          <w:noProof/>
        </w:rPr>
        <w:t>7</w:t>
      </w:r>
      <w:r w:rsidR="00C93CC0" w:rsidRPr="00B740B4">
        <w:rPr>
          <w:rFonts w:eastAsia="Times New Roman"/>
          <w:noProof/>
        </w:rPr>
        <w:t>.a-a. On these terms see on 2:2.</w:t>
      </w:r>
    </w:p>
    <w:p w:rsidR="00C93CC0" w:rsidRPr="00B740B4" w:rsidRDefault="003F57D6" w:rsidP="00343D94">
      <w:pPr>
        <w:rPr>
          <w:rFonts w:eastAsia="Times New Roman"/>
          <w:noProof/>
        </w:rPr>
      </w:pPr>
      <w:r w:rsidRPr="00B740B4">
        <w:rPr>
          <w:rFonts w:eastAsia="Times New Roman"/>
          <w:noProof/>
        </w:rPr>
        <w:t>8</w:t>
      </w:r>
      <w:r w:rsidR="00C93CC0" w:rsidRPr="00B740B4">
        <w:rPr>
          <w:rFonts w:eastAsia="Times New Roman"/>
          <w:noProof/>
        </w:rPr>
        <w:t>.a.</w:t>
      </w:r>
      <w:r w:rsidR="0079198A" w:rsidRPr="00B740B4">
        <w:rPr>
          <w:rFonts w:eastAsia="Times New Roman"/>
          <w:noProof/>
        </w:rPr>
        <w:t xml:space="preserve"> </w:t>
      </w:r>
      <w:r w:rsidR="009B22A7" w:rsidRPr="00B740B4">
        <w:rPr>
          <w:rFonts w:ascii="Arial" w:eastAsia="Times New Roman" w:hAnsi="Arial" w:cs="Arial"/>
          <w:noProof/>
        </w:rPr>
        <w:t>ן</w:t>
      </w:r>
      <w:r w:rsidR="00C93CC0" w:rsidRPr="00B740B4">
        <w:rPr>
          <w:rFonts w:eastAsia="Times New Roman"/>
          <w:noProof/>
        </w:rPr>
        <w:t xml:space="preserve"> </w:t>
      </w:r>
      <w:r w:rsidR="00C93CC0" w:rsidRPr="00B740B4">
        <w:rPr>
          <w:rFonts w:ascii="Arial" w:eastAsia="Times New Roman" w:hAnsi="Arial" w:cs="Arial"/>
          <w:noProof/>
        </w:rPr>
        <w:t>י</w:t>
      </w:r>
      <w:r w:rsidR="0079198A" w:rsidRPr="00B740B4">
        <w:rPr>
          <w:rFonts w:ascii="Arial" w:eastAsia="Times New Roman" w:hAnsi="Arial" w:cs="Arial"/>
          <w:noProof/>
        </w:rPr>
        <w:t xml:space="preserve"> </w:t>
      </w:r>
      <w:r w:rsidR="00D730CF" w:rsidRPr="00B740B4">
        <w:rPr>
          <w:rFonts w:ascii="Arial" w:eastAsia="Times New Roman" w:hAnsi="Arial" w:cs="Arial"/>
          <w:noProof/>
        </w:rPr>
        <w:t xml:space="preserve">ר </w:t>
      </w:r>
      <w:r w:rsidR="007C6EFE" w:rsidRPr="007C6EFE">
        <w:rPr>
          <w:rFonts w:ascii="Arial" w:eastAsia="Times New Roman" w:hAnsi="Arial" w:cs="Arial"/>
          <w:noProof/>
        </w:rPr>
        <w:t>ח</w:t>
      </w:r>
      <w:r w:rsidR="007C6EFE">
        <w:rPr>
          <w:rFonts w:ascii="Arial" w:eastAsia="Times New Roman" w:hAnsi="Arial" w:cs="Arial"/>
          <w:noProof/>
        </w:rPr>
        <w:t xml:space="preserve"> </w:t>
      </w:r>
      <w:r w:rsidR="007C6EFE" w:rsidRPr="007C6EFE">
        <w:rPr>
          <w:rFonts w:ascii="Arial" w:eastAsia="Times New Roman" w:hAnsi="Arial" w:cs="Arial"/>
          <w:noProof/>
        </w:rPr>
        <w:t>א</w:t>
      </w:r>
      <w:r w:rsidR="007C6EFE">
        <w:rPr>
          <w:rFonts w:ascii="Arial" w:eastAsia="Times New Roman" w:hAnsi="Arial" w:cs="Arial"/>
          <w:noProof/>
        </w:rPr>
        <w:t xml:space="preserve"> </w:t>
      </w:r>
      <w:r w:rsidR="0079198A" w:rsidRPr="00B740B4">
        <w:rPr>
          <w:rFonts w:ascii="Arial" w:eastAsia="Times New Roman" w:hAnsi="Arial" w:cs="Arial"/>
          <w:noProof/>
        </w:rPr>
        <w:t>עד</w:t>
      </w:r>
      <w:r w:rsidR="00C93CC0" w:rsidRPr="00B740B4">
        <w:rPr>
          <w:rFonts w:eastAsia="Times New Roman"/>
          <w:noProof/>
        </w:rPr>
        <w:t xml:space="preserve">: probably abstract pl. of </w:t>
      </w:r>
      <w:r w:rsidR="00C93CC0" w:rsidRPr="00B740B4">
        <w:rPr>
          <w:rFonts w:ascii="Arial" w:eastAsia="Times New Roman" w:hAnsi="Arial" w:cs="Arial"/>
          <w:noProof/>
        </w:rPr>
        <w:t>אחר</w:t>
      </w:r>
      <w:r w:rsidR="00C93CC0" w:rsidRPr="00B740B4">
        <w:rPr>
          <w:rFonts w:eastAsia="Times New Roman"/>
          <w:noProof/>
        </w:rPr>
        <w:t xml:space="preserve"> </w:t>
      </w:r>
      <w:r w:rsidR="00C93CC0" w:rsidRPr="00B740B4">
        <w:rPr>
          <w:rFonts w:ascii="Calibri" w:eastAsia="Times New Roman" w:hAnsi="Calibri" w:cs="Calibri"/>
          <w:noProof/>
        </w:rPr>
        <w:t>“</w:t>
      </w:r>
      <w:r w:rsidR="00C93CC0" w:rsidRPr="00B740B4">
        <w:rPr>
          <w:rFonts w:eastAsia="Times New Roman"/>
          <w:noProof/>
        </w:rPr>
        <w:t>after</w:t>
      </w:r>
      <w:r w:rsidR="00C93CC0" w:rsidRPr="00B740B4">
        <w:rPr>
          <w:rFonts w:ascii="Calibri" w:eastAsia="Times New Roman" w:hAnsi="Calibri" w:cs="Calibri"/>
          <w:noProof/>
        </w:rPr>
        <w:t>”</w:t>
      </w:r>
      <w:r w:rsidR="00C93CC0" w:rsidRPr="00B740B4">
        <w:rPr>
          <w:rFonts w:eastAsia="Times New Roman"/>
          <w:noProof/>
        </w:rPr>
        <w:t xml:space="preserve"> (Montgomery).</w:t>
      </w:r>
      <w:r w:rsidR="007C6EFE">
        <w:rPr>
          <w:rFonts w:eastAsia="Times New Roman"/>
          <w:noProof/>
        </w:rPr>
        <w:t xml:space="preserve"> </w:t>
      </w:r>
    </w:p>
    <w:p w:rsidR="00C93CC0" w:rsidRPr="00B740B4" w:rsidRDefault="003F57D6" w:rsidP="00343D94">
      <w:pPr>
        <w:rPr>
          <w:rFonts w:eastAsia="Times New Roman"/>
          <w:noProof/>
        </w:rPr>
      </w:pPr>
      <w:r w:rsidRPr="00B740B4">
        <w:rPr>
          <w:rFonts w:eastAsia="Times New Roman"/>
          <w:noProof/>
        </w:rPr>
        <w:t>8</w:t>
      </w:r>
      <w:r w:rsidR="00C93CC0" w:rsidRPr="00B740B4">
        <w:rPr>
          <w:rFonts w:eastAsia="Times New Roman"/>
          <w:noProof/>
        </w:rPr>
        <w:t>.b. See n. 1:7.b-b.</w:t>
      </w:r>
      <w:r w:rsidR="00D730CF" w:rsidRPr="00B740B4">
        <w:rPr>
          <w:rFonts w:eastAsia="Times New Roman"/>
          <w:noProof/>
        </w:rPr>
        <w:t>Nebuchadnezzar</w:t>
      </w:r>
      <w:r w:rsidR="00370022" w:rsidRPr="00B740B4">
        <w:rPr>
          <w:rFonts w:eastAsia="Times New Roman"/>
          <w:noProof/>
        </w:rPr>
        <w:t xml:space="preserve"> </w:t>
      </w:r>
      <w:r w:rsidR="00D730CF" w:rsidRPr="00B740B4">
        <w:rPr>
          <w:rFonts w:eastAsia="Times New Roman"/>
          <w:noProof/>
        </w:rPr>
        <w:t xml:space="preserve"> might</w:t>
      </w:r>
      <w:r w:rsidR="004436B2" w:rsidRPr="00B740B4">
        <w:rPr>
          <w:rFonts w:eastAsia="Times New Roman"/>
          <w:noProof/>
        </w:rPr>
        <w:t xml:space="preserve"> imply that </w:t>
      </w:r>
      <w:r w:rsidR="005B02ED">
        <w:rPr>
          <w:rFonts w:eastAsia="Times New Roman"/>
          <w:noProof/>
        </w:rPr>
        <w:t>Belṭešaṣṣar</w:t>
      </w:r>
      <w:r w:rsidR="00155FA8" w:rsidRPr="00B740B4">
        <w:rPr>
          <w:rFonts w:eastAsia="Times New Roman"/>
          <w:noProof/>
        </w:rPr>
        <w:t xml:space="preserve"> </w:t>
      </w:r>
      <w:r w:rsidR="00C93CC0" w:rsidRPr="00B740B4">
        <w:rPr>
          <w:rFonts w:eastAsia="Times New Roman"/>
          <w:noProof/>
        </w:rPr>
        <w:t>is an abbreviat</w:t>
      </w:r>
      <w:r w:rsidR="004436B2" w:rsidRPr="00B740B4">
        <w:rPr>
          <w:rFonts w:eastAsia="Times New Roman"/>
          <w:noProof/>
        </w:rPr>
        <w:t xml:space="preserve">ed form of a theophoric name which omits the </w:t>
      </w:r>
      <w:r w:rsidR="00D730CF" w:rsidRPr="00B740B4">
        <w:rPr>
          <w:rFonts w:eastAsia="Times New Roman"/>
          <w:noProof/>
        </w:rPr>
        <w:t>divine name</w:t>
      </w:r>
      <w:r w:rsidR="00F92A95" w:rsidRPr="00B740B4">
        <w:rPr>
          <w:rFonts w:eastAsia="Times New Roman"/>
          <w:noProof/>
        </w:rPr>
        <w:t xml:space="preserve">, </w:t>
      </w:r>
      <w:r w:rsidR="00D730CF" w:rsidRPr="00B740B4">
        <w:rPr>
          <w:rFonts w:eastAsia="Times New Roman"/>
          <w:noProof/>
        </w:rPr>
        <w:t>a common enough convention in OT names</w:t>
      </w:r>
      <w:r w:rsidR="00F92A95" w:rsidRPr="00B740B4">
        <w:rPr>
          <w:rFonts w:eastAsia="Times New Roman"/>
          <w:noProof/>
        </w:rPr>
        <w:t xml:space="preserve"> (e.g., Ahaz</w:t>
      </w:r>
      <w:r w:rsidR="00D730CF" w:rsidRPr="00B740B4">
        <w:rPr>
          <w:rFonts w:eastAsia="Times New Roman"/>
          <w:noProof/>
        </w:rPr>
        <w:t>)</w:t>
      </w:r>
      <w:r w:rsidR="00F92A95" w:rsidRPr="00B740B4">
        <w:rPr>
          <w:rFonts w:eastAsia="Times New Roman"/>
          <w:noProof/>
        </w:rPr>
        <w:t>. But it would be</w:t>
      </w:r>
      <w:r w:rsidR="00C93CC0" w:rsidRPr="00B740B4">
        <w:rPr>
          <w:rFonts w:eastAsia="Times New Roman"/>
          <w:noProof/>
        </w:rPr>
        <w:t xml:space="preserve"> odd to use the shortene</w:t>
      </w:r>
      <w:r w:rsidR="00F92A95" w:rsidRPr="00B740B4">
        <w:rPr>
          <w:rFonts w:eastAsia="Times New Roman"/>
          <w:noProof/>
        </w:rPr>
        <w:t>d form when the allusion is to the name which</w:t>
      </w:r>
      <w:r w:rsidR="00C93CC0" w:rsidRPr="00B740B4">
        <w:rPr>
          <w:rFonts w:eastAsia="Times New Roman"/>
          <w:noProof/>
        </w:rPr>
        <w:t xml:space="preserve"> is omitted. More likely the name’s interpretation, like many in the OT, is based on assonance rather than etymology (cf. Driver).</w:t>
      </w:r>
    </w:p>
    <w:p w:rsidR="00C93CC0" w:rsidRPr="00B740B4" w:rsidRDefault="003F57D6" w:rsidP="00343D94">
      <w:pPr>
        <w:rPr>
          <w:rFonts w:eastAsia="Times New Roman"/>
          <w:noProof/>
        </w:rPr>
      </w:pPr>
      <w:r w:rsidRPr="00B740B4">
        <w:rPr>
          <w:rFonts w:eastAsia="Times New Roman"/>
          <w:noProof/>
        </w:rPr>
        <w:t>8</w:t>
      </w:r>
      <w:r w:rsidR="00C93CC0" w:rsidRPr="00B740B4">
        <w:rPr>
          <w:rFonts w:eastAsia="Times New Roman"/>
          <w:noProof/>
        </w:rPr>
        <w:t xml:space="preserve">.c.  </w:t>
      </w:r>
      <w:r w:rsidR="00C93CC0" w:rsidRPr="00B740B4">
        <w:rPr>
          <w:rFonts w:ascii="Arial" w:eastAsia="Times New Roman" w:hAnsi="Arial" w:cs="Arial"/>
          <w:noProof/>
        </w:rPr>
        <w:t>קדישין</w:t>
      </w:r>
      <w:r w:rsidR="004436B2" w:rsidRPr="00B740B4">
        <w:rPr>
          <w:rFonts w:eastAsia="Times New Roman"/>
          <w:noProof/>
        </w:rPr>
        <w:t xml:space="preserve">  </w:t>
      </w:r>
      <w:r w:rsidR="004436B2" w:rsidRPr="00B740B4">
        <w:rPr>
          <w:rFonts w:ascii="Arial" w:eastAsia="Times New Roman" w:hAnsi="Arial" w:cs="Arial"/>
          <w:noProof/>
        </w:rPr>
        <w:t>אלהין.</w:t>
      </w:r>
      <w:r w:rsidR="004436B2" w:rsidRPr="00B740B4">
        <w:rPr>
          <w:rFonts w:eastAsia="Times New Roman"/>
          <w:noProof/>
        </w:rPr>
        <w:t xml:space="preserve"> </w:t>
      </w:r>
      <w:r w:rsidR="00C93CC0" w:rsidRPr="00B740B4">
        <w:rPr>
          <w:rFonts w:eastAsia="Times New Roman"/>
          <w:noProof/>
        </w:rPr>
        <w:t>On a pagan</w:t>
      </w:r>
      <w:r w:rsidR="00C93CC0" w:rsidRPr="00B740B4">
        <w:rPr>
          <w:rFonts w:ascii="Calibri" w:eastAsia="Times New Roman" w:hAnsi="Calibri" w:cs="Calibri"/>
          <w:noProof/>
        </w:rPr>
        <w:t>’</w:t>
      </w:r>
      <w:r w:rsidR="00C93CC0" w:rsidRPr="00B740B4">
        <w:rPr>
          <w:rFonts w:eastAsia="Times New Roman"/>
          <w:noProof/>
        </w:rPr>
        <w:t xml:space="preserve">s lips, the pl. would usually mean </w:t>
      </w:r>
      <w:r w:rsidR="00C93CC0" w:rsidRPr="00B740B4">
        <w:rPr>
          <w:rFonts w:ascii="Calibri" w:eastAsia="Times New Roman" w:hAnsi="Calibri" w:cs="Calibri"/>
          <w:noProof/>
        </w:rPr>
        <w:t>“</w:t>
      </w:r>
      <w:r w:rsidR="00C93CC0" w:rsidRPr="00B740B4">
        <w:rPr>
          <w:rFonts w:eastAsia="Times New Roman"/>
          <w:noProof/>
        </w:rPr>
        <w:t>holy gods</w:t>
      </w:r>
      <w:r w:rsidR="00C93CC0" w:rsidRPr="00B740B4">
        <w:rPr>
          <w:rFonts w:ascii="Calibri" w:eastAsia="Times New Roman" w:hAnsi="Calibri" w:cs="Calibri"/>
          <w:noProof/>
        </w:rPr>
        <w:t>”</w:t>
      </w:r>
      <w:r w:rsidR="00C93CC0" w:rsidRPr="00B740B4">
        <w:rPr>
          <w:rFonts w:eastAsia="Times New Roman"/>
          <w:noProof/>
        </w:rPr>
        <w:t>: cf. 5:11; Eshmun</w:t>
      </w:r>
      <w:r w:rsidR="004436B2" w:rsidRPr="00B740B4">
        <w:rPr>
          <w:rFonts w:ascii="Calibri" w:eastAsia="Times New Roman" w:hAnsi="Calibri" w:cs="Calibri"/>
          <w:noProof/>
        </w:rPr>
        <w:t>‘</w:t>
      </w:r>
      <w:r w:rsidR="00C93CC0" w:rsidRPr="00B740B4">
        <w:rPr>
          <w:rFonts w:eastAsia="Times New Roman"/>
          <w:noProof/>
        </w:rPr>
        <w:t>azar</w:t>
      </w:r>
      <w:r w:rsidR="00C93CC0" w:rsidRPr="00B740B4">
        <w:rPr>
          <w:rFonts w:ascii="Calibri" w:eastAsia="Times New Roman" w:hAnsi="Calibri" w:cs="Calibri"/>
          <w:noProof/>
        </w:rPr>
        <w:t>’</w:t>
      </w:r>
      <w:r w:rsidR="00C93CC0" w:rsidRPr="00B740B4">
        <w:rPr>
          <w:rFonts w:eastAsia="Times New Roman"/>
          <w:noProof/>
        </w:rPr>
        <w:t>s inscription (</w:t>
      </w:r>
      <w:r w:rsidR="00C93CC0" w:rsidRPr="00B740B4">
        <w:rPr>
          <w:rFonts w:eastAsia="Times New Roman"/>
          <w:i/>
          <w:noProof/>
        </w:rPr>
        <w:t>ANET</w:t>
      </w:r>
      <w:r w:rsidR="004436B2" w:rsidRPr="00B740B4">
        <w:rPr>
          <w:rFonts w:eastAsia="Times New Roman"/>
          <w:noProof/>
        </w:rPr>
        <w:t>,</w:t>
      </w:r>
      <w:r w:rsidR="00C93CC0" w:rsidRPr="00B740B4">
        <w:rPr>
          <w:rFonts w:eastAsia="Times New Roman"/>
          <w:noProof/>
        </w:rPr>
        <w:t xml:space="preserve"> 662); Vg. Nebuchadnezzar’s pagan faith has just been referred to, and expressions such as this </w:t>
      </w:r>
      <w:r w:rsidR="004436B2" w:rsidRPr="00B740B4">
        <w:rPr>
          <w:rFonts w:eastAsia="Times New Roman"/>
          <w:noProof/>
        </w:rPr>
        <w:t xml:space="preserve">one </w:t>
      </w:r>
      <w:r w:rsidR="00C93CC0" w:rsidRPr="00B740B4">
        <w:rPr>
          <w:rFonts w:eastAsia="Times New Roman"/>
          <w:noProof/>
        </w:rPr>
        <w:t>are not used of th</w:t>
      </w:r>
      <w:r w:rsidR="00A43F2E" w:rsidRPr="00B740B4">
        <w:rPr>
          <w:rFonts w:eastAsia="Times New Roman"/>
          <w:noProof/>
        </w:rPr>
        <w:t>e true God elsewhere in Dan</w:t>
      </w:r>
      <w:r w:rsidR="007C6EFE">
        <w:rPr>
          <w:rFonts w:eastAsia="Times New Roman"/>
          <w:noProof/>
        </w:rPr>
        <w:t>iel</w:t>
      </w:r>
      <w:r w:rsidR="00A43F2E" w:rsidRPr="00B740B4">
        <w:rPr>
          <w:rFonts w:eastAsia="Times New Roman"/>
          <w:noProof/>
        </w:rPr>
        <w:t xml:space="preserve"> (contrast</w:t>
      </w:r>
      <w:r w:rsidR="00B959BC" w:rsidRPr="00B740B4">
        <w:rPr>
          <w:rFonts w:eastAsia="Times New Roman"/>
          <w:noProof/>
        </w:rPr>
        <w:t xml:space="preserve"> 2:47; </w:t>
      </w:r>
      <w:r w:rsidR="00A43F2E" w:rsidRPr="00B740B4">
        <w:rPr>
          <w:rFonts w:eastAsia="Times New Roman"/>
          <w:noProof/>
        </w:rPr>
        <w:t>4:2, 34</w:t>
      </w:r>
      <w:r w:rsidR="00C93CC0" w:rsidRPr="00B740B4">
        <w:rPr>
          <w:rFonts w:eastAsia="Times New Roman"/>
          <w:noProof/>
        </w:rPr>
        <w:t xml:space="preserve">; </w:t>
      </w:r>
      <w:r w:rsidR="00A43F2E" w:rsidRPr="00B740B4">
        <w:rPr>
          <w:rFonts w:eastAsia="Times New Roman"/>
          <w:noProof/>
        </w:rPr>
        <w:t xml:space="preserve">see </w:t>
      </w:r>
      <w:r w:rsidR="001F5F04" w:rsidRPr="00B740B4">
        <w:rPr>
          <w:rFonts w:eastAsia="Times New Roman"/>
          <w:noProof/>
        </w:rPr>
        <w:t>BL 87f). Nevertheless, a Judahite</w:t>
      </w:r>
      <w:r w:rsidR="00C93CC0" w:rsidRPr="00B740B4">
        <w:rPr>
          <w:rFonts w:eastAsia="Times New Roman"/>
          <w:noProof/>
        </w:rPr>
        <w:t xml:space="preserve"> writing or reading the phrase could take it to mean “the holy God”; cf. Th; Josh 24:19; the</w:t>
      </w:r>
      <w:r w:rsidR="00A43F2E" w:rsidRPr="00B740B4">
        <w:rPr>
          <w:rFonts w:eastAsia="Times New Roman"/>
          <w:noProof/>
        </w:rPr>
        <w:t>re may be</w:t>
      </w:r>
      <w:r w:rsidR="00C93CC0" w:rsidRPr="00B740B4">
        <w:rPr>
          <w:rFonts w:eastAsia="Times New Roman"/>
          <w:noProof/>
        </w:rPr>
        <w:t xml:space="preserve"> </w:t>
      </w:r>
      <w:r w:rsidR="00A43F2E" w:rsidRPr="00B740B4">
        <w:rPr>
          <w:rFonts w:eastAsia="Times New Roman"/>
          <w:noProof/>
        </w:rPr>
        <w:t xml:space="preserve">an implcit </w:t>
      </w:r>
      <w:r w:rsidR="00C93CC0" w:rsidRPr="00B740B4">
        <w:rPr>
          <w:rFonts w:eastAsia="Times New Roman"/>
          <w:noProof/>
        </w:rPr>
        <w:t>allusion to Gen 41:38</w:t>
      </w:r>
      <w:r w:rsidR="007C6EFE">
        <w:rPr>
          <w:rFonts w:eastAsia="Times New Roman"/>
          <w:noProof/>
        </w:rPr>
        <w:t xml:space="preserve"> (c</w:t>
      </w:r>
      <w:r w:rsidR="007C6EFE" w:rsidRPr="007C6EFE">
        <w:rPr>
          <w:rFonts w:eastAsia="Times New Roman"/>
          <w:noProof/>
        </w:rPr>
        <w:t xml:space="preserve">f. </w:t>
      </w:r>
      <w:r w:rsidR="007C6EFE" w:rsidRPr="007C6EFE">
        <w:rPr>
          <w:rFonts w:eastAsia="Times New Roman"/>
          <w:iCs/>
          <w:noProof/>
        </w:rPr>
        <w:t>Becking</w:t>
      </w:r>
      <w:r w:rsidR="007C6EFE" w:rsidRPr="007C6EFE">
        <w:rPr>
          <w:rFonts w:eastAsia="Times New Roman"/>
          <w:b/>
          <w:noProof/>
        </w:rPr>
        <w:t>,</w:t>
      </w:r>
      <w:r w:rsidR="007C6EFE" w:rsidRPr="007C6EFE">
        <w:rPr>
          <w:rFonts w:eastAsia="Times New Roman"/>
          <w:noProof/>
        </w:rPr>
        <w:t xml:space="preserve"> “A Divine Spir</w:t>
      </w:r>
      <w:r w:rsidR="007C6EFE">
        <w:rPr>
          <w:rFonts w:eastAsia="Times New Roman"/>
          <w:noProof/>
        </w:rPr>
        <w:t>it is in You”)</w:t>
      </w:r>
      <w:r w:rsidR="00C93CC0" w:rsidRPr="00B740B4">
        <w:rPr>
          <w:rFonts w:eastAsia="Times New Roman"/>
          <w:noProof/>
        </w:rPr>
        <w:t>. In Akk. the equivalent pl. is used for a single deity (Montgomery). See also n. 3:25.b.</w:t>
      </w:r>
    </w:p>
    <w:p w:rsidR="006F057C" w:rsidRPr="00B740B4" w:rsidRDefault="006F057C" w:rsidP="00343D94">
      <w:pPr>
        <w:rPr>
          <w:rFonts w:eastAsia="Times New Roman"/>
          <w:noProof/>
        </w:rPr>
      </w:pPr>
      <w:r w:rsidRPr="00B740B4">
        <w:rPr>
          <w:rFonts w:eastAsia="Times New Roman"/>
          <w:noProof/>
        </w:rPr>
        <w:t>9.a. It is “not necessary to give the pf. the present sense, ‘I know,’ for ‘I have come to kn</w:t>
      </w:r>
      <w:r w:rsidR="007C6EFE">
        <w:rPr>
          <w:rFonts w:eastAsia="Times New Roman"/>
          <w:noProof/>
        </w:rPr>
        <w:t>ow’ makes good sense” (Muraoka)—“I have come to acknowledge” fits even better.</w:t>
      </w:r>
    </w:p>
    <w:p w:rsidR="00C93CC0" w:rsidRPr="00B740B4" w:rsidRDefault="003F57D6" w:rsidP="00343D94">
      <w:pPr>
        <w:rPr>
          <w:rFonts w:eastAsia="Times New Roman"/>
          <w:noProof/>
        </w:rPr>
      </w:pPr>
      <w:r w:rsidRPr="00B740B4">
        <w:rPr>
          <w:rFonts w:eastAsia="Times New Roman"/>
          <w:noProof/>
        </w:rPr>
        <w:t>9</w:t>
      </w:r>
      <w:r w:rsidR="006F057C" w:rsidRPr="00B740B4">
        <w:rPr>
          <w:rFonts w:eastAsia="Times New Roman"/>
          <w:noProof/>
        </w:rPr>
        <w:t>.b</w:t>
      </w:r>
      <w:r w:rsidR="00C93CC0" w:rsidRPr="00B740B4">
        <w:rPr>
          <w:rFonts w:eastAsia="Times New Roman"/>
          <w:noProof/>
        </w:rPr>
        <w:t xml:space="preserve">. </w:t>
      </w:r>
      <w:r w:rsidR="00C93CC0" w:rsidRPr="00B740B4">
        <w:rPr>
          <w:rFonts w:ascii="Arial" w:eastAsia="Times New Roman" w:hAnsi="Arial" w:cs="Arial"/>
          <w:noProof/>
        </w:rPr>
        <w:t>רז</w:t>
      </w:r>
      <w:r w:rsidR="00C93CC0" w:rsidRPr="00B740B4">
        <w:rPr>
          <w:rFonts w:eastAsia="Times New Roman"/>
          <w:noProof/>
        </w:rPr>
        <w:t xml:space="preserve"> (see on 2:18) here denotes a specific problem, not the great mystery of God</w:t>
      </w:r>
      <w:r w:rsidR="00C93CC0" w:rsidRPr="00B740B4">
        <w:rPr>
          <w:rFonts w:ascii="Calibri" w:eastAsia="Times New Roman" w:hAnsi="Calibri" w:cs="Calibri"/>
          <w:noProof/>
        </w:rPr>
        <w:t>’</w:t>
      </w:r>
      <w:r w:rsidR="00C93CC0" w:rsidRPr="00B740B4">
        <w:rPr>
          <w:rFonts w:eastAsia="Times New Roman"/>
          <w:noProof/>
        </w:rPr>
        <w:t>s plan for all history.</w:t>
      </w:r>
    </w:p>
    <w:p w:rsidR="00C93CC0" w:rsidRPr="00B740B4" w:rsidRDefault="003F57D6" w:rsidP="007A55A5">
      <w:pPr>
        <w:rPr>
          <w:rFonts w:eastAsia="Times New Roman"/>
          <w:noProof/>
        </w:rPr>
      </w:pPr>
      <w:r w:rsidRPr="00B740B4">
        <w:rPr>
          <w:rFonts w:eastAsia="Times New Roman"/>
          <w:noProof/>
        </w:rPr>
        <w:t>9</w:t>
      </w:r>
      <w:r w:rsidR="006F057C" w:rsidRPr="00B740B4">
        <w:rPr>
          <w:rFonts w:eastAsia="Times New Roman"/>
          <w:noProof/>
        </w:rPr>
        <w:t>.c</w:t>
      </w:r>
      <w:r w:rsidR="007A55A5" w:rsidRPr="00B740B4">
        <w:rPr>
          <w:rFonts w:eastAsia="Times New Roman"/>
          <w:noProof/>
        </w:rPr>
        <w:t xml:space="preserve">. As was the case in chap. 2, there is initially some ambiguity about whether Nebuchadnezzar is </w:t>
      </w:r>
      <w:r w:rsidR="00C93CC0" w:rsidRPr="00B740B4">
        <w:rPr>
          <w:rFonts w:eastAsia="Times New Roman"/>
          <w:noProof/>
        </w:rPr>
        <w:t xml:space="preserve"> asking Daniel to tell him </w:t>
      </w:r>
      <w:r w:rsidR="007C6EFE">
        <w:rPr>
          <w:rFonts w:eastAsia="Times New Roman"/>
          <w:noProof/>
        </w:rPr>
        <w:t xml:space="preserve">the </w:t>
      </w:r>
      <w:r w:rsidR="00C93CC0" w:rsidRPr="00B740B4">
        <w:rPr>
          <w:rFonts w:eastAsia="Times New Roman"/>
          <w:noProof/>
        </w:rPr>
        <w:t xml:space="preserve">dream as well as </w:t>
      </w:r>
      <w:r w:rsidR="007A55A5" w:rsidRPr="00B740B4">
        <w:rPr>
          <w:rFonts w:eastAsia="Times New Roman"/>
          <w:noProof/>
        </w:rPr>
        <w:t xml:space="preserve">the </w:t>
      </w:r>
      <w:r w:rsidR="00C93CC0" w:rsidRPr="00B740B4">
        <w:rPr>
          <w:rFonts w:eastAsia="Times New Roman"/>
          <w:noProof/>
        </w:rPr>
        <w:t>in</w:t>
      </w:r>
      <w:r w:rsidR="007C6EFE">
        <w:rPr>
          <w:rFonts w:eastAsia="Times New Roman"/>
          <w:noProof/>
        </w:rPr>
        <w:t>terpretation. But it</w:t>
      </w:r>
      <w:r w:rsidR="007A55A5" w:rsidRPr="00B740B4">
        <w:rPr>
          <w:rFonts w:eastAsia="Times New Roman"/>
          <w:noProof/>
        </w:rPr>
        <w:t xml:space="preserve"> is not what happens, and further, </w:t>
      </w:r>
      <w:r w:rsidR="00C93CC0" w:rsidRPr="00B740B4">
        <w:rPr>
          <w:rFonts w:ascii="Arial" w:eastAsia="Times New Roman" w:hAnsi="Arial" w:cs="Arial"/>
          <w:noProof/>
        </w:rPr>
        <w:t>חלמי</w:t>
      </w:r>
      <w:r w:rsidR="00C93CC0" w:rsidRPr="00B740B4">
        <w:rPr>
          <w:rFonts w:eastAsia="Times New Roman"/>
          <w:noProof/>
        </w:rPr>
        <w:t xml:space="preserve"> </w:t>
      </w:r>
      <w:r w:rsidR="00A43F2E" w:rsidRPr="00B740B4">
        <w:rPr>
          <w:rFonts w:ascii="Arial" w:eastAsia="Times New Roman" w:hAnsi="Arial" w:cs="Arial"/>
          <w:noProof/>
        </w:rPr>
        <w:t>חזוי</w:t>
      </w:r>
      <w:r w:rsidR="00A43F2E" w:rsidRPr="00B740B4">
        <w:rPr>
          <w:rFonts w:eastAsia="Times New Roman"/>
          <w:noProof/>
        </w:rPr>
        <w:t xml:space="preserve"> </w:t>
      </w:r>
      <w:r w:rsidR="007A55A5" w:rsidRPr="00B740B4">
        <w:rPr>
          <w:rFonts w:eastAsia="Times New Roman"/>
          <w:noProof/>
        </w:rPr>
        <w:t>is an odd phrase;</w:t>
      </w:r>
      <w:r w:rsidR="00C93CC0" w:rsidRPr="00B740B4">
        <w:rPr>
          <w:rFonts w:eastAsia="Times New Roman"/>
          <w:noProof/>
        </w:rPr>
        <w:t xml:space="preserve"> </w:t>
      </w:r>
      <w:r w:rsidR="0052383A" w:rsidRPr="00B740B4">
        <w:rPr>
          <w:rFonts w:eastAsia="Times New Roman"/>
          <w:noProof/>
        </w:rPr>
        <w:t xml:space="preserve">Syr paraphrases, apparently recognizing the problem (Taylor, </w:t>
      </w:r>
      <w:r w:rsidR="0052383A" w:rsidRPr="00B740B4">
        <w:rPr>
          <w:rFonts w:eastAsia="Times New Roman"/>
          <w:i/>
          <w:noProof/>
        </w:rPr>
        <w:t>Peshiṭta of Daniel</w:t>
      </w:r>
      <w:r w:rsidR="0052383A" w:rsidRPr="00B740B4">
        <w:rPr>
          <w:rFonts w:eastAsia="Times New Roman"/>
          <w:noProof/>
        </w:rPr>
        <w:t xml:space="preserve">, 135-36). </w:t>
      </w:r>
      <w:r w:rsidR="00C93CC0" w:rsidRPr="00B740B4">
        <w:rPr>
          <w:rFonts w:eastAsia="Times New Roman"/>
          <w:noProof/>
        </w:rPr>
        <w:t>M</w:t>
      </w:r>
      <w:r w:rsidR="00C93CC0" w:rsidRPr="00B740B4">
        <w:rPr>
          <w:rFonts w:ascii="Calibri" w:eastAsia="Times New Roman" w:hAnsi="Calibri" w:cs="Calibri"/>
          <w:noProof/>
        </w:rPr>
        <w:t>ü</w:t>
      </w:r>
      <w:r w:rsidR="00A43F2E" w:rsidRPr="00B740B4">
        <w:rPr>
          <w:rFonts w:eastAsia="Times New Roman"/>
          <w:noProof/>
        </w:rPr>
        <w:t>ller (“Magisch-mantische Weisheit,”</w:t>
      </w:r>
      <w:r w:rsidR="00C93CC0" w:rsidRPr="00B740B4">
        <w:rPr>
          <w:rFonts w:eastAsia="Times New Roman"/>
          <w:noProof/>
        </w:rPr>
        <w:t xml:space="preserve"> 86) takes the </w:t>
      </w:r>
      <w:r w:rsidR="00A43F2E" w:rsidRPr="00B740B4">
        <w:rPr>
          <w:rFonts w:ascii="Arial" w:eastAsia="Times New Roman" w:hAnsi="Arial" w:cs="Arial"/>
          <w:noProof/>
        </w:rPr>
        <w:t>ו</w:t>
      </w:r>
      <w:r w:rsidR="00A43F2E" w:rsidRPr="00B740B4">
        <w:rPr>
          <w:rFonts w:eastAsia="Times New Roman"/>
          <w:noProof/>
        </w:rPr>
        <w:t xml:space="preserve"> </w:t>
      </w:r>
      <w:r w:rsidR="00C93CC0" w:rsidRPr="00B740B4">
        <w:rPr>
          <w:rFonts w:ascii="Calibri" w:eastAsia="Times New Roman" w:hAnsi="Calibri" w:cs="Calibri"/>
          <w:noProof/>
        </w:rPr>
        <w:t>‍</w:t>
      </w:r>
      <w:r w:rsidR="00C93CC0" w:rsidRPr="00B740B4">
        <w:rPr>
          <w:rFonts w:eastAsia="Times New Roman"/>
          <w:noProof/>
        </w:rPr>
        <w:t xml:space="preserve"> of </w:t>
      </w:r>
      <w:r w:rsidR="00C93CC0" w:rsidRPr="00B740B4">
        <w:rPr>
          <w:rFonts w:ascii="Arial" w:eastAsia="Times New Roman" w:hAnsi="Arial" w:cs="Arial"/>
          <w:noProof/>
        </w:rPr>
        <w:t>ופשרא</w:t>
      </w:r>
      <w:r w:rsidR="00F92A95" w:rsidRPr="00B740B4">
        <w:rPr>
          <w:rFonts w:eastAsia="Times New Roman"/>
          <w:noProof/>
        </w:rPr>
        <w:t xml:space="preserve"> as epexegetic (s</w:t>
      </w:r>
      <w:r w:rsidR="007C6EFE">
        <w:rPr>
          <w:rFonts w:eastAsia="Times New Roman"/>
          <w:noProof/>
        </w:rPr>
        <w:t>ee n. 6:28</w:t>
      </w:r>
      <w:r w:rsidR="00F92A95" w:rsidRPr="00B740B4">
        <w:rPr>
          <w:rFonts w:eastAsia="Times New Roman"/>
          <w:noProof/>
        </w:rPr>
        <w:t>.a): “Tell me the dream vision I have had—</w:t>
      </w:r>
      <w:r w:rsidR="000C05F0" w:rsidRPr="00B740B4">
        <w:rPr>
          <w:rFonts w:eastAsia="Times New Roman"/>
          <w:noProof/>
        </w:rPr>
        <w:t>tha</w:t>
      </w:r>
      <w:r w:rsidR="00F92A95" w:rsidRPr="00B740B4">
        <w:rPr>
          <w:rFonts w:eastAsia="Times New Roman"/>
          <w:noProof/>
        </w:rPr>
        <w:t>t is, its interpretation.”</w:t>
      </w:r>
    </w:p>
    <w:p w:rsidR="00C93CC0" w:rsidRPr="00B740B4" w:rsidRDefault="003F57D6" w:rsidP="00343D94">
      <w:pPr>
        <w:rPr>
          <w:rFonts w:eastAsia="Times New Roman"/>
          <w:noProof/>
        </w:rPr>
      </w:pPr>
      <w:r w:rsidRPr="00B740B4">
        <w:rPr>
          <w:rFonts w:eastAsia="Times New Roman"/>
          <w:noProof/>
        </w:rPr>
        <w:t>11</w:t>
      </w:r>
      <w:r w:rsidR="00C93CC0" w:rsidRPr="00B740B4">
        <w:rPr>
          <w:rFonts w:eastAsia="Times New Roman"/>
          <w:noProof/>
        </w:rPr>
        <w:t xml:space="preserve">.a. </w:t>
      </w:r>
      <w:r w:rsidR="00C93CC0" w:rsidRPr="00B740B4">
        <w:rPr>
          <w:rFonts w:ascii="Arial" w:eastAsia="Times New Roman" w:hAnsi="Arial" w:cs="Arial"/>
          <w:noProof/>
        </w:rPr>
        <w:t>רבה</w:t>
      </w:r>
      <w:r w:rsidR="00C93CC0" w:rsidRPr="00B740B4">
        <w:rPr>
          <w:rFonts w:eastAsia="Times New Roman"/>
          <w:noProof/>
        </w:rPr>
        <w:t xml:space="preserve">, perhaps </w:t>
      </w:r>
      <w:r w:rsidR="00C93CC0" w:rsidRPr="00B740B4">
        <w:rPr>
          <w:rFonts w:ascii="Calibri" w:eastAsia="Times New Roman" w:hAnsi="Calibri" w:cs="Calibri"/>
          <w:noProof/>
        </w:rPr>
        <w:t>“</w:t>
      </w:r>
      <w:r w:rsidR="00C93CC0" w:rsidRPr="00B740B4">
        <w:rPr>
          <w:rFonts w:eastAsia="Times New Roman"/>
          <w:noProof/>
        </w:rPr>
        <w:t>had grown</w:t>
      </w:r>
      <w:r w:rsidR="00C93CC0" w:rsidRPr="00B740B4">
        <w:rPr>
          <w:rFonts w:ascii="Calibri" w:eastAsia="Times New Roman" w:hAnsi="Calibri" w:cs="Calibri"/>
          <w:noProof/>
        </w:rPr>
        <w:t>”</w:t>
      </w:r>
      <w:r w:rsidR="00C93CC0" w:rsidRPr="00B740B4">
        <w:rPr>
          <w:rFonts w:eastAsia="Times New Roman"/>
          <w:noProof/>
        </w:rPr>
        <w:t>; but the visions in Dan characteristically portray happening</w:t>
      </w:r>
      <w:r w:rsidR="00A43F2E" w:rsidRPr="00B740B4">
        <w:rPr>
          <w:rFonts w:eastAsia="Times New Roman"/>
          <w:noProof/>
        </w:rPr>
        <w:t xml:space="preserve">s rather than static scenes, which suggests that Nebuchadnezzar </w:t>
      </w:r>
      <w:r w:rsidR="00C93CC0" w:rsidRPr="00B740B4">
        <w:rPr>
          <w:rFonts w:eastAsia="Times New Roman"/>
          <w:noProof/>
        </w:rPr>
        <w:t>sees the tree growing.</w:t>
      </w:r>
    </w:p>
    <w:p w:rsidR="00C93CC0" w:rsidRPr="00B740B4" w:rsidRDefault="003F57D6" w:rsidP="00343D94">
      <w:pPr>
        <w:rPr>
          <w:rFonts w:eastAsia="Times New Roman"/>
          <w:noProof/>
        </w:rPr>
      </w:pPr>
      <w:r w:rsidRPr="00B740B4">
        <w:rPr>
          <w:rFonts w:eastAsia="Times New Roman"/>
          <w:noProof/>
        </w:rPr>
        <w:lastRenderedPageBreak/>
        <w:t>11</w:t>
      </w:r>
      <w:r w:rsidR="00E932DC" w:rsidRPr="00B740B4">
        <w:rPr>
          <w:rFonts w:eastAsia="Times New Roman"/>
          <w:noProof/>
        </w:rPr>
        <w:t>.b. See n. 5</w:t>
      </w:r>
      <w:r w:rsidR="00C93CC0" w:rsidRPr="00B740B4">
        <w:rPr>
          <w:rFonts w:eastAsia="Times New Roman"/>
          <w:noProof/>
        </w:rPr>
        <w:t>.a.</w:t>
      </w:r>
    </w:p>
    <w:p w:rsidR="00C93CC0" w:rsidRPr="00B740B4" w:rsidRDefault="003F57D6" w:rsidP="00343D94">
      <w:pPr>
        <w:rPr>
          <w:rFonts w:eastAsia="Times New Roman"/>
          <w:noProof/>
        </w:rPr>
      </w:pPr>
      <w:r w:rsidRPr="00B740B4">
        <w:rPr>
          <w:rFonts w:eastAsia="Times New Roman"/>
          <w:noProof/>
        </w:rPr>
        <w:t>11</w:t>
      </w:r>
      <w:r w:rsidR="00C93CC0" w:rsidRPr="00B740B4">
        <w:rPr>
          <w:rFonts w:eastAsia="Times New Roman"/>
          <w:noProof/>
        </w:rPr>
        <w:t xml:space="preserve">.c-c. </w:t>
      </w:r>
      <w:r w:rsidR="00C93CC0" w:rsidRPr="00B740B4">
        <w:rPr>
          <w:rFonts w:ascii="Arial" w:eastAsia="Times New Roman" w:hAnsi="Arial" w:cs="Arial"/>
          <w:noProof/>
        </w:rPr>
        <w:t>ל</w:t>
      </w:r>
      <w:r w:rsidR="00C93CC0" w:rsidRPr="00B740B4">
        <w:rPr>
          <w:rFonts w:eastAsia="Times New Roman"/>
          <w:noProof/>
        </w:rPr>
        <w:t xml:space="preserve"> </w:t>
      </w:r>
      <w:r w:rsidR="00E932DC" w:rsidRPr="00B740B4">
        <w:rPr>
          <w:rFonts w:ascii="Arial" w:eastAsia="Times New Roman" w:hAnsi="Arial" w:cs="Arial"/>
          <w:noProof/>
        </w:rPr>
        <w:t>וחזותה</w:t>
      </w:r>
      <w:r w:rsidR="00E932DC" w:rsidRPr="00B740B4">
        <w:rPr>
          <w:rFonts w:ascii="Calibri" w:eastAsia="Times New Roman" w:hAnsi="Calibri" w:cs="Calibri"/>
          <w:noProof/>
        </w:rPr>
        <w:t xml:space="preserve"> </w:t>
      </w:r>
      <w:r w:rsidR="00C93CC0" w:rsidRPr="00B740B4">
        <w:rPr>
          <w:rFonts w:ascii="Calibri" w:eastAsia="Times New Roman" w:hAnsi="Calibri" w:cs="Calibri"/>
          <w:noProof/>
        </w:rPr>
        <w:t>“</w:t>
      </w:r>
      <w:r w:rsidR="00C93CC0" w:rsidRPr="00B740B4">
        <w:rPr>
          <w:rFonts w:eastAsia="Times New Roman"/>
          <w:noProof/>
        </w:rPr>
        <w:t>and its appearance t</w:t>
      </w:r>
      <w:r w:rsidR="006F057C" w:rsidRPr="00B740B4">
        <w:rPr>
          <w:rFonts w:eastAsia="Times New Roman"/>
          <w:noProof/>
        </w:rPr>
        <w:t>o”: cf. the phrase in 7:20 and the note</w:t>
      </w:r>
      <w:r w:rsidR="00C93CC0" w:rsidRPr="00B740B4">
        <w:rPr>
          <w:rFonts w:eastAsia="Times New Roman"/>
          <w:noProof/>
        </w:rPr>
        <w:t>.</w:t>
      </w:r>
    </w:p>
    <w:p w:rsidR="00C93CC0" w:rsidRPr="00B740B4" w:rsidRDefault="003F57D6" w:rsidP="00343D94">
      <w:pPr>
        <w:rPr>
          <w:rFonts w:eastAsia="Times New Roman"/>
          <w:noProof/>
        </w:rPr>
      </w:pPr>
      <w:r w:rsidRPr="00B740B4">
        <w:rPr>
          <w:rFonts w:eastAsia="Times New Roman"/>
          <w:noProof/>
        </w:rPr>
        <w:t>12</w:t>
      </w:r>
      <w:r w:rsidR="00C93CC0" w:rsidRPr="00B740B4">
        <w:rPr>
          <w:rFonts w:eastAsia="Times New Roman"/>
          <w:noProof/>
        </w:rPr>
        <w:t xml:space="preserve">.a. MT by its maqqeph links </w:t>
      </w:r>
      <w:r w:rsidR="00C93CC0" w:rsidRPr="00B740B4">
        <w:rPr>
          <w:rFonts w:ascii="Arial" w:eastAsia="Times New Roman" w:hAnsi="Arial" w:cs="Arial"/>
          <w:noProof/>
        </w:rPr>
        <w:t>בה</w:t>
      </w:r>
      <w:r w:rsidR="00C93CC0" w:rsidRPr="00B740B4">
        <w:rPr>
          <w:rFonts w:eastAsia="Times New Roman"/>
          <w:noProof/>
        </w:rPr>
        <w:t xml:space="preserve"> </w:t>
      </w:r>
      <w:r w:rsidR="00E932DC" w:rsidRPr="00B740B4">
        <w:rPr>
          <w:rFonts w:ascii="Arial" w:eastAsia="Times New Roman" w:hAnsi="Arial" w:cs="Arial"/>
          <w:noProof/>
        </w:rPr>
        <w:t>לכלא</w:t>
      </w:r>
      <w:r w:rsidR="00E932DC" w:rsidRPr="00B740B4">
        <w:rPr>
          <w:rFonts w:ascii="Calibri" w:eastAsia="Times New Roman" w:hAnsi="Calibri" w:cs="Calibri"/>
          <w:noProof/>
        </w:rPr>
        <w:t xml:space="preserve"> </w:t>
      </w:r>
      <w:r w:rsidR="00C93CC0" w:rsidRPr="00B740B4">
        <w:rPr>
          <w:rFonts w:ascii="Calibri" w:eastAsia="Times New Roman" w:hAnsi="Calibri" w:cs="Calibri"/>
          <w:noProof/>
        </w:rPr>
        <w:t>“</w:t>
      </w:r>
      <w:r w:rsidR="00C93CC0" w:rsidRPr="00B740B4">
        <w:rPr>
          <w:rFonts w:eastAsia="Times New Roman"/>
          <w:noProof/>
        </w:rPr>
        <w:t>for all [who live] in it</w:t>
      </w:r>
      <w:r w:rsidR="00C93CC0" w:rsidRPr="00B740B4">
        <w:rPr>
          <w:rFonts w:ascii="Calibri" w:eastAsia="Times New Roman" w:hAnsi="Calibri" w:cs="Calibri"/>
          <w:noProof/>
        </w:rPr>
        <w:t>”</w:t>
      </w:r>
      <w:r w:rsidR="00C93CC0" w:rsidRPr="00B740B4">
        <w:rPr>
          <w:rFonts w:eastAsia="Times New Roman"/>
          <w:noProof/>
        </w:rPr>
        <w:t xml:space="preserve"> (cf.Keil); more likely</w:t>
      </w:r>
      <w:r w:rsidR="007C6EFE">
        <w:rPr>
          <w:rFonts w:eastAsia="Times New Roman"/>
          <w:noProof/>
        </w:rPr>
        <w:t xml:space="preserve"> </w:t>
      </w:r>
      <w:r w:rsidR="007C6EFE" w:rsidRPr="007C6EFE">
        <w:rPr>
          <w:rFonts w:ascii="Arial" w:eastAsia="Times New Roman" w:hAnsi="Arial" w:cs="Arial"/>
          <w:noProof/>
        </w:rPr>
        <w:t>ה</w:t>
      </w:r>
      <w:r w:rsidR="00C93CC0" w:rsidRPr="00B740B4">
        <w:rPr>
          <w:rFonts w:eastAsia="Times New Roman"/>
          <w:noProof/>
        </w:rPr>
        <w:t xml:space="preserve"> </w:t>
      </w:r>
      <w:r w:rsidR="00C93CC0" w:rsidRPr="00B740B4">
        <w:rPr>
          <w:rFonts w:ascii="Arial" w:eastAsia="Times New Roman" w:hAnsi="Arial" w:cs="Arial"/>
          <w:noProof/>
        </w:rPr>
        <w:t>ב</w:t>
      </w:r>
      <w:r w:rsidR="007C6EFE">
        <w:rPr>
          <w:rFonts w:ascii="Arial" w:eastAsia="Times New Roman" w:hAnsi="Arial" w:cs="Arial"/>
          <w:noProof/>
        </w:rPr>
        <w:t xml:space="preserve"> </w:t>
      </w:r>
      <w:r w:rsidR="00C93CC0" w:rsidRPr="00B740B4">
        <w:rPr>
          <w:rFonts w:eastAsia="Times New Roman"/>
          <w:noProof/>
        </w:rPr>
        <w:t xml:space="preserve">links with </w:t>
      </w:r>
      <w:r w:rsidR="00C93CC0" w:rsidRPr="00B740B4">
        <w:rPr>
          <w:rFonts w:ascii="Arial" w:eastAsia="Times New Roman" w:hAnsi="Arial" w:cs="Arial"/>
          <w:noProof/>
        </w:rPr>
        <w:t>מזון</w:t>
      </w:r>
      <w:r w:rsidR="00C93CC0" w:rsidRPr="00B740B4">
        <w:rPr>
          <w:rFonts w:eastAsia="Times New Roman"/>
          <w:noProof/>
        </w:rPr>
        <w:t xml:space="preserve"> </w:t>
      </w:r>
      <w:r w:rsidR="00C93CC0" w:rsidRPr="00B740B4">
        <w:rPr>
          <w:rFonts w:ascii="Calibri" w:eastAsia="Times New Roman" w:hAnsi="Calibri" w:cs="Calibri"/>
          <w:noProof/>
        </w:rPr>
        <w:t>“</w:t>
      </w:r>
      <w:r w:rsidR="00C93CC0" w:rsidRPr="00B740B4">
        <w:rPr>
          <w:rFonts w:eastAsia="Times New Roman"/>
          <w:noProof/>
        </w:rPr>
        <w:t>food</w:t>
      </w:r>
      <w:r w:rsidR="00C93CC0" w:rsidRPr="00B740B4">
        <w:rPr>
          <w:rFonts w:ascii="Calibri" w:eastAsia="Times New Roman" w:hAnsi="Calibri" w:cs="Calibri"/>
          <w:noProof/>
        </w:rPr>
        <w:t> </w:t>
      </w:r>
      <w:r w:rsidR="00C93CC0" w:rsidRPr="00B740B4">
        <w:rPr>
          <w:rFonts w:eastAsia="Times New Roman"/>
          <w:noProof/>
        </w:rPr>
        <w:t>.</w:t>
      </w:r>
      <w:r w:rsidR="00C93CC0" w:rsidRPr="00B740B4">
        <w:rPr>
          <w:rFonts w:ascii="Calibri" w:eastAsia="Times New Roman" w:hAnsi="Calibri" w:cs="Calibri"/>
          <w:noProof/>
        </w:rPr>
        <w:t> </w:t>
      </w:r>
      <w:r w:rsidR="00C93CC0" w:rsidRPr="00B740B4">
        <w:rPr>
          <w:rFonts w:eastAsia="Times New Roman"/>
          <w:noProof/>
        </w:rPr>
        <w:t>.</w:t>
      </w:r>
      <w:r w:rsidR="00C93CC0" w:rsidRPr="00B740B4">
        <w:rPr>
          <w:rFonts w:ascii="Calibri" w:eastAsia="Times New Roman" w:hAnsi="Calibri" w:cs="Calibri"/>
          <w:noProof/>
        </w:rPr>
        <w:t> </w:t>
      </w:r>
      <w:r w:rsidR="00C93CC0" w:rsidRPr="00B740B4">
        <w:rPr>
          <w:rFonts w:eastAsia="Times New Roman"/>
          <w:noProof/>
        </w:rPr>
        <w:t>. in it</w:t>
      </w:r>
      <w:r w:rsidR="00C93CC0" w:rsidRPr="00B740B4">
        <w:rPr>
          <w:rFonts w:ascii="Calibri" w:eastAsia="Times New Roman" w:hAnsi="Calibri" w:cs="Calibri"/>
          <w:noProof/>
        </w:rPr>
        <w:t>”</w:t>
      </w:r>
      <w:r w:rsidR="00E932DC" w:rsidRPr="00B740B4">
        <w:rPr>
          <w:rFonts w:eastAsia="Times New Roman"/>
          <w:noProof/>
        </w:rPr>
        <w:t xml:space="preserve"> (cf. </w:t>
      </w:r>
      <w:r w:rsidR="000F6526" w:rsidRPr="00B740B4">
        <w:rPr>
          <w:rFonts w:eastAsia="Times New Roman"/>
          <w:noProof/>
        </w:rPr>
        <w:t>G</w:t>
      </w:r>
      <w:r w:rsidR="006F057C" w:rsidRPr="00B740B4">
        <w:rPr>
          <w:rFonts w:eastAsia="Times New Roman"/>
          <w:noProof/>
        </w:rPr>
        <w:t xml:space="preserve">, </w:t>
      </w:r>
      <w:r w:rsidR="00132DE2" w:rsidRPr="00B740B4">
        <w:rPr>
          <w:rFonts w:eastAsia="Times New Roman"/>
          <w:noProof/>
        </w:rPr>
        <w:t xml:space="preserve">Vg, </w:t>
      </w:r>
      <w:r w:rsidR="00E932DC" w:rsidRPr="00B740B4">
        <w:rPr>
          <w:rFonts w:eastAsia="Times New Roman"/>
          <w:noProof/>
        </w:rPr>
        <w:t>Syr</w:t>
      </w:r>
      <w:r w:rsidR="00C93CC0" w:rsidRPr="00B740B4">
        <w:rPr>
          <w:rFonts w:eastAsia="Times New Roman"/>
          <w:noProof/>
        </w:rPr>
        <w:t>).</w:t>
      </w:r>
    </w:p>
    <w:p w:rsidR="00C93CC0" w:rsidRPr="00B740B4" w:rsidRDefault="003F57D6" w:rsidP="00343D94">
      <w:pPr>
        <w:rPr>
          <w:rFonts w:eastAsia="Times New Roman"/>
          <w:noProof/>
        </w:rPr>
      </w:pPr>
      <w:r w:rsidRPr="00B740B4">
        <w:rPr>
          <w:rFonts w:eastAsia="Times New Roman"/>
          <w:noProof/>
        </w:rPr>
        <w:t>13</w:t>
      </w:r>
      <w:r w:rsidR="00C93CC0" w:rsidRPr="00B740B4">
        <w:rPr>
          <w:rFonts w:eastAsia="Times New Roman"/>
          <w:noProof/>
        </w:rPr>
        <w:t xml:space="preserve">.a. </w:t>
      </w:r>
      <w:r w:rsidR="00C93CC0" w:rsidRPr="00B740B4">
        <w:rPr>
          <w:rFonts w:ascii="Arial" w:eastAsia="Times New Roman" w:hAnsi="Arial" w:cs="Arial"/>
          <w:noProof/>
        </w:rPr>
        <w:t>עיר</w:t>
      </w:r>
      <w:r w:rsidR="00C93CC0" w:rsidRPr="00B740B4">
        <w:rPr>
          <w:rFonts w:eastAsia="Times New Roman"/>
          <w:noProof/>
        </w:rPr>
        <w:t xml:space="preserve">, perhaps </w:t>
      </w:r>
      <w:r w:rsidR="00C93CC0" w:rsidRPr="00B740B4">
        <w:rPr>
          <w:rFonts w:ascii="Calibri" w:eastAsia="Times New Roman" w:hAnsi="Calibri" w:cs="Calibri"/>
          <w:noProof/>
        </w:rPr>
        <w:t>“</w:t>
      </w:r>
      <w:r w:rsidR="00C93CC0" w:rsidRPr="00B740B4">
        <w:rPr>
          <w:rFonts w:eastAsia="Times New Roman"/>
          <w:noProof/>
        </w:rPr>
        <w:t>protector</w:t>
      </w:r>
      <w:r w:rsidR="00C93CC0" w:rsidRPr="00B740B4">
        <w:rPr>
          <w:rFonts w:ascii="Calibri" w:eastAsia="Times New Roman" w:hAnsi="Calibri" w:cs="Calibri"/>
          <w:noProof/>
        </w:rPr>
        <w:t>”</w:t>
      </w:r>
      <w:r w:rsidR="00E932DC" w:rsidRPr="00B740B4">
        <w:rPr>
          <w:rFonts w:eastAsia="Times New Roman"/>
          <w:noProof/>
        </w:rPr>
        <w:t xml:space="preserve"> (see </w:t>
      </w:r>
      <w:r w:rsidR="00C93CC0" w:rsidRPr="00B740B4">
        <w:rPr>
          <w:rFonts w:eastAsia="Times New Roman"/>
          <w:noProof/>
        </w:rPr>
        <w:t xml:space="preserve">Murray, </w:t>
      </w:r>
      <w:r w:rsidR="00C93CC0" w:rsidRPr="00B740B4">
        <w:rPr>
          <w:rFonts w:ascii="Calibri" w:eastAsia="Times New Roman" w:hAnsi="Calibri" w:cs="Calibri"/>
          <w:noProof/>
        </w:rPr>
        <w:t>“</w:t>
      </w:r>
      <w:r w:rsidR="00C93CC0" w:rsidRPr="00B740B4">
        <w:rPr>
          <w:rFonts w:eastAsia="Times New Roman"/>
          <w:noProof/>
        </w:rPr>
        <w:t xml:space="preserve">The Origin of Aramaic </w:t>
      </w:r>
      <w:r w:rsidR="00E932DC" w:rsidRPr="00B740B4">
        <w:rPr>
          <w:rFonts w:eastAsia="MS Mincho"/>
          <w:i/>
          <w:noProof/>
        </w:rPr>
        <w:t>‘</w:t>
      </w:r>
      <w:r w:rsidR="00C93CC0" w:rsidRPr="00B740B4">
        <w:rPr>
          <w:rFonts w:eastAsia="MS Mincho"/>
          <w:i/>
          <w:noProof/>
        </w:rPr>
        <w:t>îr</w:t>
      </w:r>
      <w:r w:rsidR="00E932DC" w:rsidRPr="00B740B4">
        <w:rPr>
          <w:rFonts w:eastAsia="MS Mincho"/>
          <w:i/>
          <w:noProof/>
        </w:rPr>
        <w:t>,</w:t>
      </w:r>
      <w:r w:rsidR="00E932DC" w:rsidRPr="00B740B4">
        <w:rPr>
          <w:rFonts w:eastAsia="Times New Roman"/>
          <w:noProof/>
        </w:rPr>
        <w:t>”</w:t>
      </w:r>
      <w:r w:rsidR="00C93CC0" w:rsidRPr="00B740B4">
        <w:rPr>
          <w:rFonts w:eastAsia="Times New Roman"/>
          <w:noProof/>
        </w:rPr>
        <w:t>), though this nuance does not</w:t>
      </w:r>
      <w:r w:rsidR="0085584B">
        <w:rPr>
          <w:rFonts w:eastAsia="Times New Roman"/>
          <w:noProof/>
        </w:rPr>
        <w:t xml:space="preserve"> esp. fit the context. R</w:t>
      </w:r>
      <w:r w:rsidR="00C93CC0" w:rsidRPr="00B740B4">
        <w:rPr>
          <w:rFonts w:eastAsia="Times New Roman"/>
          <w:noProof/>
        </w:rPr>
        <w:t xml:space="preserve">ather cf. BH </w:t>
      </w:r>
      <w:r w:rsidR="00C93CC0" w:rsidRPr="00B740B4">
        <w:rPr>
          <w:rFonts w:ascii="Arial" w:eastAsia="Times New Roman" w:hAnsi="Arial" w:cs="Arial"/>
          <w:noProof/>
        </w:rPr>
        <w:t>ציר</w:t>
      </w:r>
      <w:r w:rsidR="00C93CC0" w:rsidRPr="00B740B4">
        <w:rPr>
          <w:rFonts w:eastAsia="Times New Roman"/>
          <w:noProof/>
        </w:rPr>
        <w:t xml:space="preserve"> </w:t>
      </w:r>
      <w:r w:rsidR="00C93CC0" w:rsidRPr="00B740B4">
        <w:rPr>
          <w:rFonts w:ascii="Calibri" w:eastAsia="Times New Roman" w:hAnsi="Calibri" w:cs="Calibri"/>
          <w:noProof/>
        </w:rPr>
        <w:t>“</w:t>
      </w:r>
      <w:r w:rsidR="00C93CC0" w:rsidRPr="00B740B4">
        <w:rPr>
          <w:rFonts w:eastAsia="Times New Roman"/>
          <w:noProof/>
        </w:rPr>
        <w:t>envoy</w:t>
      </w:r>
      <w:r w:rsidR="00C93CC0" w:rsidRPr="00B740B4">
        <w:rPr>
          <w:rFonts w:ascii="Calibri" w:eastAsia="Times New Roman" w:hAnsi="Calibri" w:cs="Calibri"/>
          <w:noProof/>
        </w:rPr>
        <w:t>”</w:t>
      </w:r>
      <w:r w:rsidR="006B6679" w:rsidRPr="00B740B4">
        <w:rPr>
          <w:rFonts w:eastAsia="Times New Roman"/>
          <w:noProof/>
        </w:rPr>
        <w:t xml:space="preserve"> (</w:t>
      </w:r>
      <w:r w:rsidR="00C93CC0" w:rsidRPr="00B740B4">
        <w:rPr>
          <w:rFonts w:eastAsia="Times New Roman"/>
          <w:noProof/>
        </w:rPr>
        <w:t xml:space="preserve">van Selms, </w:t>
      </w:r>
      <w:r w:rsidR="00C93CC0" w:rsidRPr="00B740B4">
        <w:rPr>
          <w:rFonts w:ascii="Calibri" w:eastAsia="Times New Roman" w:hAnsi="Calibri" w:cs="Calibri"/>
          <w:noProof/>
        </w:rPr>
        <w:t>“</w:t>
      </w:r>
      <w:r w:rsidR="00C93CC0" w:rsidRPr="00B740B4">
        <w:rPr>
          <w:rFonts w:eastAsia="Times New Roman"/>
          <w:noProof/>
        </w:rPr>
        <w:t xml:space="preserve">The Expression </w:t>
      </w:r>
      <w:r w:rsidR="00C93CC0" w:rsidRPr="00B740B4">
        <w:rPr>
          <w:rFonts w:ascii="Calibri" w:eastAsia="Times New Roman" w:hAnsi="Calibri" w:cs="Calibri"/>
          <w:noProof/>
        </w:rPr>
        <w:t>‘</w:t>
      </w:r>
      <w:r w:rsidR="00C93CC0" w:rsidRPr="00B740B4">
        <w:rPr>
          <w:rFonts w:eastAsia="Times New Roman"/>
          <w:noProof/>
        </w:rPr>
        <w:t>the Holy One of Israel,</w:t>
      </w:r>
      <w:r w:rsidR="00C93CC0" w:rsidRPr="00B740B4">
        <w:rPr>
          <w:rFonts w:ascii="Calibri" w:eastAsia="Times New Roman" w:hAnsi="Calibri" w:cs="Calibri"/>
          <w:noProof/>
        </w:rPr>
        <w:t>’”</w:t>
      </w:r>
      <w:r w:rsidR="00C93CC0" w:rsidRPr="00B740B4">
        <w:rPr>
          <w:rFonts w:eastAsia="Times New Roman"/>
          <w:noProof/>
        </w:rPr>
        <w:t xml:space="preserve"> 265).</w:t>
      </w:r>
    </w:p>
    <w:p w:rsidR="00C93CC0" w:rsidRDefault="003F57D6" w:rsidP="00343D94">
      <w:pPr>
        <w:rPr>
          <w:rFonts w:eastAsia="Times New Roman"/>
          <w:noProof/>
        </w:rPr>
      </w:pPr>
      <w:r w:rsidRPr="00B740B4">
        <w:rPr>
          <w:rFonts w:eastAsia="Times New Roman"/>
          <w:noProof/>
        </w:rPr>
        <w:t>13</w:t>
      </w:r>
      <w:r w:rsidR="00C93CC0" w:rsidRPr="00B740B4">
        <w:rPr>
          <w:rFonts w:eastAsia="Times New Roman"/>
          <w:noProof/>
        </w:rPr>
        <w:t xml:space="preserve">.b. </w:t>
      </w:r>
      <w:r w:rsidR="00C93CC0" w:rsidRPr="00B740B4">
        <w:rPr>
          <w:rFonts w:ascii="Arial" w:eastAsia="Times New Roman" w:hAnsi="Arial" w:cs="Arial"/>
          <w:noProof/>
        </w:rPr>
        <w:t>קדישין</w:t>
      </w:r>
      <w:r w:rsidR="00C93CC0" w:rsidRPr="00B740B4">
        <w:rPr>
          <w:rFonts w:eastAsia="Times New Roman"/>
          <w:noProof/>
        </w:rPr>
        <w:t xml:space="preserve"> are heavenly beings subordin</w:t>
      </w:r>
      <w:r w:rsidR="006B6679" w:rsidRPr="00B740B4">
        <w:rPr>
          <w:rFonts w:eastAsia="Times New Roman"/>
          <w:noProof/>
        </w:rPr>
        <w:t>ate to God (van Selms [see n. 13</w:t>
      </w:r>
      <w:r w:rsidR="00132DE2" w:rsidRPr="00B740B4">
        <w:rPr>
          <w:rFonts w:eastAsia="Times New Roman"/>
          <w:noProof/>
        </w:rPr>
        <w:t xml:space="preserve">.a]; </w:t>
      </w:r>
      <w:r w:rsidR="00C93CC0" w:rsidRPr="00B740B4">
        <w:rPr>
          <w:rFonts w:eastAsia="Times New Roman"/>
          <w:noProof/>
        </w:rPr>
        <w:t>cf. Ps 89:</w:t>
      </w:r>
      <w:r w:rsidR="006B6679" w:rsidRPr="00B740B4">
        <w:rPr>
          <w:rFonts w:eastAsia="Times New Roman"/>
          <w:noProof/>
        </w:rPr>
        <w:t>5-7 [6–8</w:t>
      </w:r>
      <w:r w:rsidR="00C93CC0" w:rsidRPr="00B740B4">
        <w:rPr>
          <w:rFonts w:eastAsia="Times New Roman"/>
          <w:noProof/>
        </w:rPr>
        <w:t xml:space="preserve">]). The term does not suggest </w:t>
      </w:r>
      <w:r w:rsidR="0085584B">
        <w:rPr>
          <w:rFonts w:eastAsia="Times New Roman"/>
          <w:noProof/>
        </w:rPr>
        <w:t>beings that are holy</w:t>
      </w:r>
      <w:r w:rsidR="00C93CC0" w:rsidRPr="00B740B4">
        <w:rPr>
          <w:rFonts w:eastAsia="Times New Roman"/>
          <w:noProof/>
        </w:rPr>
        <w:t xml:space="preserve"> in the moral sense but </w:t>
      </w:r>
      <w:r w:rsidR="006B6679" w:rsidRPr="00B740B4">
        <w:rPr>
          <w:rFonts w:eastAsia="Times New Roman"/>
          <w:noProof/>
        </w:rPr>
        <w:t>beings that belong</w:t>
      </w:r>
      <w:r w:rsidR="00C93CC0" w:rsidRPr="00B740B4">
        <w:rPr>
          <w:rFonts w:eastAsia="Times New Roman"/>
          <w:noProof/>
        </w:rPr>
        <w:t xml:space="preserve"> to the supernatural realm. The </w:t>
      </w:r>
      <w:r w:rsidR="00C93CC0" w:rsidRPr="00B740B4">
        <w:rPr>
          <w:rFonts w:ascii="Arial" w:eastAsia="Times New Roman" w:hAnsi="Arial" w:cs="Arial"/>
          <w:noProof/>
        </w:rPr>
        <w:t>ו</w:t>
      </w:r>
      <w:r w:rsidR="00C93CC0" w:rsidRPr="00B740B4">
        <w:rPr>
          <w:rFonts w:eastAsia="Times New Roman"/>
          <w:noProof/>
        </w:rPr>
        <w:t xml:space="preserve"> is explicative (n. 6:</w:t>
      </w:r>
      <w:r w:rsidR="0085584B">
        <w:rPr>
          <w:rFonts w:eastAsia="Times New Roman"/>
          <w:noProof/>
        </w:rPr>
        <w:t>28</w:t>
      </w:r>
      <w:r w:rsidR="00C93CC0" w:rsidRPr="00B740B4">
        <w:rPr>
          <w:rFonts w:eastAsia="Times New Roman"/>
          <w:noProof/>
        </w:rPr>
        <w:t>.a).</w:t>
      </w:r>
    </w:p>
    <w:p w:rsidR="00D84929" w:rsidRPr="00D84929" w:rsidRDefault="00D84929" w:rsidP="00343D94">
      <w:pPr>
        <w:rPr>
          <w:rFonts w:eastAsia="Times New Roman"/>
          <w:noProof/>
        </w:rPr>
      </w:pPr>
      <w:r>
        <w:rPr>
          <w:rFonts w:eastAsia="Times New Roman"/>
          <w:noProof/>
        </w:rPr>
        <w:t>14.a. I follow Li (</w:t>
      </w:r>
      <w:r w:rsidRPr="00D84929">
        <w:rPr>
          <w:rFonts w:eastAsia="Times New Roman"/>
          <w:i/>
          <w:noProof/>
        </w:rPr>
        <w:t>Verbal System</w:t>
      </w:r>
      <w:r>
        <w:rPr>
          <w:rFonts w:eastAsia="Times New Roman"/>
          <w:noProof/>
        </w:rPr>
        <w:t>, 47) in translating the participles.</w:t>
      </w:r>
    </w:p>
    <w:p w:rsidR="00C93CC0" w:rsidRPr="00B740B4" w:rsidRDefault="003F57D6" w:rsidP="00343D94">
      <w:pPr>
        <w:rPr>
          <w:rFonts w:eastAsia="Times New Roman"/>
          <w:noProof/>
        </w:rPr>
      </w:pPr>
      <w:r w:rsidRPr="00B740B4">
        <w:rPr>
          <w:rFonts w:eastAsia="Times New Roman"/>
          <w:noProof/>
        </w:rPr>
        <w:t>15</w:t>
      </w:r>
      <w:r w:rsidR="00C93CC0" w:rsidRPr="00B740B4">
        <w:rPr>
          <w:rFonts w:eastAsia="Times New Roman"/>
          <w:noProof/>
        </w:rPr>
        <w:t xml:space="preserve">.a-a. </w:t>
      </w:r>
      <w:r w:rsidR="008F4970" w:rsidRPr="00B740B4">
        <w:rPr>
          <w:rFonts w:eastAsia="Times New Roman"/>
          <w:noProof/>
        </w:rPr>
        <w:t xml:space="preserve">For </w:t>
      </w:r>
      <w:r w:rsidR="00C93CC0" w:rsidRPr="00B740B4">
        <w:rPr>
          <w:rFonts w:ascii="Arial" w:eastAsia="Times New Roman" w:hAnsi="Arial" w:cs="Arial"/>
          <w:noProof/>
        </w:rPr>
        <w:t>שרשוהי</w:t>
      </w:r>
      <w:r w:rsidR="00C93CC0" w:rsidRPr="00B740B4">
        <w:rPr>
          <w:rFonts w:eastAsia="Times New Roman"/>
          <w:noProof/>
        </w:rPr>
        <w:t xml:space="preserve"> </w:t>
      </w:r>
      <w:r w:rsidR="002C7E92" w:rsidRPr="00B740B4">
        <w:rPr>
          <w:rFonts w:eastAsia="Times New Roman"/>
          <w:noProof/>
        </w:rPr>
        <w:t xml:space="preserve"> </w:t>
      </w:r>
      <w:r w:rsidR="00F20527" w:rsidRPr="00B740B4">
        <w:rPr>
          <w:rFonts w:ascii="Arial" w:eastAsia="Times New Roman" w:hAnsi="Arial" w:cs="Arial"/>
          <w:noProof/>
        </w:rPr>
        <w:t>עקר</w:t>
      </w:r>
      <w:r w:rsidR="008F4970" w:rsidRPr="00B740B4">
        <w:rPr>
          <w:rFonts w:ascii="Arial" w:eastAsia="Times New Roman" w:hAnsi="Arial" w:cs="Arial"/>
          <w:noProof/>
        </w:rPr>
        <w:t>,</w:t>
      </w:r>
      <w:r w:rsidR="00F20527" w:rsidRPr="00B740B4">
        <w:rPr>
          <w:rFonts w:eastAsia="Times New Roman"/>
          <w:noProof/>
        </w:rPr>
        <w:t xml:space="preserve"> </w:t>
      </w:r>
      <w:r w:rsidR="008F4970" w:rsidRPr="00B740B4">
        <w:rPr>
          <w:rFonts w:eastAsia="Times New Roman"/>
          <w:noProof/>
        </w:rPr>
        <w:t>BDB implies that both words mean “root” (</w:t>
      </w:r>
      <w:r w:rsidR="0017649B">
        <w:rPr>
          <w:rFonts w:eastAsia="Times New Roman"/>
          <w:noProof/>
        </w:rPr>
        <w:t>OG</w:t>
      </w:r>
      <w:r w:rsidR="005D76BC" w:rsidRPr="00B740B4">
        <w:rPr>
          <w:rFonts w:eastAsia="Times New Roman"/>
          <w:noProof/>
        </w:rPr>
        <w:t xml:space="preserve"> omit</w:t>
      </w:r>
      <w:r w:rsidR="0017649B">
        <w:rPr>
          <w:rFonts w:eastAsia="Times New Roman"/>
          <w:noProof/>
        </w:rPr>
        <w:t>s</w:t>
      </w:r>
      <w:r w:rsidR="005D76BC" w:rsidRPr="00B740B4">
        <w:rPr>
          <w:rFonts w:eastAsia="Times New Roman"/>
          <w:noProof/>
        </w:rPr>
        <w:t xml:space="preserve"> the first); the </w:t>
      </w:r>
      <w:r w:rsidR="00C93CC0" w:rsidRPr="00B740B4">
        <w:rPr>
          <w:rFonts w:eastAsia="Times New Roman"/>
          <w:noProof/>
        </w:rPr>
        <w:t>co</w:t>
      </w:r>
      <w:r w:rsidR="008F4970" w:rsidRPr="00B740B4">
        <w:rPr>
          <w:rFonts w:eastAsia="Times New Roman"/>
          <w:noProof/>
        </w:rPr>
        <w:t xml:space="preserve">mbination </w:t>
      </w:r>
      <w:r w:rsidR="005D76BC" w:rsidRPr="00B740B4">
        <w:rPr>
          <w:rFonts w:eastAsia="Times New Roman"/>
          <w:noProof/>
        </w:rPr>
        <w:t xml:space="preserve">then </w:t>
      </w:r>
      <w:r w:rsidR="008F4970" w:rsidRPr="00B740B4">
        <w:rPr>
          <w:rFonts w:eastAsia="Times New Roman"/>
          <w:noProof/>
        </w:rPr>
        <w:t xml:space="preserve">conveys emphasis (cf. Common English Bible “its deepest root”). But </w:t>
      </w:r>
      <w:r w:rsidR="008F4970" w:rsidRPr="00B740B4">
        <w:rPr>
          <w:rFonts w:ascii="Arial" w:eastAsia="Times New Roman" w:hAnsi="Arial" w:cs="Arial"/>
          <w:noProof/>
        </w:rPr>
        <w:t>עקר</w:t>
      </w:r>
      <w:r w:rsidR="008F4970" w:rsidRPr="00B740B4">
        <w:rPr>
          <w:rFonts w:eastAsia="Times New Roman"/>
          <w:noProof/>
        </w:rPr>
        <w:t xml:space="preserve"> can suggest </w:t>
      </w:r>
      <w:r w:rsidR="002C7E92" w:rsidRPr="00B740B4">
        <w:rPr>
          <w:rFonts w:eastAsia="Times New Roman"/>
          <w:noProof/>
        </w:rPr>
        <w:t>“</w:t>
      </w:r>
      <w:r w:rsidR="008F4970" w:rsidRPr="00B740B4">
        <w:rPr>
          <w:rFonts w:eastAsia="Times New Roman"/>
          <w:noProof/>
        </w:rPr>
        <w:t>descendant</w:t>
      </w:r>
      <w:r w:rsidR="002C7E92" w:rsidRPr="00B740B4">
        <w:rPr>
          <w:rFonts w:eastAsia="Times New Roman"/>
          <w:noProof/>
        </w:rPr>
        <w:t>”</w:t>
      </w:r>
      <w:r w:rsidR="008F4970" w:rsidRPr="00B740B4">
        <w:rPr>
          <w:rFonts w:eastAsia="Times New Roman"/>
          <w:noProof/>
        </w:rPr>
        <w:t xml:space="preserve"> and it makes better sens</w:t>
      </w:r>
      <w:r w:rsidR="005D76BC" w:rsidRPr="00B740B4">
        <w:rPr>
          <w:rFonts w:eastAsia="Times New Roman"/>
          <w:noProof/>
        </w:rPr>
        <w:t>e to take it to denote the stock which grows up from the root</w:t>
      </w:r>
      <w:r w:rsidR="008F4970" w:rsidRPr="00B740B4">
        <w:rPr>
          <w:rFonts w:eastAsia="Times New Roman"/>
          <w:noProof/>
        </w:rPr>
        <w:t xml:space="preserve">, which as such can be fettered (cf. </w:t>
      </w:r>
      <w:r w:rsidR="00EB39D0" w:rsidRPr="00B740B4">
        <w:rPr>
          <w:rFonts w:eastAsia="Times New Roman"/>
          <w:noProof/>
        </w:rPr>
        <w:t xml:space="preserve">Th; </w:t>
      </w:r>
      <w:r w:rsidR="008F4970" w:rsidRPr="00B740B4">
        <w:rPr>
          <w:rFonts w:eastAsia="Times New Roman"/>
          <w:noProof/>
        </w:rPr>
        <w:t xml:space="preserve">Koch, </w:t>
      </w:r>
      <w:r w:rsidR="008F4970" w:rsidRPr="00B740B4">
        <w:rPr>
          <w:rFonts w:eastAsia="Times New Roman"/>
          <w:i/>
          <w:noProof/>
        </w:rPr>
        <w:t>Daniel 1—4</w:t>
      </w:r>
      <w:r w:rsidR="008F4970" w:rsidRPr="00B740B4">
        <w:rPr>
          <w:rFonts w:eastAsia="Times New Roman"/>
          <w:noProof/>
        </w:rPr>
        <w:t>).</w:t>
      </w:r>
    </w:p>
    <w:p w:rsidR="00C93CC0" w:rsidRPr="00B740B4" w:rsidRDefault="003F57D6" w:rsidP="00343D94">
      <w:pPr>
        <w:rPr>
          <w:rFonts w:eastAsia="Times New Roman"/>
          <w:noProof/>
        </w:rPr>
      </w:pPr>
      <w:r w:rsidRPr="00B740B4">
        <w:rPr>
          <w:rFonts w:eastAsia="Times New Roman"/>
          <w:noProof/>
        </w:rPr>
        <w:t>15</w:t>
      </w:r>
      <w:r w:rsidR="00C93CC0" w:rsidRPr="00B740B4">
        <w:rPr>
          <w:rFonts w:eastAsia="Times New Roman"/>
          <w:noProof/>
        </w:rPr>
        <w:t xml:space="preserve">.b. See </w:t>
      </w:r>
      <w:r w:rsidR="0085584B">
        <w:rPr>
          <w:rFonts w:eastAsia="Times New Roman"/>
          <w:i/>
          <w:noProof/>
        </w:rPr>
        <w:t>Comment: t</w:t>
      </w:r>
      <w:r w:rsidR="00C93CC0" w:rsidRPr="00B740B4">
        <w:rPr>
          <w:rFonts w:eastAsia="Times New Roman"/>
          <w:noProof/>
        </w:rPr>
        <w:t>he vision’s reference to a man becomes cle</w:t>
      </w:r>
      <w:r w:rsidR="00F20527" w:rsidRPr="00B740B4">
        <w:rPr>
          <w:rFonts w:eastAsia="Times New Roman"/>
          <w:noProof/>
        </w:rPr>
        <w:t>arer during the course of v 15</w:t>
      </w:r>
      <w:r w:rsidR="00C93CC0" w:rsidRPr="00B740B4">
        <w:rPr>
          <w:rFonts w:eastAsia="Times New Roman"/>
          <w:noProof/>
        </w:rPr>
        <w:t>; lacking a neuter gender, Hebrew can retain a semblanc</w:t>
      </w:r>
      <w:r w:rsidR="0085584B">
        <w:rPr>
          <w:rFonts w:eastAsia="Times New Roman"/>
          <w:noProof/>
        </w:rPr>
        <w:t>e of ambiguity as it uses</w:t>
      </w:r>
      <w:r w:rsidR="00C93CC0" w:rsidRPr="00B740B4">
        <w:rPr>
          <w:rFonts w:eastAsia="Times New Roman"/>
          <w:noProof/>
        </w:rPr>
        <w:t xml:space="preserve"> use</w:t>
      </w:r>
      <w:r w:rsidR="0085584B">
        <w:rPr>
          <w:rFonts w:eastAsia="Times New Roman"/>
          <w:noProof/>
        </w:rPr>
        <w:t>s m throughout vv 7–13 in</w:t>
      </w:r>
      <w:r w:rsidR="00C93CC0" w:rsidRPr="00B740B4">
        <w:rPr>
          <w:rFonts w:eastAsia="Times New Roman"/>
          <w:noProof/>
        </w:rPr>
        <w:t xml:space="preserve"> refer</w:t>
      </w:r>
      <w:r w:rsidR="0085584B">
        <w:rPr>
          <w:rFonts w:eastAsia="Times New Roman"/>
          <w:noProof/>
        </w:rPr>
        <w:t>ring</w:t>
      </w:r>
      <w:r w:rsidR="00C93CC0" w:rsidRPr="00B740B4">
        <w:rPr>
          <w:rFonts w:eastAsia="Times New Roman"/>
          <w:noProof/>
        </w:rPr>
        <w:t xml:space="preserve"> to the tree.</w:t>
      </w:r>
    </w:p>
    <w:p w:rsidR="00C93CC0" w:rsidRPr="00B740B4" w:rsidRDefault="003F57D6" w:rsidP="00343D94">
      <w:pPr>
        <w:rPr>
          <w:rFonts w:eastAsia="Times New Roman"/>
          <w:noProof/>
        </w:rPr>
      </w:pPr>
      <w:r w:rsidRPr="00B740B4">
        <w:rPr>
          <w:rFonts w:eastAsia="Times New Roman"/>
          <w:noProof/>
        </w:rPr>
        <w:t>15</w:t>
      </w:r>
      <w:r w:rsidR="00C93CC0" w:rsidRPr="00B740B4">
        <w:rPr>
          <w:rFonts w:eastAsia="Times New Roman"/>
          <w:noProof/>
        </w:rPr>
        <w:t>.c. Emendations are proposed by Torrey (</w:t>
      </w:r>
      <w:r w:rsidR="00F20527" w:rsidRPr="00B740B4">
        <w:rPr>
          <w:rFonts w:eastAsia="Times New Roman"/>
          <w:noProof/>
        </w:rPr>
        <w:t>“Notes on the Aramaic Part of Daniel,”</w:t>
      </w:r>
      <w:r w:rsidR="00C93CC0" w:rsidRPr="00B740B4">
        <w:rPr>
          <w:rFonts w:eastAsia="Times New Roman"/>
          <w:noProof/>
        </w:rPr>
        <w:t xml:space="preserve"> 269–70) and by </w:t>
      </w:r>
      <w:r w:rsidR="00C93CC0" w:rsidRPr="00B740B4">
        <w:rPr>
          <w:rFonts w:eastAsia="Times New Roman"/>
          <w:smallCaps/>
          <w:noProof/>
        </w:rPr>
        <w:t>neb</w:t>
      </w:r>
      <w:r w:rsidR="00C93CC0" w:rsidRPr="00B740B4">
        <w:rPr>
          <w:rFonts w:eastAsia="Times New Roman"/>
          <w:noProof/>
        </w:rPr>
        <w:t>, but the phra</w:t>
      </w:r>
      <w:r w:rsidR="00F20527" w:rsidRPr="00B740B4">
        <w:rPr>
          <w:rFonts w:eastAsia="Times New Roman"/>
          <w:noProof/>
        </w:rPr>
        <w:t xml:space="preserve">se’s repetition in v 20 </w:t>
      </w:r>
      <w:r w:rsidR="00C93CC0" w:rsidRPr="00B740B4">
        <w:rPr>
          <w:rFonts w:eastAsia="Times New Roman"/>
          <w:noProof/>
        </w:rPr>
        <w:t>argues for MT.</w:t>
      </w:r>
    </w:p>
    <w:p w:rsidR="00C93CC0" w:rsidRPr="00B740B4" w:rsidRDefault="003F57D6" w:rsidP="00343D94">
      <w:pPr>
        <w:rPr>
          <w:rFonts w:eastAsia="Times New Roman"/>
          <w:noProof/>
        </w:rPr>
      </w:pPr>
      <w:r w:rsidRPr="00B740B4">
        <w:rPr>
          <w:rFonts w:eastAsia="Times New Roman"/>
          <w:noProof/>
        </w:rPr>
        <w:t>15</w:t>
      </w:r>
      <w:r w:rsidR="00F20527" w:rsidRPr="00B740B4">
        <w:rPr>
          <w:rFonts w:eastAsia="Times New Roman"/>
          <w:noProof/>
        </w:rPr>
        <w:t xml:space="preserve">.d. </w:t>
      </w:r>
      <w:r w:rsidR="00C93CC0" w:rsidRPr="00B740B4">
        <w:rPr>
          <w:rFonts w:ascii="Arial" w:eastAsia="Times New Roman" w:hAnsi="Arial" w:cs="Arial"/>
          <w:noProof/>
        </w:rPr>
        <w:t>חלק</w:t>
      </w:r>
      <w:r w:rsidR="00C93CC0" w:rsidRPr="00B740B4">
        <w:rPr>
          <w:rFonts w:eastAsia="Times New Roman"/>
          <w:noProof/>
        </w:rPr>
        <w:t xml:space="preserve"> could refer to his portion of food (cf. Deut 10:8) or to the lot in life allocated to him by God (cf. Isa 17:14); the latter is more common, but </w:t>
      </w:r>
      <w:r w:rsidR="00C87D5F">
        <w:rPr>
          <w:rFonts w:eastAsia="Times New Roman"/>
          <w:noProof/>
        </w:rPr>
        <w:t>the former fits the context</w:t>
      </w:r>
      <w:r w:rsidR="00C93CC0" w:rsidRPr="00B740B4">
        <w:rPr>
          <w:rFonts w:eastAsia="Times New Roman"/>
          <w:noProof/>
        </w:rPr>
        <w:t>.</w:t>
      </w:r>
    </w:p>
    <w:p w:rsidR="00C93CC0" w:rsidRPr="00B740B4" w:rsidRDefault="003F57D6" w:rsidP="00343D94">
      <w:pPr>
        <w:rPr>
          <w:rFonts w:eastAsia="Times New Roman"/>
          <w:noProof/>
        </w:rPr>
      </w:pPr>
      <w:r w:rsidRPr="00B740B4">
        <w:rPr>
          <w:rFonts w:eastAsia="Times New Roman"/>
          <w:noProof/>
        </w:rPr>
        <w:t>15</w:t>
      </w:r>
      <w:r w:rsidR="00C93CC0" w:rsidRPr="00B740B4">
        <w:rPr>
          <w:rFonts w:eastAsia="Times New Roman"/>
          <w:noProof/>
        </w:rPr>
        <w:t xml:space="preserve">.e. </w:t>
      </w:r>
      <w:r w:rsidR="00C93CC0" w:rsidRPr="00B740B4">
        <w:rPr>
          <w:rFonts w:ascii="Arial" w:eastAsia="Times New Roman" w:hAnsi="Arial" w:cs="Arial"/>
          <w:noProof/>
        </w:rPr>
        <w:t>עשב</w:t>
      </w:r>
      <w:r w:rsidR="00E84AD9" w:rsidRPr="00B740B4">
        <w:rPr>
          <w:rFonts w:eastAsia="Times New Roman"/>
          <w:noProof/>
        </w:rPr>
        <w:t xml:space="preserve"> surely refers to edible plants as in </w:t>
      </w:r>
      <w:r w:rsidR="00C93CC0" w:rsidRPr="00B740B4">
        <w:rPr>
          <w:rFonts w:eastAsia="Times New Roman"/>
          <w:noProof/>
        </w:rPr>
        <w:t xml:space="preserve"> </w:t>
      </w:r>
      <w:r w:rsidR="00E84AD9" w:rsidRPr="00B740B4">
        <w:rPr>
          <w:rFonts w:eastAsia="Times New Roman"/>
          <w:noProof/>
        </w:rPr>
        <w:t xml:space="preserve">Gen 1 (cf. G, Vg) not </w:t>
      </w:r>
      <w:r w:rsidR="00C93CC0" w:rsidRPr="00B740B4">
        <w:rPr>
          <w:rFonts w:ascii="Calibri" w:eastAsia="Times New Roman" w:hAnsi="Calibri" w:cs="Calibri"/>
          <w:noProof/>
        </w:rPr>
        <w:t>“</w:t>
      </w:r>
      <w:r w:rsidR="00F20527" w:rsidRPr="00B740B4">
        <w:rPr>
          <w:rFonts w:eastAsia="Times New Roman"/>
          <w:noProof/>
        </w:rPr>
        <w:t>g</w:t>
      </w:r>
      <w:r w:rsidR="00C93CC0" w:rsidRPr="00B740B4">
        <w:rPr>
          <w:rFonts w:eastAsia="Times New Roman"/>
          <w:noProof/>
        </w:rPr>
        <w:t>rass</w:t>
      </w:r>
      <w:r w:rsidR="00C93CC0" w:rsidRPr="00B740B4">
        <w:rPr>
          <w:rFonts w:ascii="Calibri" w:eastAsia="Times New Roman" w:hAnsi="Calibri" w:cs="Calibri"/>
          <w:noProof/>
        </w:rPr>
        <w:t>”</w:t>
      </w:r>
      <w:r w:rsidR="00E84AD9" w:rsidRPr="00B740B4">
        <w:rPr>
          <w:rFonts w:eastAsia="Times New Roman"/>
          <w:noProof/>
        </w:rPr>
        <w:t xml:space="preserve"> (EVV, including </w:t>
      </w:r>
      <w:r w:rsidR="00E84AD9" w:rsidRPr="00C87D5F">
        <w:rPr>
          <w:rFonts w:eastAsia="Times New Roman"/>
          <w:noProof/>
        </w:rPr>
        <w:t>NETS</w:t>
      </w:r>
      <w:r w:rsidR="00E84AD9" w:rsidRPr="00B740B4">
        <w:rPr>
          <w:rFonts w:eastAsia="Times New Roman"/>
          <w:noProof/>
        </w:rPr>
        <w:t xml:space="preserve">); </w:t>
      </w:r>
      <w:r w:rsidR="00C93CC0" w:rsidRPr="00B740B4">
        <w:rPr>
          <w:rFonts w:eastAsia="Times New Roman"/>
          <w:noProof/>
        </w:rPr>
        <w:t>Nebuchadnezzar</w:t>
      </w:r>
      <w:r w:rsidR="00C93CC0" w:rsidRPr="00B740B4">
        <w:rPr>
          <w:rFonts w:ascii="Calibri" w:eastAsia="Times New Roman" w:hAnsi="Calibri" w:cs="Calibri"/>
          <w:noProof/>
        </w:rPr>
        <w:t>’</w:t>
      </w:r>
      <w:r w:rsidR="00C93CC0" w:rsidRPr="00B740B4">
        <w:rPr>
          <w:rFonts w:eastAsia="Times New Roman"/>
          <w:noProof/>
        </w:rPr>
        <w:t>s diet need not be that bovine.</w:t>
      </w:r>
    </w:p>
    <w:p w:rsidR="00C93CC0" w:rsidRPr="00B740B4" w:rsidRDefault="004436B2" w:rsidP="00343D94">
      <w:pPr>
        <w:rPr>
          <w:rFonts w:eastAsia="Times New Roman"/>
          <w:noProof/>
        </w:rPr>
      </w:pPr>
      <w:r w:rsidRPr="00B740B4">
        <w:rPr>
          <w:rFonts w:eastAsia="Times New Roman"/>
          <w:noProof/>
        </w:rPr>
        <w:t>16</w:t>
      </w:r>
      <w:r w:rsidR="00F624FB" w:rsidRPr="00B740B4">
        <w:rPr>
          <w:rFonts w:eastAsia="Times New Roman"/>
          <w:noProof/>
        </w:rPr>
        <w:t>.a</w:t>
      </w:r>
      <w:r w:rsidR="00AB50CF" w:rsidRPr="00B740B4">
        <w:rPr>
          <w:rFonts w:eastAsia="Times New Roman"/>
          <w:noProof/>
        </w:rPr>
        <w:t>. “Y</w:t>
      </w:r>
      <w:r w:rsidR="00F20527" w:rsidRPr="00B740B4">
        <w:rPr>
          <w:rFonts w:eastAsia="Times New Roman"/>
          <w:noProof/>
        </w:rPr>
        <w:t>ears” (OG</w:t>
      </w:r>
      <w:r w:rsidR="00AB50CF" w:rsidRPr="00B740B4">
        <w:rPr>
          <w:rFonts w:eastAsia="Times New Roman"/>
          <w:noProof/>
        </w:rPr>
        <w:t>)</w:t>
      </w:r>
      <w:r w:rsidR="00C93CC0" w:rsidRPr="00B740B4">
        <w:rPr>
          <w:rFonts w:eastAsia="Times New Roman"/>
          <w:noProof/>
        </w:rPr>
        <w:t xml:space="preserve"> resolves the allusiveness of </w:t>
      </w:r>
      <w:r w:rsidR="00C93CC0" w:rsidRPr="00B740B4">
        <w:rPr>
          <w:rFonts w:ascii="Arial" w:eastAsia="Times New Roman" w:hAnsi="Arial" w:cs="Arial"/>
          <w:noProof/>
        </w:rPr>
        <w:t>עדן</w:t>
      </w:r>
      <w:r w:rsidR="00C93CC0" w:rsidRPr="00B740B4">
        <w:rPr>
          <w:rFonts w:eastAsia="Times New Roman"/>
          <w:noProof/>
        </w:rPr>
        <w:t>,</w:t>
      </w:r>
      <w:r w:rsidR="00E84AD9" w:rsidRPr="00B740B4">
        <w:rPr>
          <w:rFonts w:eastAsia="Times New Roman"/>
          <w:noProof/>
        </w:rPr>
        <w:t xml:space="preserve"> which denotes a set </w:t>
      </w:r>
      <w:r w:rsidR="00AB50CF" w:rsidRPr="00B740B4">
        <w:rPr>
          <w:rFonts w:eastAsia="Times New Roman"/>
          <w:noProof/>
        </w:rPr>
        <w:t>but</w:t>
      </w:r>
      <w:r w:rsidR="00C93CC0" w:rsidRPr="00B740B4">
        <w:rPr>
          <w:rFonts w:eastAsia="Times New Roman"/>
          <w:noProof/>
        </w:rPr>
        <w:t xml:space="preserve"> unspecified period of time (</w:t>
      </w:r>
      <w:r w:rsidR="00C93CC0" w:rsidRPr="00B740B4">
        <w:rPr>
          <w:rFonts w:ascii="Arial" w:eastAsia="Times New Roman" w:hAnsi="Arial" w:cs="Arial"/>
          <w:noProof/>
        </w:rPr>
        <w:t>עדון</w:t>
      </w:r>
      <w:r w:rsidR="00C93CC0" w:rsidRPr="00B740B4">
        <w:rPr>
          <w:rFonts w:eastAsia="Times New Roman"/>
          <w:noProof/>
        </w:rPr>
        <w:t xml:space="preserve"> refers to a woman</w:t>
      </w:r>
      <w:r w:rsidR="00C93CC0" w:rsidRPr="00B740B4">
        <w:rPr>
          <w:rFonts w:ascii="Calibri" w:eastAsia="Times New Roman" w:hAnsi="Calibri" w:cs="Calibri"/>
          <w:noProof/>
        </w:rPr>
        <w:t>’</w:t>
      </w:r>
      <w:r w:rsidR="00C93CC0" w:rsidRPr="00B740B4">
        <w:rPr>
          <w:rFonts w:eastAsia="Times New Roman"/>
          <w:noProof/>
        </w:rPr>
        <w:t xml:space="preserve">s monthly </w:t>
      </w:r>
      <w:r w:rsidR="00C93CC0" w:rsidRPr="00B740B4">
        <w:rPr>
          <w:rFonts w:ascii="Calibri" w:eastAsia="Times New Roman" w:hAnsi="Calibri" w:cs="Calibri"/>
          <w:noProof/>
        </w:rPr>
        <w:t>“</w:t>
      </w:r>
      <w:r w:rsidR="00C93CC0" w:rsidRPr="00B740B4">
        <w:rPr>
          <w:rFonts w:eastAsia="Times New Roman"/>
          <w:noProof/>
        </w:rPr>
        <w:t>period</w:t>
      </w:r>
      <w:r w:rsidR="00C93CC0" w:rsidRPr="00B740B4">
        <w:rPr>
          <w:rFonts w:ascii="Calibri" w:eastAsia="Times New Roman" w:hAnsi="Calibri" w:cs="Calibri"/>
          <w:noProof/>
        </w:rPr>
        <w:t>”</w:t>
      </w:r>
      <w:r w:rsidR="00C93CC0" w:rsidRPr="00B740B4">
        <w:rPr>
          <w:rFonts w:eastAsia="Times New Roman"/>
          <w:noProof/>
        </w:rPr>
        <w:t xml:space="preserve"> [</w:t>
      </w:r>
      <w:r w:rsidR="00C93CC0" w:rsidRPr="00B740B4">
        <w:rPr>
          <w:rFonts w:eastAsia="Times New Roman"/>
          <w:i/>
          <w:noProof/>
        </w:rPr>
        <w:t>DTT</w:t>
      </w:r>
      <w:r w:rsidR="00AB50CF" w:rsidRPr="00B740B4">
        <w:rPr>
          <w:rFonts w:eastAsia="Times New Roman"/>
          <w:noProof/>
        </w:rPr>
        <w:t xml:space="preserve">]); cf. </w:t>
      </w:r>
      <w:r w:rsidR="00C93CC0" w:rsidRPr="00B740B4">
        <w:rPr>
          <w:rFonts w:eastAsia="Times New Roman"/>
          <w:noProof/>
        </w:rPr>
        <w:t xml:space="preserve">7:25; also </w:t>
      </w:r>
      <w:r w:rsidR="00C93CC0" w:rsidRPr="00B740B4">
        <w:rPr>
          <w:rFonts w:ascii="Arial" w:eastAsia="Times New Roman" w:hAnsi="Arial" w:cs="Arial"/>
          <w:noProof/>
        </w:rPr>
        <w:t>מועד</w:t>
      </w:r>
      <w:r w:rsidR="00C93CC0" w:rsidRPr="00B740B4">
        <w:rPr>
          <w:rFonts w:eastAsia="Times New Roman"/>
          <w:noProof/>
        </w:rPr>
        <w:t xml:space="preserve"> in 11:29; 12:7. </w:t>
      </w:r>
      <w:r w:rsidR="00C87D5F">
        <w:rPr>
          <w:rFonts w:eastAsia="Times New Roman"/>
          <w:noProof/>
        </w:rPr>
        <w:t xml:space="preserve">The Akk. equivalent </w:t>
      </w:r>
      <w:r w:rsidR="00C87D5F" w:rsidRPr="00C87D5F">
        <w:rPr>
          <w:rFonts w:eastAsia="Times New Roman"/>
          <w:noProof/>
        </w:rPr>
        <w:t xml:space="preserve">of </w:t>
      </w:r>
      <w:r w:rsidR="00C87D5F" w:rsidRPr="00C87D5F">
        <w:rPr>
          <w:rFonts w:ascii="Arial" w:eastAsia="Times New Roman" w:hAnsi="Arial" w:cs="Arial"/>
          <w:noProof/>
        </w:rPr>
        <w:t>עדן</w:t>
      </w:r>
      <w:r w:rsidR="00C87D5F" w:rsidRPr="00C87D5F">
        <w:rPr>
          <w:rFonts w:eastAsia="Times New Roman"/>
          <w:noProof/>
        </w:rPr>
        <w:t xml:space="preserve"> </w:t>
      </w:r>
      <w:r w:rsidR="00C87D5F">
        <w:rPr>
          <w:rFonts w:eastAsia="Times New Roman"/>
          <w:noProof/>
        </w:rPr>
        <w:t>means “year”</w:t>
      </w:r>
      <w:r w:rsidR="00C87D5F" w:rsidRPr="00C87D5F">
        <w:rPr>
          <w:rFonts w:eastAsia="Times New Roman"/>
          <w:noProof/>
        </w:rPr>
        <w:t xml:space="preserve"> in th</w:t>
      </w:r>
      <w:r w:rsidR="00C87D5F">
        <w:rPr>
          <w:rFonts w:eastAsia="Times New Roman"/>
          <w:noProof/>
        </w:rPr>
        <w:t>e Harran Nabonidus inscription (</w:t>
      </w:r>
      <w:r w:rsidR="00C87D5F" w:rsidRPr="00C87D5F">
        <w:rPr>
          <w:rFonts w:eastAsia="Times New Roman"/>
          <w:noProof/>
        </w:rPr>
        <w:t>Gadd, “Harran Inscriptions,”</w:t>
      </w:r>
      <w:r w:rsidR="00C87D5F">
        <w:rPr>
          <w:rFonts w:eastAsia="Times New Roman"/>
          <w:noProof/>
        </w:rPr>
        <w:t xml:space="preserve"> 88), as does Gk. χρόνος (</w:t>
      </w:r>
      <w:r w:rsidR="00C87D5F" w:rsidRPr="00C87D5F">
        <w:rPr>
          <w:rFonts w:eastAsia="Times New Roman"/>
          <w:noProof/>
        </w:rPr>
        <w:t xml:space="preserve">Ginsberg, </w:t>
      </w:r>
      <w:r w:rsidR="00C87D5F" w:rsidRPr="00C87D5F">
        <w:rPr>
          <w:rFonts w:eastAsia="Times New Roman"/>
          <w:i/>
          <w:noProof/>
        </w:rPr>
        <w:t>Studies in Daniel</w:t>
      </w:r>
      <w:r w:rsidR="00C87D5F" w:rsidRPr="00C87D5F">
        <w:rPr>
          <w:rFonts w:eastAsia="Times New Roman"/>
          <w:noProof/>
        </w:rPr>
        <w:t>,</w:t>
      </w:r>
      <w:r w:rsidR="00C87D5F" w:rsidRPr="00C87D5F">
        <w:rPr>
          <w:rFonts w:eastAsia="Times New Roman"/>
          <w:i/>
          <w:noProof/>
        </w:rPr>
        <w:t xml:space="preserve"> </w:t>
      </w:r>
      <w:r w:rsidR="00C87D5F">
        <w:rPr>
          <w:rFonts w:eastAsia="Times New Roman"/>
          <w:noProof/>
        </w:rPr>
        <w:t>1–2</w:t>
      </w:r>
      <w:r w:rsidR="00C87D5F" w:rsidRPr="00C87D5F">
        <w:rPr>
          <w:rFonts w:eastAsia="Times New Roman"/>
          <w:noProof/>
        </w:rPr>
        <w:t xml:space="preserve">). </w:t>
      </w:r>
      <w:r w:rsidR="00C87D5F">
        <w:rPr>
          <w:rFonts w:eastAsia="Times New Roman"/>
          <w:noProof/>
        </w:rPr>
        <w:t>But f</w:t>
      </w:r>
      <w:r w:rsidR="00E84AD9" w:rsidRPr="00B740B4">
        <w:rPr>
          <w:rFonts w:eastAsia="Times New Roman"/>
          <w:noProof/>
        </w:rPr>
        <w:t xml:space="preserve">or “year” </w:t>
      </w:r>
      <w:r w:rsidR="00C93CC0" w:rsidRPr="00B740B4">
        <w:rPr>
          <w:rFonts w:eastAsia="Times New Roman"/>
          <w:noProof/>
        </w:rPr>
        <w:t>Dan</w:t>
      </w:r>
      <w:r w:rsidR="00C87D5F">
        <w:rPr>
          <w:rFonts w:eastAsia="Times New Roman"/>
          <w:noProof/>
        </w:rPr>
        <w:t>iel</w:t>
      </w:r>
      <w:r w:rsidR="00C93CC0" w:rsidRPr="00B740B4">
        <w:rPr>
          <w:rFonts w:eastAsia="Times New Roman"/>
          <w:noProof/>
        </w:rPr>
        <w:t xml:space="preserve"> could have used </w:t>
      </w:r>
      <w:r w:rsidR="00C93CC0" w:rsidRPr="00B740B4">
        <w:rPr>
          <w:rFonts w:ascii="Arial" w:eastAsia="Times New Roman" w:hAnsi="Arial" w:cs="Arial"/>
          <w:noProof/>
        </w:rPr>
        <w:t>שנה</w:t>
      </w:r>
      <w:r w:rsidR="00AB50CF" w:rsidRPr="00B740B4">
        <w:rPr>
          <w:rFonts w:eastAsia="Times New Roman"/>
          <w:noProof/>
        </w:rPr>
        <w:t xml:space="preserve"> (</w:t>
      </w:r>
      <w:r w:rsidR="00E84AD9" w:rsidRPr="00B740B4">
        <w:rPr>
          <w:rFonts w:eastAsia="Times New Roman"/>
          <w:noProof/>
        </w:rPr>
        <w:t xml:space="preserve">e.g., 1:5; </w:t>
      </w:r>
      <w:r w:rsidR="00AB50CF" w:rsidRPr="00B740B4">
        <w:rPr>
          <w:rFonts w:eastAsia="Times New Roman"/>
          <w:noProof/>
        </w:rPr>
        <w:t>5:31</w:t>
      </w:r>
      <w:r w:rsidR="00E84AD9" w:rsidRPr="00B740B4">
        <w:rPr>
          <w:rFonts w:eastAsia="Times New Roman"/>
          <w:noProof/>
        </w:rPr>
        <w:t xml:space="preserve"> [6:1]</w:t>
      </w:r>
      <w:r w:rsidR="00AB50CF" w:rsidRPr="00B740B4">
        <w:rPr>
          <w:rFonts w:eastAsia="Times New Roman"/>
          <w:noProof/>
        </w:rPr>
        <w:t>]</w:t>
      </w:r>
      <w:r w:rsidR="00C93CC0" w:rsidRPr="00B740B4">
        <w:rPr>
          <w:rFonts w:eastAsia="Times New Roman"/>
          <w:noProof/>
        </w:rPr>
        <w:t>; 7:1;</w:t>
      </w:r>
      <w:r w:rsidR="00AB50CF" w:rsidRPr="00B740B4">
        <w:rPr>
          <w:rFonts w:eastAsia="Times New Roman"/>
          <w:noProof/>
        </w:rPr>
        <w:t xml:space="preserve"> 11:6; also Gen 41:25)</w:t>
      </w:r>
      <w:r w:rsidR="00E84AD9" w:rsidRPr="00B740B4">
        <w:rPr>
          <w:rFonts w:eastAsia="Times New Roman"/>
          <w:noProof/>
        </w:rPr>
        <w:t>. So t</w:t>
      </w:r>
      <w:r w:rsidR="00C93CC0" w:rsidRPr="00B740B4">
        <w:rPr>
          <w:rFonts w:eastAsia="Times New Roman"/>
          <w:noProof/>
        </w:rPr>
        <w:t>he period</w:t>
      </w:r>
      <w:r w:rsidR="00E84AD9" w:rsidRPr="00B740B4">
        <w:rPr>
          <w:rFonts w:eastAsia="Times New Roman"/>
          <w:noProof/>
        </w:rPr>
        <w:t xml:space="preserve"> denoted may be a year, but “year”</w:t>
      </w:r>
      <w:r w:rsidR="00C93CC0" w:rsidRPr="00B740B4">
        <w:rPr>
          <w:rFonts w:eastAsia="Times New Roman"/>
          <w:noProof/>
        </w:rPr>
        <w:t xml:space="preserve"> is not the meaning of </w:t>
      </w:r>
      <w:r w:rsidR="00C93CC0" w:rsidRPr="00B740B4">
        <w:rPr>
          <w:rFonts w:ascii="Arial" w:eastAsia="Times New Roman" w:hAnsi="Arial" w:cs="Arial"/>
          <w:noProof/>
        </w:rPr>
        <w:t>עדן</w:t>
      </w:r>
      <w:r w:rsidR="00C93CC0" w:rsidRPr="00B740B4">
        <w:rPr>
          <w:rFonts w:eastAsia="Times New Roman"/>
          <w:noProof/>
        </w:rPr>
        <w:t xml:space="preserve"> or </w:t>
      </w:r>
      <w:r w:rsidR="00C93CC0" w:rsidRPr="00B740B4">
        <w:rPr>
          <w:rFonts w:ascii="Arial" w:eastAsia="Times New Roman" w:hAnsi="Arial" w:cs="Arial"/>
          <w:noProof/>
        </w:rPr>
        <w:t>מועד</w:t>
      </w:r>
      <w:r w:rsidR="00C93CC0" w:rsidRPr="00B740B4">
        <w:rPr>
          <w:rFonts w:eastAsia="Times New Roman"/>
          <w:noProof/>
        </w:rPr>
        <w:t xml:space="preserve"> themselves</w:t>
      </w:r>
      <w:r w:rsidR="00C87D5F">
        <w:rPr>
          <w:rFonts w:eastAsia="Times New Roman"/>
          <w:noProof/>
        </w:rPr>
        <w:t xml:space="preserve">. </w:t>
      </w:r>
      <w:r w:rsidR="00C93CC0" w:rsidRPr="00B740B4">
        <w:rPr>
          <w:rFonts w:eastAsia="Times New Roman"/>
          <w:noProof/>
        </w:rPr>
        <w:t xml:space="preserve">Theodoret makes </w:t>
      </w:r>
      <w:r w:rsidR="00AB50CF" w:rsidRPr="00B740B4">
        <w:rPr>
          <w:rFonts w:eastAsia="Times New Roman"/>
          <w:noProof/>
        </w:rPr>
        <w:t>them seven</w:t>
      </w:r>
      <w:r w:rsidR="00C93CC0" w:rsidRPr="00B740B4">
        <w:rPr>
          <w:rFonts w:eastAsia="Times New Roman"/>
          <w:noProof/>
        </w:rPr>
        <w:t xml:space="preserve"> “seasons</w:t>
      </w:r>
      <w:r w:rsidR="00AB50CF" w:rsidRPr="00B740B4">
        <w:rPr>
          <w:rFonts w:eastAsia="Times New Roman"/>
          <w:noProof/>
        </w:rPr>
        <w:t>,” 3½</w:t>
      </w:r>
      <w:r w:rsidR="00C93CC0" w:rsidRPr="00B740B4">
        <w:rPr>
          <w:rFonts w:eastAsia="Times New Roman"/>
          <w:noProof/>
        </w:rPr>
        <w:t xml:space="preserve"> years, assuming a two-season year; Hippolytus refers to</w:t>
      </w:r>
      <w:r w:rsidR="00AB50CF" w:rsidRPr="00B740B4">
        <w:rPr>
          <w:rFonts w:eastAsia="Times New Roman"/>
          <w:noProof/>
        </w:rPr>
        <w:t xml:space="preserve"> the view that they denote 1¾ years, seven</w:t>
      </w:r>
      <w:r w:rsidR="00E84AD9" w:rsidRPr="00B740B4">
        <w:rPr>
          <w:rFonts w:eastAsia="Times New Roman"/>
          <w:noProof/>
        </w:rPr>
        <w:t xml:space="preserve"> seas</w:t>
      </w:r>
      <w:r w:rsidR="00C87D5F">
        <w:rPr>
          <w:rFonts w:eastAsia="Times New Roman"/>
          <w:noProof/>
        </w:rPr>
        <w:t>ons of three months;</w:t>
      </w:r>
      <w:r w:rsidR="007F401B">
        <w:rPr>
          <w:rFonts w:eastAsia="Times New Roman"/>
          <w:noProof/>
        </w:rPr>
        <w:t xml:space="preserve"> Ps-Saadia </w:t>
      </w:r>
      <w:r w:rsidR="003C40DF" w:rsidRPr="00B740B4">
        <w:rPr>
          <w:rFonts w:eastAsia="Times New Roman"/>
          <w:noProof/>
        </w:rPr>
        <w:t>notes that they have been taken to be weeks or months or years.</w:t>
      </w:r>
    </w:p>
    <w:p w:rsidR="00C93CC0" w:rsidRPr="00B740B4" w:rsidRDefault="004436B2" w:rsidP="00343D94">
      <w:pPr>
        <w:rPr>
          <w:rFonts w:eastAsia="Times New Roman"/>
          <w:noProof/>
        </w:rPr>
      </w:pPr>
      <w:r w:rsidRPr="00B740B4">
        <w:rPr>
          <w:rFonts w:eastAsia="Times New Roman"/>
          <w:noProof/>
        </w:rPr>
        <w:t>17</w:t>
      </w:r>
      <w:r w:rsidR="00C93CC0" w:rsidRPr="00B740B4">
        <w:rPr>
          <w:rFonts w:eastAsia="Times New Roman"/>
          <w:noProof/>
        </w:rPr>
        <w:t xml:space="preserve">.a. On </w:t>
      </w:r>
      <w:r w:rsidR="00C93CC0" w:rsidRPr="00B740B4">
        <w:rPr>
          <w:rFonts w:ascii="Arial" w:eastAsia="Times New Roman" w:hAnsi="Arial" w:cs="Arial"/>
          <w:noProof/>
        </w:rPr>
        <w:t>שאלתא</w:t>
      </w:r>
      <w:r w:rsidR="00514DD8" w:rsidRPr="00B740B4">
        <w:rPr>
          <w:rFonts w:eastAsia="Times New Roman"/>
          <w:noProof/>
        </w:rPr>
        <w:t xml:space="preserve">, see Montgomery; also </w:t>
      </w:r>
      <w:r w:rsidR="00C93CC0" w:rsidRPr="00B740B4">
        <w:rPr>
          <w:rFonts w:eastAsia="Times New Roman"/>
          <w:noProof/>
        </w:rPr>
        <w:t xml:space="preserve">Gordis, </w:t>
      </w:r>
      <w:r w:rsidR="00C93CC0" w:rsidRPr="00B740B4">
        <w:rPr>
          <w:rFonts w:ascii="Calibri" w:eastAsia="Times New Roman" w:hAnsi="Calibri" w:cs="Calibri"/>
          <w:noProof/>
        </w:rPr>
        <w:t>“</w:t>
      </w:r>
      <w:r w:rsidR="00C93CC0" w:rsidRPr="00B740B4">
        <w:rPr>
          <w:rFonts w:eastAsia="Times New Roman"/>
          <w:noProof/>
        </w:rPr>
        <w:t>Studies in Heb</w:t>
      </w:r>
      <w:r w:rsidR="00514DD8" w:rsidRPr="00B740B4">
        <w:rPr>
          <w:rFonts w:eastAsia="Times New Roman"/>
          <w:noProof/>
        </w:rPr>
        <w:t>rew Roots</w:t>
      </w:r>
      <w:r w:rsidR="00C93CC0" w:rsidRPr="00B740B4">
        <w:rPr>
          <w:rFonts w:eastAsia="Times New Roman"/>
          <w:noProof/>
        </w:rPr>
        <w:t>,</w:t>
      </w:r>
      <w:r w:rsidR="00C93CC0" w:rsidRPr="00B740B4">
        <w:rPr>
          <w:rFonts w:ascii="Calibri" w:eastAsia="Times New Roman" w:hAnsi="Calibri" w:cs="Calibri"/>
          <w:noProof/>
        </w:rPr>
        <w:t>”</w:t>
      </w:r>
      <w:r w:rsidR="00C93CC0" w:rsidRPr="00B740B4">
        <w:rPr>
          <w:rFonts w:eastAsia="Times New Roman"/>
          <w:noProof/>
        </w:rPr>
        <w:t xml:space="preserve"> </w:t>
      </w:r>
      <w:r w:rsidR="00514DD8" w:rsidRPr="00B740B4">
        <w:rPr>
          <w:rFonts w:eastAsia="Times New Roman"/>
          <w:noProof/>
        </w:rPr>
        <w:t>45 =</w:t>
      </w:r>
      <w:r w:rsidR="00C93CC0" w:rsidRPr="00B740B4">
        <w:rPr>
          <w:rFonts w:eastAsia="Times New Roman"/>
          <w:noProof/>
        </w:rPr>
        <w:t xml:space="preserve"> 197.</w:t>
      </w:r>
    </w:p>
    <w:p w:rsidR="00C93CC0" w:rsidRPr="00B740B4" w:rsidRDefault="00C93CC0" w:rsidP="00343D94">
      <w:pPr>
        <w:rPr>
          <w:rFonts w:eastAsia="Times New Roman"/>
          <w:noProof/>
        </w:rPr>
      </w:pPr>
      <w:r w:rsidRPr="00B740B4">
        <w:rPr>
          <w:rFonts w:eastAsia="Times New Roman"/>
          <w:noProof/>
        </w:rPr>
        <w:t>1</w:t>
      </w:r>
      <w:r w:rsidR="004436B2" w:rsidRPr="00B740B4">
        <w:rPr>
          <w:rFonts w:eastAsia="Times New Roman"/>
          <w:noProof/>
        </w:rPr>
        <w:t>7</w:t>
      </w:r>
      <w:r w:rsidRPr="00B740B4">
        <w:rPr>
          <w:rFonts w:eastAsia="Times New Roman"/>
          <w:noProof/>
        </w:rPr>
        <w:t xml:space="preserve">.b. </w:t>
      </w:r>
      <w:r w:rsidRPr="00B740B4">
        <w:rPr>
          <w:rFonts w:ascii="Arial" w:eastAsia="Times New Roman" w:hAnsi="Arial" w:cs="Arial"/>
          <w:noProof/>
        </w:rPr>
        <w:t>מאמר</w:t>
      </w:r>
      <w:r w:rsidRPr="00B740B4">
        <w:rPr>
          <w:rFonts w:eastAsia="Times New Roman"/>
          <w:noProof/>
        </w:rPr>
        <w:t xml:space="preserve"> </w:t>
      </w:r>
      <w:r w:rsidRPr="00B740B4">
        <w:rPr>
          <w:rFonts w:ascii="Calibri" w:eastAsia="Times New Roman" w:hAnsi="Calibri" w:cs="Calibri"/>
          <w:noProof/>
        </w:rPr>
        <w:t>“</w:t>
      </w:r>
      <w:r w:rsidRPr="00B740B4">
        <w:rPr>
          <w:rFonts w:eastAsia="Times New Roman"/>
          <w:noProof/>
        </w:rPr>
        <w:t>[by] the determination of</w:t>
      </w:r>
      <w:r w:rsidRPr="00B740B4">
        <w:rPr>
          <w:rFonts w:ascii="Calibri" w:eastAsia="Times New Roman" w:hAnsi="Calibri" w:cs="Calibri"/>
          <w:noProof/>
        </w:rPr>
        <w:t>”</w:t>
      </w:r>
      <w:r w:rsidRPr="00B740B4">
        <w:rPr>
          <w:rFonts w:eastAsia="Times New Roman"/>
          <w:noProof/>
        </w:rPr>
        <w:t xml:space="preserve">: </w:t>
      </w:r>
      <w:r w:rsidRPr="00B740B4">
        <w:rPr>
          <w:rFonts w:ascii="Arial" w:eastAsia="Times New Roman" w:hAnsi="Arial" w:cs="Arial"/>
          <w:noProof/>
        </w:rPr>
        <w:t>ב</w:t>
      </w:r>
      <w:r w:rsidRPr="00B740B4">
        <w:rPr>
          <w:rFonts w:eastAsia="Times New Roman"/>
          <w:noProof/>
        </w:rPr>
        <w:t xml:space="preserve"> is unders</w:t>
      </w:r>
      <w:r w:rsidR="00514DD8" w:rsidRPr="00B740B4">
        <w:rPr>
          <w:rFonts w:eastAsia="Times New Roman"/>
          <w:noProof/>
        </w:rPr>
        <w:t>tood from the parallel colon</w:t>
      </w:r>
      <w:r w:rsidRPr="00B740B4">
        <w:rPr>
          <w:rFonts w:eastAsia="Times New Roman"/>
          <w:noProof/>
        </w:rPr>
        <w:t xml:space="preserve"> (GKC</w:t>
      </w:r>
      <w:r w:rsidR="00E84AD9" w:rsidRPr="00B740B4">
        <w:rPr>
          <w:rFonts w:eastAsia="Times New Roman"/>
          <w:noProof/>
        </w:rPr>
        <w:t xml:space="preserve"> 119hh; </w:t>
      </w:r>
      <w:r w:rsidR="00C87D5F">
        <w:rPr>
          <w:rFonts w:eastAsia="Times New Roman"/>
          <w:noProof/>
        </w:rPr>
        <w:t>Lacocque). S</w:t>
      </w:r>
      <w:r w:rsidRPr="00B740B4">
        <w:rPr>
          <w:rFonts w:eastAsia="Times New Roman"/>
          <w:noProof/>
        </w:rPr>
        <w:t xml:space="preserve">ome </w:t>
      </w:r>
      <w:r w:rsidR="0018520A">
        <w:rPr>
          <w:rFonts w:eastAsia="Times New Roman"/>
          <w:noProof/>
        </w:rPr>
        <w:t xml:space="preserve">medieval </w:t>
      </w:r>
      <w:r w:rsidRPr="00B740B4">
        <w:rPr>
          <w:rFonts w:eastAsia="Times New Roman"/>
          <w:noProof/>
        </w:rPr>
        <w:t xml:space="preserve">mss provide </w:t>
      </w:r>
      <w:r w:rsidRPr="00B740B4">
        <w:rPr>
          <w:rFonts w:ascii="Arial" w:eastAsia="Times New Roman" w:hAnsi="Arial" w:cs="Arial"/>
          <w:noProof/>
        </w:rPr>
        <w:t>ב</w:t>
      </w:r>
      <w:r w:rsidRPr="00B740B4">
        <w:rPr>
          <w:rFonts w:eastAsia="Times New Roman"/>
          <w:noProof/>
        </w:rPr>
        <w:t>.</w:t>
      </w:r>
    </w:p>
    <w:p w:rsidR="00C93CC0" w:rsidRPr="00B740B4" w:rsidRDefault="004436B2" w:rsidP="00343D94">
      <w:pPr>
        <w:rPr>
          <w:rFonts w:eastAsia="Times New Roman"/>
          <w:noProof/>
        </w:rPr>
      </w:pPr>
      <w:r w:rsidRPr="00B740B4">
        <w:rPr>
          <w:rFonts w:eastAsia="Times New Roman"/>
          <w:noProof/>
        </w:rPr>
        <w:t>1</w:t>
      </w:r>
      <w:r w:rsidR="00514DD8" w:rsidRPr="00B740B4">
        <w:rPr>
          <w:rFonts w:eastAsia="Times New Roman"/>
          <w:noProof/>
        </w:rPr>
        <w:t>9</w:t>
      </w:r>
      <w:r w:rsidR="00E84AD9" w:rsidRPr="00B740B4">
        <w:rPr>
          <w:rFonts w:eastAsia="Times New Roman"/>
          <w:noProof/>
        </w:rPr>
        <w:t>.a. This might be</w:t>
      </w:r>
      <w:r w:rsidR="00C93CC0" w:rsidRPr="00B740B4">
        <w:rPr>
          <w:rFonts w:eastAsia="Times New Roman"/>
          <w:noProof/>
        </w:rPr>
        <w:t xml:space="preserve"> a real wish (“may the dream . . .”) or only a hypothetical one (“if only the dream . </w:t>
      </w:r>
      <w:r w:rsidR="00514DD8" w:rsidRPr="00B740B4">
        <w:rPr>
          <w:rFonts w:eastAsia="Times New Roman"/>
          <w:noProof/>
        </w:rPr>
        <w:t>. .”): see v 27</w:t>
      </w:r>
      <w:r w:rsidR="00C93CC0" w:rsidRPr="00B740B4">
        <w:rPr>
          <w:rFonts w:eastAsia="Times New Roman"/>
          <w:noProof/>
        </w:rPr>
        <w:t xml:space="preserve"> </w:t>
      </w:r>
      <w:r w:rsidR="00C93CC0" w:rsidRPr="00B740B4">
        <w:rPr>
          <w:rFonts w:eastAsia="Times New Roman"/>
          <w:i/>
          <w:noProof/>
        </w:rPr>
        <w:t>Comment</w:t>
      </w:r>
      <w:r w:rsidR="00C93CC0" w:rsidRPr="00B740B4">
        <w:rPr>
          <w:rFonts w:eastAsia="Times New Roman"/>
          <w:noProof/>
        </w:rPr>
        <w:t>.</w:t>
      </w:r>
    </w:p>
    <w:p w:rsidR="00C93CC0" w:rsidRPr="00B740B4" w:rsidRDefault="00514DD8" w:rsidP="00343D94">
      <w:pPr>
        <w:rPr>
          <w:rFonts w:eastAsia="Times New Roman"/>
          <w:noProof/>
        </w:rPr>
      </w:pPr>
      <w:r w:rsidRPr="00B740B4">
        <w:rPr>
          <w:rFonts w:eastAsia="Times New Roman"/>
          <w:noProof/>
        </w:rPr>
        <w:t>24</w:t>
      </w:r>
      <w:r w:rsidR="00C93CC0" w:rsidRPr="00B740B4">
        <w:rPr>
          <w:rFonts w:eastAsia="Times New Roman"/>
          <w:noProof/>
        </w:rPr>
        <w:t xml:space="preserve">.a. </w:t>
      </w:r>
      <w:r w:rsidR="00C93CC0" w:rsidRPr="00B740B4">
        <w:rPr>
          <w:rFonts w:ascii="Arial" w:eastAsia="Times New Roman" w:hAnsi="Arial" w:cs="Arial"/>
          <w:noProof/>
        </w:rPr>
        <w:t>מטא</w:t>
      </w:r>
      <w:r w:rsidR="00C93CC0" w:rsidRPr="00B740B4">
        <w:rPr>
          <w:rFonts w:eastAsia="Times New Roman"/>
          <w:noProof/>
        </w:rPr>
        <w:t xml:space="preserve"> is used for </w:t>
      </w:r>
      <w:r w:rsidR="00C93CC0" w:rsidRPr="00B740B4">
        <w:rPr>
          <w:rFonts w:ascii="Calibri" w:eastAsia="Times New Roman" w:hAnsi="Calibri" w:cs="Calibri"/>
          <w:noProof/>
        </w:rPr>
        <w:t>“</w:t>
      </w:r>
      <w:r w:rsidR="00C93CC0" w:rsidRPr="00B740B4">
        <w:rPr>
          <w:rFonts w:eastAsia="Times New Roman"/>
          <w:noProof/>
        </w:rPr>
        <w:t>reach</w:t>
      </w:r>
      <w:r w:rsidR="00C93CC0" w:rsidRPr="00B740B4">
        <w:rPr>
          <w:rFonts w:ascii="Calibri" w:eastAsia="Times New Roman" w:hAnsi="Calibri" w:cs="Calibri"/>
          <w:noProof/>
        </w:rPr>
        <w:t>”</w:t>
      </w:r>
      <w:r w:rsidR="00C93CC0" w:rsidRPr="00B740B4">
        <w:rPr>
          <w:rFonts w:eastAsia="Times New Roman"/>
          <w:noProof/>
        </w:rPr>
        <w:t>/</w:t>
      </w:r>
      <w:r w:rsidR="00C93CC0" w:rsidRPr="00B740B4">
        <w:rPr>
          <w:rFonts w:ascii="Calibri" w:eastAsia="Times New Roman" w:hAnsi="Calibri" w:cs="Calibri"/>
          <w:noProof/>
        </w:rPr>
        <w:t>“</w:t>
      </w:r>
      <w:r w:rsidR="00C93CC0" w:rsidRPr="00B740B4">
        <w:rPr>
          <w:rFonts w:eastAsia="Times New Roman"/>
          <w:noProof/>
        </w:rPr>
        <w:t>befall</w:t>
      </w:r>
      <w:r w:rsidR="00C93CC0" w:rsidRPr="00B740B4">
        <w:rPr>
          <w:rFonts w:ascii="Calibri" w:eastAsia="Times New Roman" w:hAnsi="Calibri" w:cs="Calibri"/>
          <w:noProof/>
        </w:rPr>
        <w:t>”</w:t>
      </w:r>
      <w:r w:rsidR="000853D9" w:rsidRPr="00B740B4">
        <w:rPr>
          <w:rFonts w:eastAsia="Times New Roman"/>
          <w:noProof/>
        </w:rPr>
        <w:t xml:space="preserve"> in vv 24, 28 as vv 11, 22</w:t>
      </w:r>
      <w:r w:rsidR="00C93CC0" w:rsidRPr="00B740B4">
        <w:rPr>
          <w:rFonts w:eastAsia="Times New Roman"/>
          <w:noProof/>
        </w:rPr>
        <w:t xml:space="preserve"> (Coxon, </w:t>
      </w:r>
      <w:r w:rsidR="000853D9" w:rsidRPr="00B740B4">
        <w:rPr>
          <w:rFonts w:eastAsia="Times New Roman"/>
          <w:noProof/>
        </w:rPr>
        <w:t>“The ‘List’ Genre,”</w:t>
      </w:r>
      <w:r w:rsidR="00C93CC0" w:rsidRPr="00B740B4">
        <w:rPr>
          <w:rFonts w:eastAsia="Times New Roman"/>
          <w:noProof/>
        </w:rPr>
        <w:t xml:space="preserve"> 112).</w:t>
      </w:r>
    </w:p>
    <w:p w:rsidR="00C93CC0" w:rsidRPr="00B740B4" w:rsidRDefault="004436B2" w:rsidP="00343D94">
      <w:pPr>
        <w:rPr>
          <w:rFonts w:eastAsia="Times New Roman"/>
          <w:noProof/>
        </w:rPr>
      </w:pPr>
      <w:r w:rsidRPr="00B740B4">
        <w:rPr>
          <w:rFonts w:eastAsia="Times New Roman"/>
          <w:noProof/>
        </w:rPr>
        <w:t>2</w:t>
      </w:r>
      <w:r w:rsidR="00514DD8" w:rsidRPr="00B740B4">
        <w:rPr>
          <w:rFonts w:eastAsia="Times New Roman"/>
          <w:noProof/>
        </w:rPr>
        <w:t>7</w:t>
      </w:r>
      <w:r w:rsidR="00C93CC0" w:rsidRPr="00B740B4">
        <w:rPr>
          <w:rFonts w:eastAsia="Times New Roman"/>
          <w:noProof/>
        </w:rPr>
        <w:t>.a. See n. 2:6.a.</w:t>
      </w:r>
    </w:p>
    <w:p w:rsidR="00C93CC0" w:rsidRPr="00B740B4" w:rsidRDefault="004436B2" w:rsidP="00343D94">
      <w:pPr>
        <w:rPr>
          <w:rFonts w:eastAsia="Times New Roman"/>
          <w:noProof/>
        </w:rPr>
      </w:pPr>
      <w:r w:rsidRPr="00B740B4">
        <w:rPr>
          <w:rFonts w:eastAsia="Times New Roman"/>
          <w:noProof/>
        </w:rPr>
        <w:t>2</w:t>
      </w:r>
      <w:r w:rsidR="00514DD8" w:rsidRPr="00B740B4">
        <w:rPr>
          <w:rFonts w:eastAsia="Times New Roman"/>
          <w:noProof/>
        </w:rPr>
        <w:t>7</w:t>
      </w:r>
      <w:r w:rsidR="00C93CC0" w:rsidRPr="00B740B4">
        <w:rPr>
          <w:rFonts w:eastAsia="Times New Roman"/>
          <w:noProof/>
        </w:rPr>
        <w:t xml:space="preserve">.b. </w:t>
      </w:r>
      <w:r w:rsidR="00C93CC0" w:rsidRPr="00B740B4">
        <w:rPr>
          <w:rFonts w:ascii="Arial" w:eastAsia="Times New Roman" w:hAnsi="Arial" w:cs="Arial"/>
          <w:noProof/>
        </w:rPr>
        <w:t>פרק</w:t>
      </w:r>
      <w:r w:rsidR="00C93CC0" w:rsidRPr="00B740B4">
        <w:rPr>
          <w:rFonts w:eastAsia="Times New Roman"/>
          <w:noProof/>
        </w:rPr>
        <w:t xml:space="preserve"> </w:t>
      </w:r>
      <w:r w:rsidR="00C93CC0" w:rsidRPr="00B740B4">
        <w:rPr>
          <w:rFonts w:ascii="Calibri" w:eastAsia="Times New Roman" w:hAnsi="Calibri" w:cs="Calibri"/>
          <w:noProof/>
        </w:rPr>
        <w:t>“</w:t>
      </w:r>
      <w:r w:rsidR="00C93CC0" w:rsidRPr="00B740B4">
        <w:rPr>
          <w:rFonts w:eastAsia="Times New Roman"/>
          <w:noProof/>
        </w:rPr>
        <w:t>break</w:t>
      </w:r>
      <w:r w:rsidR="00C93CC0" w:rsidRPr="00B740B4">
        <w:rPr>
          <w:rFonts w:ascii="Calibri" w:eastAsia="Times New Roman" w:hAnsi="Calibri" w:cs="Calibri"/>
          <w:noProof/>
        </w:rPr>
        <w:t>”</w:t>
      </w:r>
      <w:r w:rsidR="00C93CC0" w:rsidRPr="00B740B4">
        <w:rPr>
          <w:rFonts w:eastAsia="Times New Roman"/>
          <w:noProof/>
        </w:rPr>
        <w:t xml:space="preserve"> can mean </w:t>
      </w:r>
      <w:r w:rsidR="00C93CC0" w:rsidRPr="00B740B4">
        <w:rPr>
          <w:rFonts w:ascii="Calibri" w:eastAsia="Times New Roman" w:hAnsi="Calibri" w:cs="Calibri"/>
          <w:noProof/>
        </w:rPr>
        <w:t>“</w:t>
      </w:r>
      <w:r w:rsidR="00C93CC0" w:rsidRPr="00B740B4">
        <w:rPr>
          <w:rFonts w:eastAsia="Times New Roman"/>
          <w:noProof/>
        </w:rPr>
        <w:t>untie</w:t>
      </w:r>
      <w:r w:rsidR="00C93CC0" w:rsidRPr="00B740B4">
        <w:rPr>
          <w:rFonts w:ascii="Calibri" w:eastAsia="Times New Roman" w:hAnsi="Calibri" w:cs="Calibri"/>
          <w:noProof/>
        </w:rPr>
        <w:t>”</w:t>
      </w:r>
      <w:r w:rsidR="00C93CC0" w:rsidRPr="00B740B4">
        <w:rPr>
          <w:rFonts w:eastAsia="Times New Roman"/>
          <w:noProof/>
        </w:rPr>
        <w:t xml:space="preserve"> and thus </w:t>
      </w:r>
      <w:r w:rsidR="00C93CC0" w:rsidRPr="00B740B4">
        <w:rPr>
          <w:rFonts w:ascii="Calibri" w:eastAsia="Times New Roman" w:hAnsi="Calibri" w:cs="Calibri"/>
          <w:noProof/>
        </w:rPr>
        <w:t>“</w:t>
      </w:r>
      <w:r w:rsidR="00C93CC0" w:rsidRPr="00B740B4">
        <w:rPr>
          <w:rFonts w:eastAsia="Times New Roman"/>
          <w:noProof/>
        </w:rPr>
        <w:t>release/redeem</w:t>
      </w:r>
      <w:r w:rsidR="00C93CC0" w:rsidRPr="00B740B4">
        <w:rPr>
          <w:rFonts w:ascii="Calibri" w:eastAsia="Times New Roman" w:hAnsi="Calibri" w:cs="Calibri"/>
          <w:noProof/>
        </w:rPr>
        <w:t>”</w:t>
      </w:r>
      <w:r w:rsidR="00C93CC0" w:rsidRPr="00B740B4">
        <w:rPr>
          <w:rFonts w:eastAsia="Times New Roman"/>
          <w:noProof/>
        </w:rPr>
        <w:t>; but the obj</w:t>
      </w:r>
      <w:r w:rsidR="000853D9" w:rsidRPr="00B740B4">
        <w:rPr>
          <w:rFonts w:eastAsia="Times New Roman"/>
          <w:noProof/>
        </w:rPr>
        <w:t>ect</w:t>
      </w:r>
      <w:r w:rsidR="00C93CC0" w:rsidRPr="00B740B4">
        <w:rPr>
          <w:rFonts w:eastAsia="Times New Roman"/>
          <w:noProof/>
        </w:rPr>
        <w:t xml:space="preserve"> is then the thing to be released, not the bond (cf. Ps 136:24; Lam 5:8), so that </w:t>
      </w:r>
      <w:r w:rsidR="00C93CC0" w:rsidRPr="00B740B4">
        <w:rPr>
          <w:rFonts w:ascii="Calibri" w:eastAsia="Times New Roman" w:hAnsi="Calibri" w:cs="Calibri"/>
          <w:noProof/>
        </w:rPr>
        <w:t>“</w:t>
      </w:r>
      <w:r w:rsidR="00C93CC0" w:rsidRPr="00B740B4">
        <w:rPr>
          <w:rFonts w:eastAsia="Times New Roman"/>
          <w:noProof/>
        </w:rPr>
        <w:t>redeem your sins</w:t>
      </w:r>
      <w:r w:rsidR="00C93CC0" w:rsidRPr="00B740B4">
        <w:rPr>
          <w:rFonts w:ascii="Calibri" w:eastAsia="Times New Roman" w:hAnsi="Calibri" w:cs="Calibri"/>
          <w:noProof/>
        </w:rPr>
        <w:t> </w:t>
      </w:r>
      <w:r w:rsidR="00C93CC0" w:rsidRPr="00B740B4">
        <w:rPr>
          <w:rFonts w:eastAsia="Times New Roman"/>
          <w:noProof/>
        </w:rPr>
        <w:t>.</w:t>
      </w:r>
      <w:r w:rsidR="00C93CC0" w:rsidRPr="00B740B4">
        <w:rPr>
          <w:rFonts w:ascii="Calibri" w:eastAsia="Times New Roman" w:hAnsi="Calibri" w:cs="Calibri"/>
          <w:noProof/>
        </w:rPr>
        <w:t> </w:t>
      </w:r>
      <w:r w:rsidR="00C93CC0" w:rsidRPr="00B740B4">
        <w:rPr>
          <w:rFonts w:eastAsia="Times New Roman"/>
          <w:noProof/>
        </w:rPr>
        <w:t>.</w:t>
      </w:r>
      <w:r w:rsidR="00C93CC0" w:rsidRPr="00B740B4">
        <w:rPr>
          <w:rFonts w:ascii="Calibri" w:eastAsia="Times New Roman" w:hAnsi="Calibri" w:cs="Calibri"/>
          <w:noProof/>
        </w:rPr>
        <w:t> </w:t>
      </w:r>
      <w:r w:rsidR="00C93CC0" w:rsidRPr="00B740B4">
        <w:rPr>
          <w:rFonts w:eastAsia="Times New Roman"/>
          <w:noProof/>
        </w:rPr>
        <w:t>.</w:t>
      </w:r>
      <w:r w:rsidR="00C93CC0" w:rsidRPr="00B740B4">
        <w:rPr>
          <w:rFonts w:ascii="Calibri" w:eastAsia="Times New Roman" w:hAnsi="Calibri" w:cs="Calibri"/>
          <w:noProof/>
        </w:rPr>
        <w:t>”</w:t>
      </w:r>
      <w:r w:rsidR="00C93CC0" w:rsidRPr="00B740B4">
        <w:rPr>
          <w:rFonts w:eastAsia="Times New Roman"/>
          <w:noProof/>
        </w:rPr>
        <w:t xml:space="preserve"> (G </w:t>
      </w:r>
      <w:r w:rsidR="00C93CC0" w:rsidRPr="00B740B4">
        <w:rPr>
          <w:rFonts w:ascii="Calibri" w:eastAsia="Times New Roman" w:hAnsi="Calibri" w:cs="Calibri"/>
          <w:noProof/>
        </w:rPr>
        <w:t>λυ</w:t>
      </w:r>
      <w:r w:rsidR="00C93CC0" w:rsidRPr="00B740B4">
        <w:rPr>
          <w:rFonts w:eastAsia="Times New Roman"/>
          <w:noProof/>
        </w:rPr>
        <w:t>́</w:t>
      </w:r>
      <w:r w:rsidR="00C93CC0" w:rsidRPr="00B740B4">
        <w:rPr>
          <w:rFonts w:ascii="Calibri" w:eastAsia="Times New Roman" w:hAnsi="Calibri" w:cs="Calibri"/>
          <w:noProof/>
        </w:rPr>
        <w:t>τρωσαι</w:t>
      </w:r>
      <w:r w:rsidR="00C93CC0" w:rsidRPr="00B740B4">
        <w:rPr>
          <w:rFonts w:eastAsia="Times New Roman"/>
          <w:noProof/>
        </w:rPr>
        <w:t xml:space="preserve">, </w:t>
      </w:r>
      <w:r w:rsidR="0014288C" w:rsidRPr="00B740B4">
        <w:rPr>
          <w:rFonts w:eastAsia="Times New Roman"/>
          <w:noProof/>
        </w:rPr>
        <w:t xml:space="preserve"> Vg </w:t>
      </w:r>
      <w:r w:rsidR="0014288C" w:rsidRPr="00B740B4">
        <w:rPr>
          <w:rFonts w:eastAsia="Times New Roman"/>
          <w:i/>
          <w:noProof/>
        </w:rPr>
        <w:t>redime</w:t>
      </w:r>
      <w:r w:rsidR="0014288C" w:rsidRPr="00B740B4">
        <w:rPr>
          <w:rFonts w:eastAsia="Times New Roman"/>
          <w:noProof/>
        </w:rPr>
        <w:t>;</w:t>
      </w:r>
      <w:r w:rsidR="0014288C" w:rsidRPr="00B740B4">
        <w:rPr>
          <w:rFonts w:eastAsia="Times New Roman"/>
          <w:i/>
          <w:noProof/>
        </w:rPr>
        <w:t xml:space="preserve"> </w:t>
      </w:r>
      <w:r w:rsidR="00C93CC0" w:rsidRPr="00B740B4">
        <w:rPr>
          <w:rFonts w:eastAsia="Times New Roman"/>
          <w:noProof/>
        </w:rPr>
        <w:t xml:space="preserve">cf. </w:t>
      </w:r>
      <w:r w:rsidR="00C93CC0" w:rsidRPr="00B740B4">
        <w:rPr>
          <w:rFonts w:eastAsia="Times New Roman"/>
          <w:smallCaps/>
          <w:noProof/>
        </w:rPr>
        <w:t>neb</w:t>
      </w:r>
      <w:r w:rsidR="00F20527" w:rsidRPr="00B740B4">
        <w:rPr>
          <w:rFonts w:eastAsia="Times New Roman"/>
          <w:noProof/>
        </w:rPr>
        <w:t xml:space="preserve">) </w:t>
      </w:r>
      <w:r w:rsidR="0014288C" w:rsidRPr="00B740B4">
        <w:rPr>
          <w:rFonts w:eastAsia="Times New Roman"/>
          <w:noProof/>
        </w:rPr>
        <w:t xml:space="preserve">or “atone for your sins” </w:t>
      </w:r>
      <w:r w:rsidR="00F23E1B" w:rsidRPr="00B740B4">
        <w:rPr>
          <w:rFonts w:eastAsia="Times New Roman"/>
          <w:noProof/>
        </w:rPr>
        <w:t xml:space="preserve">(NRSV) </w:t>
      </w:r>
      <w:r w:rsidR="000853D9" w:rsidRPr="00B740B4">
        <w:rPr>
          <w:rFonts w:eastAsia="Times New Roman"/>
          <w:noProof/>
        </w:rPr>
        <w:t xml:space="preserve">is hardly </w:t>
      </w:r>
      <w:r w:rsidR="009E5AB9" w:rsidRPr="00B740B4">
        <w:rPr>
          <w:rFonts w:eastAsia="Times New Roman"/>
          <w:noProof/>
        </w:rPr>
        <w:t xml:space="preserve">possible (cf. Koch, </w:t>
      </w:r>
      <w:r w:rsidR="009E5AB9" w:rsidRPr="00B740B4">
        <w:rPr>
          <w:rFonts w:eastAsia="Times New Roman"/>
          <w:i/>
          <w:noProof/>
        </w:rPr>
        <w:t>Daniel 1—4</w:t>
      </w:r>
      <w:r w:rsidR="009E5AB9" w:rsidRPr="00B740B4">
        <w:rPr>
          <w:rFonts w:eastAsia="Times New Roman"/>
          <w:noProof/>
        </w:rPr>
        <w:t>).</w:t>
      </w:r>
    </w:p>
    <w:p w:rsidR="00C93CC0" w:rsidRPr="00B740B4" w:rsidRDefault="004436B2" w:rsidP="00343D94">
      <w:pPr>
        <w:rPr>
          <w:rFonts w:eastAsia="Times New Roman"/>
          <w:noProof/>
        </w:rPr>
      </w:pPr>
      <w:r w:rsidRPr="00B740B4">
        <w:rPr>
          <w:rFonts w:eastAsia="Times New Roman"/>
          <w:noProof/>
        </w:rPr>
        <w:t>2</w:t>
      </w:r>
      <w:r w:rsidR="00514DD8" w:rsidRPr="00B740B4">
        <w:rPr>
          <w:rFonts w:eastAsia="Times New Roman"/>
          <w:noProof/>
        </w:rPr>
        <w:t>7</w:t>
      </w:r>
      <w:r w:rsidR="00E23BEB">
        <w:rPr>
          <w:rFonts w:eastAsia="Times New Roman"/>
          <w:noProof/>
        </w:rPr>
        <w:t>.c</w:t>
      </w:r>
      <w:r w:rsidR="00C93CC0" w:rsidRPr="00B740B4">
        <w:rPr>
          <w:rFonts w:eastAsia="Times New Roman"/>
          <w:noProof/>
        </w:rPr>
        <w:t xml:space="preserve">. </w:t>
      </w:r>
      <w:r w:rsidR="00C93CC0" w:rsidRPr="00B740B4">
        <w:rPr>
          <w:rFonts w:ascii="Arial" w:eastAsia="Times New Roman" w:hAnsi="Arial" w:cs="Arial"/>
          <w:noProof/>
        </w:rPr>
        <w:t>צדקה</w:t>
      </w:r>
      <w:r w:rsidR="00D1503E" w:rsidRPr="00B740B4">
        <w:rPr>
          <w:rFonts w:eastAsia="Times New Roman"/>
          <w:noProof/>
        </w:rPr>
        <w:t xml:space="preserve"> </w:t>
      </w:r>
      <w:r w:rsidR="00C93CC0" w:rsidRPr="00B740B4">
        <w:rPr>
          <w:rFonts w:eastAsia="Times New Roman"/>
          <w:noProof/>
        </w:rPr>
        <w:t>includes seeing to a fair dis</w:t>
      </w:r>
      <w:r w:rsidR="008B7786">
        <w:rPr>
          <w:rFonts w:eastAsia="Times New Roman"/>
          <w:noProof/>
        </w:rPr>
        <w:t>tribution of resources, and</w:t>
      </w:r>
      <w:r w:rsidR="00432CC0">
        <w:rPr>
          <w:rFonts w:eastAsia="Times New Roman"/>
          <w:noProof/>
        </w:rPr>
        <w:t xml:space="preserve"> it</w:t>
      </w:r>
      <w:r w:rsidR="008B7786">
        <w:rPr>
          <w:rFonts w:eastAsia="Times New Roman"/>
          <w:noProof/>
        </w:rPr>
        <w:t xml:space="preserve"> </w:t>
      </w:r>
      <w:r w:rsidR="00C93CC0" w:rsidRPr="00B740B4">
        <w:rPr>
          <w:rFonts w:eastAsia="Times New Roman"/>
          <w:noProof/>
        </w:rPr>
        <w:t xml:space="preserve">came to mean </w:t>
      </w:r>
      <w:r w:rsidR="000853D9" w:rsidRPr="00B740B4">
        <w:rPr>
          <w:rFonts w:eastAsia="Times New Roman"/>
          <w:noProof/>
        </w:rPr>
        <w:t>charity,</w:t>
      </w:r>
      <w:r w:rsidR="000853D9" w:rsidRPr="00B740B4">
        <w:rPr>
          <w:rFonts w:ascii="Calibri" w:eastAsia="Times New Roman" w:hAnsi="Calibri" w:cs="Calibri"/>
          <w:noProof/>
        </w:rPr>
        <w:t xml:space="preserve"> which</w:t>
      </w:r>
      <w:r w:rsidR="00E758E8" w:rsidRPr="00B740B4">
        <w:rPr>
          <w:rFonts w:eastAsia="Times New Roman"/>
          <w:noProof/>
        </w:rPr>
        <w:t xml:space="preserve"> Anderson (</w:t>
      </w:r>
      <w:r w:rsidR="00E758E8" w:rsidRPr="00B740B4">
        <w:rPr>
          <w:rFonts w:eastAsia="Times New Roman"/>
          <w:i/>
          <w:noProof/>
        </w:rPr>
        <w:t>Sin</w:t>
      </w:r>
      <w:r w:rsidR="00E758E8" w:rsidRPr="00B740B4">
        <w:rPr>
          <w:rFonts w:eastAsia="Times New Roman"/>
          <w:noProof/>
        </w:rPr>
        <w:t>, 135-44)</w:t>
      </w:r>
      <w:r w:rsidR="00E758E8" w:rsidRPr="00B740B4">
        <w:rPr>
          <w:rFonts w:eastAsia="Times New Roman"/>
          <w:i/>
          <w:noProof/>
        </w:rPr>
        <w:t xml:space="preserve"> </w:t>
      </w:r>
      <w:r w:rsidR="000853D9" w:rsidRPr="00B740B4">
        <w:rPr>
          <w:rFonts w:eastAsia="Times New Roman"/>
          <w:noProof/>
        </w:rPr>
        <w:t xml:space="preserve">takes </w:t>
      </w:r>
      <w:r w:rsidR="00C93CC0" w:rsidRPr="00B740B4">
        <w:rPr>
          <w:rFonts w:eastAsia="Times New Roman"/>
          <w:noProof/>
        </w:rPr>
        <w:t>as the specific mean</w:t>
      </w:r>
      <w:r w:rsidR="000853D9" w:rsidRPr="00B740B4">
        <w:rPr>
          <w:rFonts w:eastAsia="Times New Roman"/>
          <w:noProof/>
        </w:rPr>
        <w:t xml:space="preserve">ing here (cf. </w:t>
      </w:r>
      <w:r w:rsidR="008B7786" w:rsidRPr="008B7786">
        <w:rPr>
          <w:rFonts w:eastAsia="Times New Roman"/>
          <w:noProof/>
        </w:rPr>
        <w:t>Tob 12:9; 14:11</w:t>
      </w:r>
      <w:r w:rsidR="008B7786">
        <w:rPr>
          <w:rFonts w:eastAsia="Times New Roman"/>
          <w:noProof/>
        </w:rPr>
        <w:t xml:space="preserve">; and here </w:t>
      </w:r>
      <w:r w:rsidR="000853D9" w:rsidRPr="00B740B4">
        <w:rPr>
          <w:rFonts w:eastAsia="Times New Roman"/>
          <w:noProof/>
        </w:rPr>
        <w:t>G ἐλεημοσύνη</w:t>
      </w:r>
      <w:r w:rsidR="0014288C" w:rsidRPr="00B740B4">
        <w:rPr>
          <w:rFonts w:eastAsia="Times New Roman"/>
          <w:noProof/>
        </w:rPr>
        <w:t>; similarly Vg, Syr</w:t>
      </w:r>
      <w:r w:rsidR="008B7786">
        <w:rPr>
          <w:rFonts w:eastAsia="Times New Roman"/>
          <w:noProof/>
        </w:rPr>
        <w:t>)</w:t>
      </w:r>
      <w:r w:rsidR="00C93CC0" w:rsidRPr="00B740B4">
        <w:rPr>
          <w:rFonts w:eastAsia="Times New Roman"/>
          <w:noProof/>
        </w:rPr>
        <w:t xml:space="preserve">. But </w:t>
      </w:r>
      <w:r w:rsidR="00E758E8" w:rsidRPr="00B740B4">
        <w:rPr>
          <w:rFonts w:eastAsia="Times New Roman"/>
          <w:noProof/>
        </w:rPr>
        <w:t>a king had a di</w:t>
      </w:r>
      <w:r w:rsidR="00D1503E" w:rsidRPr="00B740B4">
        <w:rPr>
          <w:rFonts w:eastAsia="Times New Roman"/>
          <w:noProof/>
        </w:rPr>
        <w:t xml:space="preserve">stinctive responsibility for </w:t>
      </w:r>
      <w:r w:rsidR="00D1503E" w:rsidRPr="00B740B4">
        <w:rPr>
          <w:rFonts w:ascii="Arial" w:eastAsia="Times New Roman" w:hAnsi="Arial" w:cs="Arial"/>
          <w:noProof/>
        </w:rPr>
        <w:t>צדקה</w:t>
      </w:r>
      <w:r w:rsidR="008B7786">
        <w:rPr>
          <w:rFonts w:eastAsia="Times New Roman"/>
          <w:noProof/>
        </w:rPr>
        <w:t xml:space="preserve"> in the</w:t>
      </w:r>
      <w:r w:rsidR="00D1503E" w:rsidRPr="00B740B4">
        <w:rPr>
          <w:rFonts w:eastAsia="Times New Roman"/>
          <w:noProof/>
        </w:rPr>
        <w:t xml:space="preserve"> broader sense, and</w:t>
      </w:r>
      <w:r w:rsidR="00C93CC0" w:rsidRPr="00B740B4">
        <w:rPr>
          <w:rFonts w:eastAsia="Times New Roman"/>
          <w:noProof/>
        </w:rPr>
        <w:t xml:space="preserve"> Nebuchadnezzar is addressed as </w:t>
      </w:r>
      <w:r w:rsidR="00C93CC0" w:rsidRPr="00432CC0">
        <w:rPr>
          <w:rFonts w:eastAsia="Times New Roman"/>
          <w:noProof/>
        </w:rPr>
        <w:t>king</w:t>
      </w:r>
      <w:r w:rsidR="00C93CC0" w:rsidRPr="00B740B4">
        <w:rPr>
          <w:rFonts w:eastAsia="Times New Roman"/>
          <w:noProof/>
        </w:rPr>
        <w:t xml:space="preserve">, </w:t>
      </w:r>
      <w:r w:rsidR="00D1503E" w:rsidRPr="00B740B4">
        <w:rPr>
          <w:rFonts w:eastAsia="Times New Roman"/>
          <w:noProof/>
        </w:rPr>
        <w:t xml:space="preserve">so </w:t>
      </w:r>
      <w:r w:rsidR="00C93CC0" w:rsidRPr="00B740B4">
        <w:rPr>
          <w:rFonts w:eastAsia="Times New Roman"/>
          <w:noProof/>
        </w:rPr>
        <w:t>the older/broader meaning</w:t>
      </w:r>
      <w:r w:rsidR="0014288C" w:rsidRPr="00B740B4">
        <w:rPr>
          <w:rFonts w:eastAsia="Times New Roman"/>
          <w:noProof/>
        </w:rPr>
        <w:t xml:space="preserve"> is </w:t>
      </w:r>
      <w:r w:rsidR="00C93CC0" w:rsidRPr="00B740B4">
        <w:rPr>
          <w:rFonts w:eastAsia="Times New Roman"/>
          <w:noProof/>
        </w:rPr>
        <w:t>appropriate.</w:t>
      </w:r>
      <w:r w:rsidR="00D1503E" w:rsidRPr="00B740B4">
        <w:rPr>
          <w:rFonts w:eastAsia="Times New Roman"/>
          <w:noProof/>
        </w:rPr>
        <w:t xml:space="preserve"> Cf. the parallel expression “showing favor to the lowly.”</w:t>
      </w:r>
    </w:p>
    <w:p w:rsidR="00E23BEB" w:rsidRPr="00432CC0" w:rsidRDefault="00E23BEB" w:rsidP="00E23BEB">
      <w:pPr>
        <w:rPr>
          <w:noProof/>
        </w:rPr>
      </w:pPr>
      <w:r w:rsidRPr="00B740B4">
        <w:rPr>
          <w:rFonts w:eastAsia="Times New Roman"/>
          <w:noProof/>
        </w:rPr>
        <w:t>27</w:t>
      </w:r>
      <w:r>
        <w:rPr>
          <w:rFonts w:eastAsia="Times New Roman"/>
          <w:noProof/>
        </w:rPr>
        <w:t>.c. Both</w:t>
      </w:r>
      <w:r w:rsidRPr="00B740B4">
        <w:rPr>
          <w:rFonts w:eastAsia="Times New Roman"/>
          <w:noProof/>
        </w:rPr>
        <w:t xml:space="preserve"> </w:t>
      </w:r>
      <w:r w:rsidRPr="00B740B4">
        <w:rPr>
          <w:rFonts w:ascii="Arial" w:eastAsia="Times New Roman" w:hAnsi="Arial" w:cs="Arial"/>
          <w:noProof/>
        </w:rPr>
        <w:t>חטיך</w:t>
      </w:r>
      <w:r w:rsidRPr="00B740B4">
        <w:rPr>
          <w:rFonts w:eastAsia="Times New Roman"/>
          <w:noProof/>
        </w:rPr>
        <w:t xml:space="preserve"> </w:t>
      </w:r>
      <w:r>
        <w:rPr>
          <w:rFonts w:eastAsia="Times New Roman"/>
          <w:noProof/>
        </w:rPr>
        <w:t xml:space="preserve">and </w:t>
      </w:r>
      <w:r w:rsidR="00432CC0" w:rsidRPr="00432CC0">
        <w:rPr>
          <w:rFonts w:ascii="Arial" w:hAnsi="Arial" w:cs="Arial"/>
          <w:noProof/>
        </w:rPr>
        <w:t>ן</w:t>
      </w:r>
      <w:r w:rsidR="00432CC0" w:rsidRPr="00432CC0">
        <w:rPr>
          <w:noProof/>
        </w:rPr>
        <w:t xml:space="preserve"> </w:t>
      </w:r>
      <w:r w:rsidR="00432CC0" w:rsidRPr="00432CC0">
        <w:rPr>
          <w:rFonts w:ascii="Arial" w:hAnsi="Arial" w:cs="Arial"/>
          <w:noProof/>
        </w:rPr>
        <w:t>ת</w:t>
      </w:r>
      <w:r w:rsidR="00432CC0" w:rsidRPr="00432CC0">
        <w:rPr>
          <w:noProof/>
        </w:rPr>
        <w:t xml:space="preserve"> </w:t>
      </w:r>
      <w:r w:rsidR="00432CC0" w:rsidRPr="00432CC0">
        <w:rPr>
          <w:rFonts w:ascii="Arial" w:hAnsi="Arial" w:cs="Arial"/>
          <w:noProof/>
        </w:rPr>
        <w:t>י</w:t>
      </w:r>
      <w:r w:rsidR="00432CC0" w:rsidRPr="00432CC0">
        <w:rPr>
          <w:noProof/>
        </w:rPr>
        <w:t xml:space="preserve"> </w:t>
      </w:r>
      <w:r w:rsidR="00432CC0" w:rsidRPr="00432CC0">
        <w:rPr>
          <w:rFonts w:ascii="Arial" w:hAnsi="Arial" w:cs="Arial"/>
          <w:noProof/>
        </w:rPr>
        <w:t>ו</w:t>
      </w:r>
      <w:r w:rsidR="00432CC0" w:rsidRPr="00432CC0">
        <w:rPr>
          <w:noProof/>
        </w:rPr>
        <w:t xml:space="preserve"> </w:t>
      </w:r>
      <w:r w:rsidR="00432CC0" w:rsidRPr="00432CC0">
        <w:rPr>
          <w:rFonts w:ascii="Arial" w:hAnsi="Arial" w:cs="Arial"/>
          <w:noProof/>
        </w:rPr>
        <w:t>ע</w:t>
      </w:r>
      <w:r>
        <w:rPr>
          <w:rFonts w:eastAsia="Times New Roman"/>
          <w:noProof/>
        </w:rPr>
        <w:t xml:space="preserve"> </w:t>
      </w:r>
      <w:r w:rsidR="00432CC0">
        <w:rPr>
          <w:rFonts w:eastAsia="Times New Roman"/>
          <w:noProof/>
        </w:rPr>
        <w:t>(wrongdoing, waywardness) might be s. or pl</w:t>
      </w:r>
      <w:r w:rsidRPr="00B740B4">
        <w:rPr>
          <w:rFonts w:eastAsia="Times New Roman"/>
          <w:noProof/>
        </w:rPr>
        <w:t>.</w:t>
      </w:r>
    </w:p>
    <w:p w:rsidR="00C93CC0" w:rsidRPr="00B740B4" w:rsidRDefault="004436B2" w:rsidP="00343D94">
      <w:pPr>
        <w:rPr>
          <w:rFonts w:eastAsia="Times New Roman"/>
          <w:noProof/>
        </w:rPr>
      </w:pPr>
      <w:r w:rsidRPr="00B740B4">
        <w:rPr>
          <w:rFonts w:eastAsia="Times New Roman"/>
          <w:noProof/>
        </w:rPr>
        <w:lastRenderedPageBreak/>
        <w:t>2</w:t>
      </w:r>
      <w:r w:rsidR="00514DD8" w:rsidRPr="00B740B4">
        <w:rPr>
          <w:rFonts w:eastAsia="Times New Roman"/>
          <w:noProof/>
        </w:rPr>
        <w:t>7</w:t>
      </w:r>
      <w:r w:rsidR="00C93CC0" w:rsidRPr="00B740B4">
        <w:rPr>
          <w:rFonts w:eastAsia="Times New Roman"/>
          <w:noProof/>
        </w:rPr>
        <w:t xml:space="preserve">.e-e. </w:t>
      </w:r>
      <w:r w:rsidR="00C93CC0" w:rsidRPr="00B740B4">
        <w:rPr>
          <w:rFonts w:ascii="Arial" w:eastAsia="Times New Roman" w:hAnsi="Arial" w:cs="Arial"/>
          <w:noProof/>
        </w:rPr>
        <w:t>לשלותך</w:t>
      </w:r>
      <w:r w:rsidR="000853D9" w:rsidRPr="00B740B4">
        <w:rPr>
          <w:rFonts w:ascii="Arial" w:eastAsia="Times New Roman" w:hAnsi="Arial" w:cs="Arial"/>
          <w:noProof/>
        </w:rPr>
        <w:t xml:space="preserve"> ארבה</w:t>
      </w:r>
      <w:r w:rsidR="00C93CC0" w:rsidRPr="00B740B4">
        <w:rPr>
          <w:rFonts w:eastAsia="Times New Roman"/>
          <w:noProof/>
        </w:rPr>
        <w:t xml:space="preserve">; RVmg </w:t>
      </w:r>
      <w:r w:rsidR="00C93CC0" w:rsidRPr="00B740B4">
        <w:rPr>
          <w:rFonts w:ascii="Calibri" w:eastAsia="Times New Roman" w:hAnsi="Calibri" w:cs="Calibri"/>
          <w:noProof/>
        </w:rPr>
        <w:t>“</w:t>
      </w:r>
      <w:r w:rsidR="00C93CC0" w:rsidRPr="00B740B4">
        <w:rPr>
          <w:rFonts w:eastAsia="Times New Roman"/>
          <w:noProof/>
        </w:rPr>
        <w:t>a healing of thine error</w:t>
      </w:r>
      <w:r w:rsidR="00C93CC0" w:rsidRPr="00B740B4">
        <w:rPr>
          <w:rFonts w:ascii="Calibri" w:eastAsia="Times New Roman" w:hAnsi="Calibri" w:cs="Calibri"/>
          <w:noProof/>
        </w:rPr>
        <w:t>”</w:t>
      </w:r>
      <w:r w:rsidR="00E932DC" w:rsidRPr="00B740B4">
        <w:rPr>
          <w:rFonts w:eastAsia="Times New Roman"/>
          <w:noProof/>
        </w:rPr>
        <w:t xml:space="preserve"> (cf. Syr</w:t>
      </w:r>
      <w:r w:rsidR="00C93CC0" w:rsidRPr="00B740B4">
        <w:rPr>
          <w:rFonts w:eastAsia="Times New Roman"/>
          <w:noProof/>
        </w:rPr>
        <w:t>, Th, Vg f</w:t>
      </w:r>
      <w:r w:rsidR="000853D9" w:rsidRPr="00B740B4">
        <w:rPr>
          <w:rFonts w:eastAsia="Times New Roman"/>
          <w:noProof/>
        </w:rPr>
        <w:t xml:space="preserve">or the second noun) implies the </w:t>
      </w:r>
      <w:r w:rsidR="00C93CC0" w:rsidRPr="00B740B4">
        <w:rPr>
          <w:rFonts w:eastAsia="Times New Roman"/>
          <w:noProof/>
        </w:rPr>
        <w:t xml:space="preserve">pointing </w:t>
      </w:r>
      <w:r w:rsidR="00C93CC0" w:rsidRPr="00B740B4">
        <w:rPr>
          <w:rFonts w:ascii="Arial" w:eastAsia="Times New Roman" w:hAnsi="Arial" w:cs="Arial"/>
          <w:noProof/>
        </w:rPr>
        <w:t>לְשָׁלוּתָך</w:t>
      </w:r>
      <w:r w:rsidR="00C93CC0" w:rsidRPr="00B740B4">
        <w:rPr>
          <w:rFonts w:eastAsia="Times New Roman"/>
          <w:noProof/>
        </w:rPr>
        <w:t xml:space="preserve"> </w:t>
      </w:r>
      <w:r w:rsidR="000853D9" w:rsidRPr="00B740B4">
        <w:rPr>
          <w:rFonts w:ascii="Arial" w:eastAsia="Times New Roman" w:hAnsi="Arial" w:cs="Arial"/>
          <w:noProof/>
        </w:rPr>
        <w:t>אֲבֻכָה</w:t>
      </w:r>
      <w:r w:rsidR="000853D9" w:rsidRPr="00B740B4">
        <w:rPr>
          <w:rFonts w:eastAsia="Times New Roman"/>
          <w:noProof/>
        </w:rPr>
        <w:t xml:space="preserve"> </w:t>
      </w:r>
      <w:r w:rsidR="00C93CC0" w:rsidRPr="00B740B4">
        <w:rPr>
          <w:rFonts w:eastAsia="Times New Roman"/>
          <w:noProof/>
        </w:rPr>
        <w:t>(cf. BDB</w:t>
      </w:r>
      <w:r w:rsidR="00F20527" w:rsidRPr="00B740B4">
        <w:rPr>
          <w:rFonts w:eastAsia="Times New Roman"/>
          <w:noProof/>
        </w:rPr>
        <w:t>,</w:t>
      </w:r>
      <w:r w:rsidR="00C93CC0" w:rsidRPr="00B740B4">
        <w:rPr>
          <w:rFonts w:eastAsia="Times New Roman"/>
          <w:noProof/>
        </w:rPr>
        <w:t xml:space="preserve"> 74a, 1</w:t>
      </w:r>
      <w:r w:rsidR="000853D9" w:rsidRPr="00B740B4">
        <w:rPr>
          <w:rFonts w:eastAsia="Times New Roman"/>
          <w:noProof/>
        </w:rPr>
        <w:t>115b). B</w:t>
      </w:r>
      <w:r w:rsidR="00C93CC0" w:rsidRPr="00B740B4">
        <w:rPr>
          <w:rFonts w:eastAsia="Times New Roman"/>
          <w:noProof/>
        </w:rPr>
        <w:t xml:space="preserve">ut </w:t>
      </w:r>
      <w:r w:rsidR="00C93CC0" w:rsidRPr="00B740B4">
        <w:rPr>
          <w:rFonts w:ascii="Arial" w:eastAsia="Times New Roman" w:hAnsi="Arial" w:cs="Arial"/>
          <w:noProof/>
        </w:rPr>
        <w:t>שלוה</w:t>
      </w:r>
      <w:r w:rsidR="000853D9" w:rsidRPr="00B740B4">
        <w:rPr>
          <w:rFonts w:eastAsia="Times New Roman"/>
          <w:noProof/>
        </w:rPr>
        <w:t xml:space="preserve"> is surely picked up from v 4</w:t>
      </w:r>
      <w:r w:rsidR="00C93CC0" w:rsidRPr="00B740B4">
        <w:rPr>
          <w:rFonts w:eastAsia="Times New Roman"/>
          <w:noProof/>
        </w:rPr>
        <w:t>.</w:t>
      </w:r>
    </w:p>
    <w:p w:rsidR="00EE517A" w:rsidRPr="00B740B4" w:rsidRDefault="00EE517A" w:rsidP="00343D94">
      <w:pPr>
        <w:rPr>
          <w:rFonts w:eastAsia="Times New Roman"/>
          <w:noProof/>
        </w:rPr>
      </w:pPr>
      <w:r w:rsidRPr="00B740B4">
        <w:rPr>
          <w:rFonts w:eastAsia="Times New Roman"/>
          <w:noProof/>
        </w:rPr>
        <w:t xml:space="preserve">30.a. I take </w:t>
      </w:r>
      <w:r w:rsidRPr="00B740B4">
        <w:rPr>
          <w:rFonts w:ascii="Arial" w:eastAsia="Times New Roman" w:hAnsi="Arial" w:cs="Arial"/>
          <w:noProof/>
        </w:rPr>
        <w:t>א</w:t>
      </w:r>
      <w:r w:rsidRPr="00B740B4">
        <w:rPr>
          <w:rFonts w:eastAsia="Times New Roman"/>
          <w:noProof/>
        </w:rPr>
        <w:t xml:space="preserve"> </w:t>
      </w:r>
      <w:r w:rsidRPr="00B740B4">
        <w:rPr>
          <w:rFonts w:ascii="Arial" w:eastAsia="Times New Roman" w:hAnsi="Arial" w:cs="Arial"/>
          <w:noProof/>
        </w:rPr>
        <w:t>ל</w:t>
      </w:r>
      <w:r w:rsidRPr="00B740B4">
        <w:rPr>
          <w:rFonts w:eastAsia="Times New Roman"/>
          <w:noProof/>
        </w:rPr>
        <w:t xml:space="preserve"> </w:t>
      </w:r>
      <w:r w:rsidRPr="00B740B4">
        <w:rPr>
          <w:rFonts w:ascii="Arial" w:eastAsia="Times New Roman" w:hAnsi="Arial" w:cs="Arial"/>
          <w:noProof/>
        </w:rPr>
        <w:t>ה</w:t>
      </w:r>
      <w:r w:rsidRPr="00B740B4">
        <w:rPr>
          <w:rFonts w:eastAsia="Times New Roman"/>
          <w:noProof/>
        </w:rPr>
        <w:t xml:space="preserve"> as an interrogative expecting the answer “Y</w:t>
      </w:r>
      <w:r w:rsidR="00044D0F" w:rsidRPr="00B740B4">
        <w:rPr>
          <w:rFonts w:eastAsia="Times New Roman"/>
          <w:noProof/>
        </w:rPr>
        <w:t xml:space="preserve">es,” as in 2:27; 6:12 [13]. </w:t>
      </w:r>
      <w:r w:rsidRPr="00B740B4">
        <w:rPr>
          <w:rFonts w:eastAsia="Times New Roman"/>
          <w:noProof/>
        </w:rPr>
        <w:t xml:space="preserve">Mastin, “The Meaning of </w:t>
      </w:r>
      <w:r w:rsidRPr="00B740B4">
        <w:rPr>
          <w:rFonts w:eastAsia="Times New Roman"/>
          <w:i/>
          <w:noProof/>
        </w:rPr>
        <w:t>h</w:t>
      </w:r>
      <w:r w:rsidRPr="00B740B4">
        <w:rPr>
          <w:rFonts w:eastAsia="Times New Roman"/>
          <w:i/>
          <w:noProof/>
          <w:vertAlign w:val="superscript"/>
        </w:rPr>
        <w:t>a</w:t>
      </w:r>
      <w:r w:rsidRPr="00B740B4">
        <w:rPr>
          <w:rFonts w:eastAsia="Times New Roman"/>
          <w:i/>
          <w:noProof/>
        </w:rPr>
        <w:t>la´</w:t>
      </w:r>
      <w:r w:rsidRPr="00B740B4">
        <w:rPr>
          <w:rFonts w:eastAsia="Times New Roman"/>
          <w:noProof/>
        </w:rPr>
        <w:t>, argues th</w:t>
      </w:r>
      <w:r w:rsidR="00044D0F" w:rsidRPr="00B740B4">
        <w:rPr>
          <w:rFonts w:eastAsia="Times New Roman"/>
          <w:noProof/>
        </w:rPr>
        <w:t>at here it is an asseverative; t</w:t>
      </w:r>
      <w:r w:rsidRPr="00B740B4">
        <w:rPr>
          <w:rFonts w:eastAsia="Times New Roman"/>
          <w:noProof/>
        </w:rPr>
        <w:t>h</w:t>
      </w:r>
      <w:r w:rsidR="00432CC0">
        <w:rPr>
          <w:rFonts w:eastAsia="Times New Roman"/>
          <w:noProof/>
        </w:rPr>
        <w:t>e implication is the same</w:t>
      </w:r>
      <w:r w:rsidRPr="00B740B4">
        <w:rPr>
          <w:rFonts w:eastAsia="Times New Roman"/>
          <w:noProof/>
        </w:rPr>
        <w:t>.</w:t>
      </w:r>
    </w:p>
    <w:p w:rsidR="00C93CC0" w:rsidRPr="00B740B4" w:rsidRDefault="00514DD8" w:rsidP="00343D94">
      <w:pPr>
        <w:rPr>
          <w:rFonts w:eastAsia="Times New Roman"/>
          <w:noProof/>
        </w:rPr>
      </w:pPr>
      <w:r w:rsidRPr="00B740B4">
        <w:rPr>
          <w:rFonts w:eastAsia="Times New Roman"/>
          <w:noProof/>
        </w:rPr>
        <w:t>34</w:t>
      </w:r>
      <w:r w:rsidR="00432CC0">
        <w:rPr>
          <w:rFonts w:eastAsia="Times New Roman"/>
          <w:noProof/>
        </w:rPr>
        <w:t xml:space="preserve">.a. </w:t>
      </w:r>
      <w:r w:rsidR="00C93CC0" w:rsidRPr="00B740B4">
        <w:rPr>
          <w:rFonts w:ascii="Arial" w:eastAsia="Times New Roman" w:hAnsi="Arial" w:cs="Arial"/>
          <w:noProof/>
        </w:rPr>
        <w:t>נטלת</w:t>
      </w:r>
      <w:r w:rsidR="00044D0F" w:rsidRPr="00B740B4">
        <w:rPr>
          <w:rFonts w:ascii="Arial" w:eastAsia="Times New Roman" w:hAnsi="Arial" w:cs="Arial"/>
          <w:noProof/>
        </w:rPr>
        <w:t xml:space="preserve"> …</w:t>
      </w:r>
      <w:r w:rsidR="008C6E07" w:rsidRPr="00B740B4">
        <w:rPr>
          <w:rFonts w:eastAsia="Times New Roman"/>
          <w:noProof/>
        </w:rPr>
        <w:t xml:space="preserve"> </w:t>
      </w:r>
      <w:r w:rsidR="008C6E07" w:rsidRPr="00B740B4">
        <w:rPr>
          <w:rFonts w:ascii="Arial" w:eastAsia="Times New Roman" w:hAnsi="Arial" w:cs="Arial"/>
          <w:noProof/>
        </w:rPr>
        <w:t>עיני</w:t>
      </w:r>
      <w:r w:rsidR="008C6E07" w:rsidRPr="00B740B4">
        <w:rPr>
          <w:rFonts w:eastAsia="Times New Roman"/>
          <w:noProof/>
        </w:rPr>
        <w:t xml:space="preserve"> </w:t>
      </w:r>
      <w:r w:rsidR="00044D0F" w:rsidRPr="00B740B4">
        <w:rPr>
          <w:rFonts w:eastAsia="Times New Roman"/>
          <w:noProof/>
        </w:rPr>
        <w:t>indicates not merely</w:t>
      </w:r>
      <w:r w:rsidR="00432CC0">
        <w:rPr>
          <w:rFonts w:eastAsia="Times New Roman"/>
          <w:noProof/>
        </w:rPr>
        <w:t xml:space="preserve"> the direction the eyes take but</w:t>
      </w:r>
      <w:r w:rsidR="00C93CC0" w:rsidRPr="00B740B4">
        <w:rPr>
          <w:rFonts w:eastAsia="Times New Roman"/>
          <w:noProof/>
        </w:rPr>
        <w:t xml:space="preserve"> the deliberateness in</w:t>
      </w:r>
      <w:r w:rsidR="008C6E07" w:rsidRPr="00B740B4">
        <w:rPr>
          <w:rFonts w:eastAsia="Times New Roman"/>
          <w:noProof/>
        </w:rPr>
        <w:t>volved in activating them (</w:t>
      </w:r>
      <w:r w:rsidR="00C93CC0" w:rsidRPr="00B740B4">
        <w:rPr>
          <w:rFonts w:eastAsia="Times New Roman"/>
          <w:noProof/>
        </w:rPr>
        <w:t>Reif, “A Root to Look Up,” es</w:t>
      </w:r>
      <w:r w:rsidR="00044D0F" w:rsidRPr="00B740B4">
        <w:rPr>
          <w:rFonts w:eastAsia="Times New Roman"/>
          <w:noProof/>
        </w:rPr>
        <w:t>p. 239). The first idea is appropriate here,</w:t>
      </w:r>
      <w:r w:rsidR="00C93CC0" w:rsidRPr="00B740B4">
        <w:rPr>
          <w:rFonts w:eastAsia="Times New Roman"/>
          <w:noProof/>
        </w:rPr>
        <w:t xml:space="preserve"> the second is even more so: see </w:t>
      </w:r>
      <w:r w:rsidR="00C93CC0" w:rsidRPr="00B740B4">
        <w:rPr>
          <w:rFonts w:eastAsia="Times New Roman"/>
          <w:i/>
          <w:noProof/>
        </w:rPr>
        <w:t>Comment</w:t>
      </w:r>
      <w:r w:rsidR="00C93CC0" w:rsidRPr="00B740B4">
        <w:rPr>
          <w:rFonts w:eastAsia="Times New Roman"/>
          <w:noProof/>
        </w:rPr>
        <w:t>.</w:t>
      </w:r>
    </w:p>
    <w:p w:rsidR="00E5591B" w:rsidRPr="00B740B4" w:rsidRDefault="00E5591B" w:rsidP="00343D94">
      <w:pPr>
        <w:rPr>
          <w:rFonts w:eastAsia="Times New Roman"/>
          <w:noProof/>
        </w:rPr>
      </w:pPr>
      <w:r w:rsidRPr="00B740B4">
        <w:rPr>
          <w:rFonts w:eastAsia="Times New Roman"/>
          <w:noProof/>
        </w:rPr>
        <w:t xml:space="preserve">34.b.  </w:t>
      </w:r>
      <w:r w:rsidRPr="00B740B4">
        <w:rPr>
          <w:rFonts w:ascii="Arial" w:eastAsia="Times New Roman" w:hAnsi="Arial" w:cs="Arial"/>
          <w:noProof/>
        </w:rPr>
        <w:t>ע</w:t>
      </w:r>
      <w:r w:rsidRPr="00B740B4">
        <w:rPr>
          <w:rFonts w:eastAsia="Times New Roman"/>
          <w:noProof/>
        </w:rPr>
        <w:t xml:space="preserve"> </w:t>
      </w:r>
      <w:r w:rsidRPr="00B740B4">
        <w:rPr>
          <w:rFonts w:ascii="Arial" w:eastAsia="Times New Roman" w:hAnsi="Arial" w:cs="Arial"/>
          <w:noProof/>
        </w:rPr>
        <w:t>ד</w:t>
      </w:r>
      <w:r w:rsidRPr="00B740B4">
        <w:rPr>
          <w:rFonts w:eastAsia="Times New Roman"/>
          <w:noProof/>
        </w:rPr>
        <w:t xml:space="preserve"> </w:t>
      </w:r>
      <w:r w:rsidRPr="00B740B4">
        <w:rPr>
          <w:rFonts w:ascii="Arial" w:eastAsia="Times New Roman" w:hAnsi="Arial" w:cs="Arial"/>
          <w:noProof/>
        </w:rPr>
        <w:t>נ</w:t>
      </w:r>
      <w:r w:rsidRPr="00B740B4">
        <w:rPr>
          <w:rFonts w:eastAsia="Times New Roman"/>
          <w:noProof/>
        </w:rPr>
        <w:t xml:space="preserve"> </w:t>
      </w:r>
      <w:r w:rsidRPr="00B740B4">
        <w:rPr>
          <w:rFonts w:ascii="Arial" w:eastAsia="Times New Roman" w:hAnsi="Arial" w:cs="Arial"/>
          <w:noProof/>
        </w:rPr>
        <w:t>מ</w:t>
      </w:r>
      <w:r w:rsidRPr="00B740B4">
        <w:rPr>
          <w:rFonts w:eastAsia="Times New Roman"/>
          <w:noProof/>
        </w:rPr>
        <w:t xml:space="preserve"> denotes his capacity for knowledge or “his understanding and capacity for rational thought” (G. J. Botterweck, </w:t>
      </w:r>
      <w:r w:rsidR="00044D0F" w:rsidRPr="00B740B4">
        <w:rPr>
          <w:rFonts w:eastAsia="Times New Roman"/>
          <w:i/>
          <w:noProof/>
        </w:rPr>
        <w:t>TWAT</w:t>
      </w:r>
      <w:r w:rsidR="00044D0F" w:rsidRPr="00B740B4">
        <w:rPr>
          <w:rFonts w:eastAsia="Times New Roman"/>
          <w:noProof/>
        </w:rPr>
        <w:t xml:space="preserve"> 3:511 [ET</w:t>
      </w:r>
      <w:r w:rsidRPr="00B740B4">
        <w:rPr>
          <w:rFonts w:eastAsia="Times New Roman"/>
          <w:i/>
          <w:noProof/>
        </w:rPr>
        <w:t xml:space="preserve"> </w:t>
      </w:r>
      <w:r w:rsidR="00890996" w:rsidRPr="00B740B4">
        <w:rPr>
          <w:rFonts w:eastAsia="Times New Roman"/>
          <w:noProof/>
        </w:rPr>
        <w:t>5:480</w:t>
      </w:r>
      <w:r w:rsidR="00044D0F" w:rsidRPr="00B740B4">
        <w:rPr>
          <w:rFonts w:eastAsia="Times New Roman"/>
          <w:noProof/>
        </w:rPr>
        <w:t>])</w:t>
      </w:r>
      <w:r w:rsidR="00890996" w:rsidRPr="00B740B4">
        <w:rPr>
          <w:rFonts w:eastAsia="Times New Roman"/>
          <w:noProof/>
        </w:rPr>
        <w:t xml:space="preserve">; and cf. Seow, </w:t>
      </w:r>
      <w:r w:rsidR="00890996" w:rsidRPr="00B740B4">
        <w:rPr>
          <w:rFonts w:eastAsia="Times New Roman"/>
          <w:i/>
          <w:noProof/>
        </w:rPr>
        <w:t>Daniel</w:t>
      </w:r>
      <w:r w:rsidR="00890996" w:rsidRPr="00B740B4">
        <w:rPr>
          <w:rFonts w:eastAsia="Times New Roman"/>
          <w:noProof/>
        </w:rPr>
        <w:t>, 72-73.</w:t>
      </w:r>
      <w:r w:rsidR="00044D0F" w:rsidRPr="00B740B4">
        <w:rPr>
          <w:vertAlign w:val="superscript"/>
        </w:rPr>
        <w:t xml:space="preserve"> </w:t>
      </w:r>
    </w:p>
    <w:p w:rsidR="00E5591B" w:rsidRPr="00B740B4" w:rsidRDefault="00514DD8" w:rsidP="00343D94">
      <w:pPr>
        <w:rPr>
          <w:rFonts w:eastAsia="Times New Roman"/>
          <w:noProof/>
        </w:rPr>
      </w:pPr>
      <w:r w:rsidRPr="00B740B4">
        <w:rPr>
          <w:rFonts w:eastAsia="Times New Roman"/>
          <w:noProof/>
        </w:rPr>
        <w:t>34</w:t>
      </w:r>
      <w:r w:rsidR="00E5591B" w:rsidRPr="00B740B4">
        <w:rPr>
          <w:rFonts w:eastAsia="Times New Roman"/>
          <w:noProof/>
        </w:rPr>
        <w:t>.c</w:t>
      </w:r>
      <w:r w:rsidR="008C6E07" w:rsidRPr="00B740B4">
        <w:rPr>
          <w:rFonts w:eastAsia="Times New Roman"/>
          <w:noProof/>
        </w:rPr>
        <w:t>. On the imperfect</w:t>
      </w:r>
      <w:r w:rsidR="00C93CC0" w:rsidRPr="00B740B4">
        <w:rPr>
          <w:rFonts w:eastAsia="Times New Roman"/>
          <w:noProof/>
        </w:rPr>
        <w:t xml:space="preserve">, see BL 78mq; Joüon, </w:t>
      </w:r>
      <w:r w:rsidR="008C6E07" w:rsidRPr="00B740B4">
        <w:rPr>
          <w:rFonts w:eastAsia="Times New Roman"/>
          <w:noProof/>
        </w:rPr>
        <w:t>“Cinq imperfaits</w:t>
      </w:r>
      <w:r w:rsidR="00C93CC0" w:rsidRPr="00B740B4">
        <w:rPr>
          <w:rFonts w:eastAsia="Times New Roman"/>
          <w:noProof/>
        </w:rPr>
        <w:t>.</w:t>
      </w:r>
      <w:r w:rsidR="008C6E07" w:rsidRPr="00B740B4">
        <w:rPr>
          <w:rFonts w:eastAsia="Times New Roman"/>
          <w:noProof/>
        </w:rPr>
        <w:t>”</w:t>
      </w:r>
    </w:p>
    <w:p w:rsidR="00C93CC0" w:rsidRPr="00B740B4" w:rsidRDefault="00514DD8" w:rsidP="00343D94">
      <w:pPr>
        <w:rPr>
          <w:rFonts w:eastAsia="Times New Roman"/>
          <w:noProof/>
        </w:rPr>
      </w:pPr>
      <w:r w:rsidRPr="00B740B4">
        <w:rPr>
          <w:rFonts w:eastAsia="Times New Roman"/>
          <w:noProof/>
        </w:rPr>
        <w:t>35</w:t>
      </w:r>
      <w:r w:rsidR="00C93CC0" w:rsidRPr="00B740B4">
        <w:rPr>
          <w:rFonts w:eastAsia="Times New Roman"/>
          <w:noProof/>
        </w:rPr>
        <w:t>.a. See BL 82c.</w:t>
      </w:r>
    </w:p>
    <w:p w:rsidR="00C93CC0" w:rsidRPr="00B740B4" w:rsidRDefault="00514DD8" w:rsidP="00343D94">
      <w:pPr>
        <w:rPr>
          <w:rFonts w:eastAsia="Times New Roman"/>
          <w:noProof/>
        </w:rPr>
      </w:pPr>
      <w:r w:rsidRPr="00B740B4">
        <w:rPr>
          <w:rFonts w:eastAsia="Times New Roman"/>
          <w:noProof/>
        </w:rPr>
        <w:t>35</w:t>
      </w:r>
      <w:r w:rsidR="00C93CC0" w:rsidRPr="00B740B4">
        <w:rPr>
          <w:rFonts w:eastAsia="Times New Roman"/>
          <w:noProof/>
        </w:rPr>
        <w:t xml:space="preserve">.b. </w:t>
      </w:r>
      <w:r w:rsidR="00C93CC0" w:rsidRPr="00B740B4">
        <w:rPr>
          <w:rFonts w:ascii="Arial" w:eastAsia="Times New Roman" w:hAnsi="Arial" w:cs="Arial"/>
          <w:noProof/>
        </w:rPr>
        <w:t>כלה</w:t>
      </w:r>
      <w:r w:rsidR="00C93CC0" w:rsidRPr="00B740B4">
        <w:rPr>
          <w:rFonts w:eastAsia="Times New Roman"/>
          <w:noProof/>
        </w:rPr>
        <w:t xml:space="preserve">: for the spelling, cf. Deut 3:11; many </w:t>
      </w:r>
      <w:r w:rsidR="00DC4B1F" w:rsidRPr="00B740B4">
        <w:rPr>
          <w:rFonts w:eastAsia="Times New Roman"/>
          <w:noProof/>
        </w:rPr>
        <w:t xml:space="preserve">medieval mss </w:t>
      </w:r>
      <w:r w:rsidR="008C6E07" w:rsidRPr="00B740B4">
        <w:rPr>
          <w:rFonts w:eastAsia="Times New Roman"/>
          <w:noProof/>
        </w:rPr>
        <w:t>have the more usual</w:t>
      </w:r>
      <w:r w:rsidR="00C93CC0" w:rsidRPr="00B740B4">
        <w:rPr>
          <w:rFonts w:eastAsia="Times New Roman"/>
          <w:noProof/>
        </w:rPr>
        <w:t xml:space="preserve"> </w:t>
      </w:r>
      <w:r w:rsidR="00C93CC0" w:rsidRPr="00B740B4">
        <w:rPr>
          <w:rFonts w:ascii="Arial" w:eastAsia="Times New Roman" w:hAnsi="Arial" w:cs="Arial"/>
          <w:noProof/>
        </w:rPr>
        <w:t>כלא</w:t>
      </w:r>
      <w:r w:rsidR="00C93CC0" w:rsidRPr="00B740B4">
        <w:rPr>
          <w:rFonts w:eastAsia="Times New Roman"/>
          <w:noProof/>
        </w:rPr>
        <w:t xml:space="preserve">. For the use, cf. </w:t>
      </w:r>
      <w:r w:rsidR="00C93CC0" w:rsidRPr="00B740B4">
        <w:rPr>
          <w:rFonts w:eastAsia="Times New Roman"/>
          <w:i/>
          <w:noProof/>
        </w:rPr>
        <w:t>GBA</w:t>
      </w:r>
      <w:r w:rsidR="00C93CC0" w:rsidRPr="00B740B4">
        <w:rPr>
          <w:rFonts w:eastAsia="Times New Roman"/>
          <w:noProof/>
        </w:rPr>
        <w:t xml:space="preserve"> 87.</w:t>
      </w:r>
    </w:p>
    <w:p w:rsidR="00C93CC0" w:rsidRPr="00B740B4" w:rsidRDefault="004436B2" w:rsidP="00343D94">
      <w:pPr>
        <w:rPr>
          <w:rFonts w:eastAsia="Times New Roman"/>
          <w:noProof/>
        </w:rPr>
      </w:pPr>
      <w:r w:rsidRPr="00B740B4">
        <w:rPr>
          <w:rFonts w:eastAsia="Times New Roman"/>
          <w:noProof/>
        </w:rPr>
        <w:t>3</w:t>
      </w:r>
      <w:r w:rsidR="000853D9" w:rsidRPr="00B740B4">
        <w:rPr>
          <w:rFonts w:eastAsia="Times New Roman"/>
          <w:noProof/>
        </w:rPr>
        <w:t>6</w:t>
      </w:r>
      <w:r w:rsidR="00C93CC0" w:rsidRPr="00B740B4">
        <w:rPr>
          <w:rFonts w:eastAsia="Times New Roman"/>
          <w:noProof/>
        </w:rPr>
        <w:t xml:space="preserve">.a. </w:t>
      </w:r>
      <w:r w:rsidR="00C93CC0" w:rsidRPr="00B740B4">
        <w:rPr>
          <w:rFonts w:ascii="Arial" w:eastAsia="Times New Roman" w:hAnsi="Arial" w:cs="Arial"/>
          <w:noProof/>
        </w:rPr>
        <w:t>ל</w:t>
      </w:r>
      <w:r w:rsidR="00C93CC0" w:rsidRPr="00B740B4">
        <w:rPr>
          <w:rFonts w:eastAsia="Times New Roman"/>
          <w:noProof/>
        </w:rPr>
        <w:t>: see GKC 143e; BDB</w:t>
      </w:r>
      <w:r w:rsidR="00F20527" w:rsidRPr="00B740B4">
        <w:rPr>
          <w:rFonts w:eastAsia="Times New Roman"/>
          <w:noProof/>
        </w:rPr>
        <w:t>,</w:t>
      </w:r>
      <w:r w:rsidR="00C93CC0" w:rsidRPr="00B740B4">
        <w:rPr>
          <w:rFonts w:eastAsia="Times New Roman"/>
          <w:noProof/>
        </w:rPr>
        <w:t xml:space="preserve"> 514b; F. Nöts</w:t>
      </w:r>
      <w:r w:rsidR="008C6E07" w:rsidRPr="00B740B4">
        <w:rPr>
          <w:rFonts w:eastAsia="Times New Roman"/>
          <w:noProof/>
        </w:rPr>
        <w:t>cher, “Zum emphatischen Lamed,” esp. 377</w:t>
      </w:r>
      <w:r w:rsidR="00C93CC0" w:rsidRPr="00B740B4">
        <w:rPr>
          <w:rFonts w:eastAsia="Times New Roman"/>
          <w:noProof/>
        </w:rPr>
        <w:t xml:space="preserve">. The usual meaning of </w:t>
      </w:r>
      <w:r w:rsidR="00C93CC0" w:rsidRPr="00B740B4">
        <w:rPr>
          <w:rFonts w:ascii="Arial" w:eastAsia="Times New Roman" w:hAnsi="Arial" w:cs="Arial"/>
          <w:noProof/>
        </w:rPr>
        <w:t>ל</w:t>
      </w:r>
      <w:r w:rsidR="00C93CC0" w:rsidRPr="00B740B4">
        <w:rPr>
          <w:rFonts w:eastAsia="Times New Roman"/>
          <w:noProof/>
        </w:rPr>
        <w:t xml:space="preserve"> fits less well.</w:t>
      </w:r>
    </w:p>
    <w:p w:rsidR="00C93CC0" w:rsidRPr="00B740B4" w:rsidRDefault="004436B2" w:rsidP="00343D94">
      <w:pPr>
        <w:rPr>
          <w:rFonts w:eastAsia="Times New Roman"/>
          <w:noProof/>
        </w:rPr>
      </w:pPr>
      <w:r w:rsidRPr="00B740B4">
        <w:rPr>
          <w:rFonts w:eastAsia="Times New Roman"/>
          <w:noProof/>
        </w:rPr>
        <w:t>3</w:t>
      </w:r>
      <w:r w:rsidR="000853D9" w:rsidRPr="00B740B4">
        <w:rPr>
          <w:rFonts w:eastAsia="Times New Roman"/>
          <w:noProof/>
        </w:rPr>
        <w:t>6</w:t>
      </w:r>
      <w:r w:rsidR="00C93CC0" w:rsidRPr="00B740B4">
        <w:rPr>
          <w:rFonts w:eastAsia="Times New Roman"/>
          <w:noProof/>
        </w:rPr>
        <w:t xml:space="preserve">.b. </w:t>
      </w:r>
      <w:r w:rsidR="00C93CC0" w:rsidRPr="00B740B4">
        <w:rPr>
          <w:rFonts w:ascii="Arial" w:eastAsia="Times New Roman" w:hAnsi="Arial" w:cs="Arial"/>
          <w:noProof/>
        </w:rPr>
        <w:t>י</w:t>
      </w:r>
      <w:r w:rsidR="00790D2D" w:rsidRPr="00B740B4">
        <w:rPr>
          <w:rFonts w:ascii="Arial" w:eastAsia="Times New Roman" w:hAnsi="Arial" w:cs="Arial"/>
          <w:noProof/>
        </w:rPr>
        <w:t xml:space="preserve"> </w:t>
      </w:r>
      <w:r w:rsidR="0045494E">
        <w:rPr>
          <w:rFonts w:ascii="Arial" w:eastAsia="Times New Roman" w:hAnsi="Arial" w:cs="Arial"/>
          <w:noProof/>
        </w:rPr>
        <w:t xml:space="preserve">רד </w:t>
      </w:r>
      <w:r w:rsidR="0045494E" w:rsidRPr="0045494E">
        <w:rPr>
          <w:rFonts w:ascii="Arial" w:eastAsia="Times New Roman" w:hAnsi="Arial" w:cs="Arial"/>
          <w:noProof/>
        </w:rPr>
        <w:t>ה</w:t>
      </w:r>
      <w:r w:rsidR="002F7F23" w:rsidRPr="00B740B4">
        <w:rPr>
          <w:rFonts w:eastAsia="Times New Roman"/>
          <w:noProof/>
        </w:rPr>
        <w:t xml:space="preserve">; Th </w:t>
      </w:r>
      <w:r w:rsidR="00C93CC0" w:rsidRPr="00B740B4">
        <w:rPr>
          <w:rFonts w:ascii="Calibri" w:eastAsia="Times New Roman" w:hAnsi="Calibri" w:cs="Calibri"/>
          <w:noProof/>
        </w:rPr>
        <w:t>ἠ</w:t>
      </w:r>
      <w:r w:rsidR="00C93CC0" w:rsidRPr="00B740B4">
        <w:rPr>
          <w:rFonts w:eastAsia="Times New Roman"/>
          <w:noProof/>
        </w:rPr>
        <w:t>́</w:t>
      </w:r>
      <w:r w:rsidR="00C93CC0" w:rsidRPr="00B740B4">
        <w:rPr>
          <w:rFonts w:ascii="Calibri" w:eastAsia="Times New Roman" w:hAnsi="Calibri" w:cs="Calibri"/>
          <w:noProof/>
        </w:rPr>
        <w:t>λθον</w:t>
      </w:r>
      <w:r w:rsidR="00C93CC0" w:rsidRPr="00B740B4">
        <w:rPr>
          <w:rFonts w:eastAsia="Times New Roman"/>
          <w:noProof/>
        </w:rPr>
        <w:t xml:space="preserve"> presupposes</w:t>
      </w:r>
      <w:r w:rsidR="00790D2D" w:rsidRPr="00B740B4">
        <w:rPr>
          <w:rFonts w:eastAsia="Times New Roman"/>
          <w:noProof/>
        </w:rPr>
        <w:t xml:space="preserve"> </w:t>
      </w:r>
      <w:r w:rsidR="00790D2D" w:rsidRPr="00B740B4">
        <w:rPr>
          <w:rFonts w:ascii="Arial" w:eastAsia="Times New Roman" w:hAnsi="Arial" w:cs="Arial"/>
          <w:noProof/>
        </w:rPr>
        <w:t>ת</w:t>
      </w:r>
      <w:r w:rsidR="00C93CC0" w:rsidRPr="00B740B4">
        <w:rPr>
          <w:rFonts w:eastAsia="Times New Roman"/>
          <w:noProof/>
        </w:rPr>
        <w:t xml:space="preserve"> </w:t>
      </w:r>
      <w:r w:rsidR="00C93CC0" w:rsidRPr="00B740B4">
        <w:rPr>
          <w:rFonts w:ascii="Arial" w:eastAsia="Times New Roman" w:hAnsi="Arial" w:cs="Arial"/>
          <w:noProof/>
        </w:rPr>
        <w:t>ר</w:t>
      </w:r>
      <w:r w:rsidR="00790D2D" w:rsidRPr="00B740B4">
        <w:rPr>
          <w:rFonts w:ascii="Arial" w:eastAsia="Times New Roman" w:hAnsi="Arial" w:cs="Arial"/>
          <w:noProof/>
        </w:rPr>
        <w:t xml:space="preserve"> </w:t>
      </w:r>
      <w:r w:rsidR="0045494E" w:rsidRPr="0045494E">
        <w:rPr>
          <w:rFonts w:ascii="Arial" w:eastAsia="Times New Roman" w:hAnsi="Arial" w:cs="Arial"/>
          <w:noProof/>
        </w:rPr>
        <w:t>ד</w:t>
      </w:r>
      <w:r w:rsidR="00790D2D" w:rsidRPr="00B740B4">
        <w:rPr>
          <w:rFonts w:eastAsia="Times New Roman"/>
          <w:noProof/>
        </w:rPr>
        <w:t xml:space="preserve"> </w:t>
      </w:r>
      <w:r w:rsidR="0045494E" w:rsidRPr="0045494E">
        <w:rPr>
          <w:rFonts w:ascii="Arial" w:eastAsia="Times New Roman" w:hAnsi="Arial" w:cs="Arial"/>
          <w:noProof/>
        </w:rPr>
        <w:t>ה</w:t>
      </w:r>
      <w:r w:rsidR="0045494E" w:rsidRPr="0045494E">
        <w:rPr>
          <w:rFonts w:eastAsia="Times New Roman"/>
          <w:noProof/>
        </w:rPr>
        <w:t xml:space="preserve"> </w:t>
      </w:r>
      <w:r w:rsidR="00790D2D" w:rsidRPr="00B740B4">
        <w:rPr>
          <w:rFonts w:eastAsia="Times New Roman"/>
          <w:noProof/>
        </w:rPr>
        <w:t>or</w:t>
      </w:r>
      <w:r w:rsidR="00C93CC0" w:rsidRPr="00B740B4">
        <w:rPr>
          <w:rFonts w:eastAsia="Times New Roman"/>
          <w:noProof/>
        </w:rPr>
        <w:t xml:space="preserve"> takes </w:t>
      </w:r>
      <w:r w:rsidR="00790D2D" w:rsidRPr="00B740B4">
        <w:rPr>
          <w:rFonts w:eastAsia="Times New Roman"/>
          <w:noProof/>
        </w:rPr>
        <w:t xml:space="preserve">the word </w:t>
      </w:r>
      <w:r w:rsidR="00C93CC0" w:rsidRPr="00B740B4">
        <w:rPr>
          <w:rFonts w:eastAsia="Times New Roman"/>
          <w:noProof/>
        </w:rPr>
        <w:t>as 1 s</w:t>
      </w:r>
      <w:r w:rsidR="00265B6F" w:rsidRPr="00B740B4">
        <w:rPr>
          <w:rFonts w:eastAsia="Times New Roman"/>
          <w:noProof/>
        </w:rPr>
        <w:t>.</w:t>
      </w:r>
      <w:r w:rsidR="00790D2D" w:rsidRPr="00B740B4">
        <w:rPr>
          <w:rFonts w:eastAsia="Times New Roman"/>
          <w:noProof/>
        </w:rPr>
        <w:t xml:space="preserve"> from </w:t>
      </w:r>
      <w:r w:rsidR="00790D2D" w:rsidRPr="00B740B4">
        <w:rPr>
          <w:rFonts w:ascii="Arial" w:eastAsia="Times New Roman" w:hAnsi="Arial" w:cs="Arial"/>
          <w:noProof/>
        </w:rPr>
        <w:t>ר</w:t>
      </w:r>
      <w:r w:rsidR="00C93CC0" w:rsidRPr="00B740B4">
        <w:rPr>
          <w:rFonts w:eastAsia="Times New Roman"/>
          <w:noProof/>
        </w:rPr>
        <w:t xml:space="preserve"> </w:t>
      </w:r>
      <w:r w:rsidR="00C93CC0" w:rsidRPr="00B740B4">
        <w:rPr>
          <w:rFonts w:ascii="Arial" w:eastAsia="Times New Roman" w:hAnsi="Arial" w:cs="Arial"/>
          <w:noProof/>
        </w:rPr>
        <w:t>ד</w:t>
      </w:r>
      <w:r w:rsidR="00790D2D" w:rsidRPr="00B740B4">
        <w:rPr>
          <w:rFonts w:ascii="Arial" w:eastAsia="Times New Roman" w:hAnsi="Arial" w:cs="Arial"/>
          <w:noProof/>
        </w:rPr>
        <w:t xml:space="preserve"> ה </w:t>
      </w:r>
      <w:r w:rsidR="00C93CC0" w:rsidRPr="00B740B4">
        <w:rPr>
          <w:rFonts w:eastAsia="Times New Roman"/>
          <w:noProof/>
        </w:rPr>
        <w:t xml:space="preserve">(see </w:t>
      </w:r>
      <w:r w:rsidR="00C93CC0" w:rsidRPr="00B740B4">
        <w:rPr>
          <w:rFonts w:eastAsia="Times New Roman"/>
          <w:i/>
          <w:noProof/>
        </w:rPr>
        <w:t>DTT</w:t>
      </w:r>
      <w:r w:rsidR="00A721A1" w:rsidRPr="00B740B4">
        <w:rPr>
          <w:rFonts w:eastAsia="Times New Roman"/>
          <w:noProof/>
        </w:rPr>
        <w:t xml:space="preserve">), “I returned </w:t>
      </w:r>
      <w:r w:rsidR="00C93CC0" w:rsidRPr="00B740B4">
        <w:rPr>
          <w:rFonts w:eastAsia="Times New Roman"/>
          <w:noProof/>
        </w:rPr>
        <w:t>(to the honor of my king</w:t>
      </w:r>
      <w:r w:rsidR="0045494E">
        <w:rPr>
          <w:rFonts w:eastAsia="Times New Roman"/>
          <w:noProof/>
        </w:rPr>
        <w:t xml:space="preserve">ship).” But the </w:t>
      </w:r>
      <w:r w:rsidR="00A721A1" w:rsidRPr="00B740B4">
        <w:rPr>
          <w:rFonts w:eastAsia="Times New Roman"/>
          <w:noProof/>
        </w:rPr>
        <w:t>form is Eastern Aramaic</w:t>
      </w:r>
      <w:r w:rsidR="002F7F23" w:rsidRPr="00B740B4">
        <w:rPr>
          <w:rFonts w:eastAsia="Times New Roman"/>
          <w:noProof/>
        </w:rPr>
        <w:t>;</w:t>
      </w:r>
      <w:r w:rsidR="00790D2D" w:rsidRPr="00B740B4">
        <w:rPr>
          <w:rFonts w:eastAsia="Times New Roman"/>
          <w:noProof/>
        </w:rPr>
        <w:t xml:space="preserve"> </w:t>
      </w:r>
      <w:r w:rsidR="002F7F23" w:rsidRPr="00B740B4">
        <w:rPr>
          <w:rFonts w:eastAsia="Times New Roman"/>
          <w:noProof/>
        </w:rPr>
        <w:t>MT is</w:t>
      </w:r>
      <w:r w:rsidR="00C93CC0" w:rsidRPr="00B740B4">
        <w:rPr>
          <w:rFonts w:eastAsia="Times New Roman"/>
          <w:noProof/>
        </w:rPr>
        <w:t xml:space="preserve"> </w:t>
      </w:r>
      <w:r w:rsidR="002F7F23" w:rsidRPr="00B740B4">
        <w:rPr>
          <w:rFonts w:eastAsia="Times New Roman"/>
          <w:noProof/>
        </w:rPr>
        <w:t>taking up the phrasing from v 30</w:t>
      </w:r>
      <w:r w:rsidR="00C93CC0" w:rsidRPr="00B740B4">
        <w:rPr>
          <w:rFonts w:eastAsia="Times New Roman"/>
          <w:noProof/>
        </w:rPr>
        <w:t>.</w:t>
      </w:r>
    </w:p>
    <w:p w:rsidR="00C93CC0" w:rsidRPr="00B740B4" w:rsidRDefault="004436B2" w:rsidP="00343D94">
      <w:pPr>
        <w:rPr>
          <w:rFonts w:eastAsia="Times New Roman"/>
          <w:noProof/>
        </w:rPr>
      </w:pPr>
      <w:r w:rsidRPr="00B740B4">
        <w:rPr>
          <w:rFonts w:eastAsia="Times New Roman"/>
          <w:noProof/>
        </w:rPr>
        <w:t>3</w:t>
      </w:r>
      <w:r w:rsidR="000853D9" w:rsidRPr="00B740B4">
        <w:rPr>
          <w:rFonts w:eastAsia="Times New Roman"/>
          <w:noProof/>
        </w:rPr>
        <w:t>6</w:t>
      </w:r>
      <w:r w:rsidR="00C93CC0" w:rsidRPr="00B740B4">
        <w:rPr>
          <w:rFonts w:eastAsia="Times New Roman"/>
          <w:noProof/>
        </w:rPr>
        <w:t xml:space="preserve">.c. </w:t>
      </w:r>
      <w:r w:rsidR="00C93CC0" w:rsidRPr="00B740B4">
        <w:rPr>
          <w:rFonts w:ascii="Arial" w:eastAsia="Times New Roman" w:hAnsi="Arial" w:cs="Arial"/>
          <w:noProof/>
        </w:rPr>
        <w:t>יבעון</w:t>
      </w:r>
      <w:r w:rsidR="00C93CC0" w:rsidRPr="00B740B4">
        <w:rPr>
          <w:rFonts w:eastAsia="Times New Roman"/>
          <w:noProof/>
        </w:rPr>
        <w:t xml:space="preserve"> </w:t>
      </w:r>
      <w:r w:rsidR="00C93CC0" w:rsidRPr="00B740B4">
        <w:rPr>
          <w:rFonts w:ascii="Calibri" w:eastAsia="Times New Roman" w:hAnsi="Calibri" w:cs="Calibri"/>
          <w:noProof/>
        </w:rPr>
        <w:t>“</w:t>
      </w:r>
      <w:r w:rsidR="0045494E">
        <w:rPr>
          <w:rFonts w:eastAsia="Times New Roman"/>
          <w:noProof/>
        </w:rPr>
        <w:t>mad</w:t>
      </w:r>
      <w:r w:rsidR="00C93CC0" w:rsidRPr="00B740B4">
        <w:rPr>
          <w:rFonts w:eastAsia="Times New Roman"/>
          <w:noProof/>
        </w:rPr>
        <w:t>e request,” part of honoring him as king again; virtually “acclaim</w:t>
      </w:r>
      <w:r w:rsidR="0045494E">
        <w:rPr>
          <w:rFonts w:eastAsia="Times New Roman"/>
          <w:noProof/>
        </w:rPr>
        <w:t>ed</w:t>
      </w:r>
      <w:r w:rsidR="00C93CC0" w:rsidRPr="00B740B4">
        <w:rPr>
          <w:rFonts w:eastAsia="Times New Roman"/>
          <w:noProof/>
        </w:rPr>
        <w:t xml:space="preserve">” (Nober, </w:t>
      </w:r>
      <w:r w:rsidR="00790D2D" w:rsidRPr="00B740B4">
        <w:rPr>
          <w:rFonts w:eastAsia="Times New Roman"/>
          <w:noProof/>
        </w:rPr>
        <w:t>“</w:t>
      </w:r>
      <w:r w:rsidR="00790D2D" w:rsidRPr="00B740B4">
        <w:rPr>
          <w:rFonts w:eastAsia="Times New Roman"/>
          <w:i/>
          <w:noProof/>
        </w:rPr>
        <w:t>Y</w:t>
      </w:r>
      <w:r w:rsidR="00790D2D" w:rsidRPr="00B740B4">
        <w:rPr>
          <w:rFonts w:eastAsia="Times New Roman"/>
          <w:i/>
          <w:noProof/>
          <w:vertAlign w:val="superscript"/>
        </w:rPr>
        <w:t>e</w:t>
      </w:r>
      <w:r w:rsidR="00790D2D" w:rsidRPr="00B740B4">
        <w:rPr>
          <w:rFonts w:eastAsia="Times New Roman"/>
          <w:i/>
          <w:noProof/>
        </w:rPr>
        <w:t>ba‘on</w:t>
      </w:r>
      <w:r w:rsidR="002F7F23" w:rsidRPr="00B740B4">
        <w:rPr>
          <w:rFonts w:eastAsia="Times New Roman"/>
          <w:noProof/>
        </w:rPr>
        <w:t xml:space="preserve">”). The courtiers and </w:t>
      </w:r>
      <w:r w:rsidR="00973FEA" w:rsidRPr="00B740B4">
        <w:rPr>
          <w:rFonts w:eastAsia="Times New Roman"/>
          <w:noProof/>
        </w:rPr>
        <w:t>lord</w:t>
      </w:r>
      <w:r w:rsidR="002F7F23" w:rsidRPr="00B740B4">
        <w:rPr>
          <w:rFonts w:eastAsia="Times New Roman"/>
          <w:noProof/>
        </w:rPr>
        <w:t>s are the people</w:t>
      </w:r>
      <w:r w:rsidR="00C93CC0" w:rsidRPr="00B740B4">
        <w:rPr>
          <w:rFonts w:eastAsia="Times New Roman"/>
          <w:noProof/>
        </w:rPr>
        <w:t xml:space="preserve"> who had been exercising authority in the king’s place. I have taken the v</w:t>
      </w:r>
      <w:r w:rsidR="00265B6F" w:rsidRPr="00B740B4">
        <w:rPr>
          <w:rFonts w:eastAsia="Times New Roman"/>
          <w:noProof/>
        </w:rPr>
        <w:t>erb as a “genuine” imperfect</w:t>
      </w:r>
      <w:r w:rsidR="00C93CC0" w:rsidRPr="00B740B4">
        <w:rPr>
          <w:rFonts w:eastAsia="Times New Roman"/>
          <w:noProof/>
        </w:rPr>
        <w:t>, the preceding ones in v 33 be</w:t>
      </w:r>
      <w:r w:rsidR="002F7F23" w:rsidRPr="00B740B4">
        <w:rPr>
          <w:rFonts w:eastAsia="Times New Roman"/>
          <w:noProof/>
        </w:rPr>
        <w:t>ing subordinate to it (cf. n. 34</w:t>
      </w:r>
      <w:r w:rsidR="00A721A1" w:rsidRPr="00B740B4">
        <w:rPr>
          <w:rFonts w:eastAsia="Times New Roman"/>
          <w:noProof/>
        </w:rPr>
        <w:t>.c</w:t>
      </w:r>
      <w:r w:rsidR="00C93CC0" w:rsidRPr="00B740B4">
        <w:rPr>
          <w:rFonts w:eastAsia="Times New Roman"/>
          <w:noProof/>
        </w:rPr>
        <w:t>): but such a</w:t>
      </w:r>
      <w:r w:rsidR="002F7F23" w:rsidRPr="00B740B4">
        <w:rPr>
          <w:rFonts w:eastAsia="Times New Roman"/>
          <w:noProof/>
        </w:rPr>
        <w:t xml:space="preserve">n understanding may be </w:t>
      </w:r>
      <w:r w:rsidR="00C93CC0" w:rsidRPr="00B740B4">
        <w:rPr>
          <w:rFonts w:eastAsia="Times New Roman"/>
          <w:noProof/>
        </w:rPr>
        <w:t>forced, and the apparent use here of the “</w:t>
      </w:r>
      <w:r w:rsidR="002F7F23" w:rsidRPr="00B740B4">
        <w:rPr>
          <w:rFonts w:eastAsia="Times New Roman"/>
          <w:noProof/>
        </w:rPr>
        <w:t>imperfect</w:t>
      </w:r>
      <w:r w:rsidR="00C93CC0" w:rsidRPr="00B740B4">
        <w:rPr>
          <w:rFonts w:eastAsia="Times New Roman"/>
          <w:noProof/>
        </w:rPr>
        <w:t>” as a narrative tens</w:t>
      </w:r>
      <w:r w:rsidR="002F7F23" w:rsidRPr="00B740B4">
        <w:rPr>
          <w:rFonts w:eastAsia="Times New Roman"/>
          <w:noProof/>
        </w:rPr>
        <w:t>e is the starting point for Rosé</w:t>
      </w:r>
      <w:r w:rsidR="00C93CC0" w:rsidRPr="00B740B4">
        <w:rPr>
          <w:rFonts w:eastAsia="Times New Roman"/>
          <w:noProof/>
        </w:rPr>
        <w:t>n’s reconsidera</w:t>
      </w:r>
      <w:r w:rsidR="002F7F23" w:rsidRPr="00B740B4">
        <w:rPr>
          <w:rFonts w:eastAsia="Times New Roman"/>
          <w:noProof/>
        </w:rPr>
        <w:t>tion of “The Use of the Tenses in the Aramaic of Daniel</w:t>
      </w:r>
      <w:r w:rsidR="00C93CC0" w:rsidRPr="00B740B4">
        <w:rPr>
          <w:rFonts w:eastAsia="Times New Roman"/>
          <w:noProof/>
        </w:rPr>
        <w:t>.</w:t>
      </w:r>
      <w:r w:rsidR="002F7F23" w:rsidRPr="00B740B4">
        <w:rPr>
          <w:rFonts w:eastAsia="Times New Roman"/>
          <w:noProof/>
        </w:rPr>
        <w:t>”</w:t>
      </w:r>
    </w:p>
    <w:p w:rsidR="00C93CC0" w:rsidRPr="00B740B4" w:rsidRDefault="004436B2" w:rsidP="00343D94">
      <w:pPr>
        <w:rPr>
          <w:rFonts w:eastAsia="Times New Roman"/>
          <w:noProof/>
        </w:rPr>
      </w:pPr>
      <w:r w:rsidRPr="00B740B4">
        <w:rPr>
          <w:rFonts w:eastAsia="Times New Roman"/>
          <w:noProof/>
        </w:rPr>
        <w:t>3</w:t>
      </w:r>
      <w:r w:rsidR="000853D9" w:rsidRPr="00B740B4">
        <w:rPr>
          <w:rFonts w:eastAsia="Times New Roman"/>
          <w:noProof/>
        </w:rPr>
        <w:t>6</w:t>
      </w:r>
      <w:r w:rsidR="00C93CC0" w:rsidRPr="00B740B4">
        <w:rPr>
          <w:rFonts w:eastAsia="Times New Roman"/>
          <w:noProof/>
        </w:rPr>
        <w:t xml:space="preserve">.d-d. </w:t>
      </w:r>
      <w:r w:rsidR="00C93CC0" w:rsidRPr="00B740B4">
        <w:rPr>
          <w:rFonts w:ascii="Arial" w:eastAsia="Times New Roman" w:hAnsi="Arial" w:cs="Arial"/>
          <w:noProof/>
        </w:rPr>
        <w:t>התקנת</w:t>
      </w:r>
      <w:r w:rsidR="002F7F23" w:rsidRPr="00B740B4">
        <w:rPr>
          <w:rFonts w:ascii="Arial" w:eastAsia="Times New Roman" w:hAnsi="Arial" w:cs="Arial"/>
          <w:noProof/>
        </w:rPr>
        <w:t xml:space="preserve"> מלבותי</w:t>
      </w:r>
      <w:r w:rsidR="00C93CC0" w:rsidRPr="00B740B4">
        <w:rPr>
          <w:rFonts w:eastAsia="Times New Roman"/>
          <w:noProof/>
        </w:rPr>
        <w:t xml:space="preserve"> </w:t>
      </w:r>
      <w:r w:rsidR="002F7F23" w:rsidRPr="00B740B4">
        <w:rPr>
          <w:rFonts w:ascii="Arial" w:eastAsia="Times New Roman" w:hAnsi="Arial" w:cs="Arial"/>
          <w:noProof/>
        </w:rPr>
        <w:t>ועל</w:t>
      </w:r>
      <w:r w:rsidR="002F7F23" w:rsidRPr="00B740B4">
        <w:rPr>
          <w:rFonts w:eastAsia="Times New Roman"/>
          <w:noProof/>
        </w:rPr>
        <w:t xml:space="preserve"> </w:t>
      </w:r>
      <w:r w:rsidR="00C93CC0" w:rsidRPr="00B740B4">
        <w:rPr>
          <w:rFonts w:ascii="Calibri" w:eastAsia="Times New Roman" w:hAnsi="Calibri" w:cs="Calibri"/>
          <w:noProof/>
        </w:rPr>
        <w:t>“</w:t>
      </w:r>
      <w:r w:rsidR="00C93CC0" w:rsidRPr="00B740B4">
        <w:rPr>
          <w:rFonts w:eastAsia="Times New Roman"/>
          <w:noProof/>
        </w:rPr>
        <w:t>and to my kingship it was restored</w:t>
      </w:r>
      <w:r w:rsidR="00C93CC0" w:rsidRPr="00B740B4">
        <w:rPr>
          <w:rFonts w:ascii="Calibri" w:eastAsia="Times New Roman" w:hAnsi="Calibri" w:cs="Calibri"/>
          <w:noProof/>
        </w:rPr>
        <w:t>”</w:t>
      </w:r>
      <w:r w:rsidR="00C93CC0" w:rsidRPr="00B740B4">
        <w:rPr>
          <w:rFonts w:eastAsia="Times New Roman"/>
          <w:noProof/>
        </w:rPr>
        <w:t xml:space="preserve">: variant readings </w:t>
      </w:r>
      <w:r w:rsidR="002F7F23" w:rsidRPr="00B740B4">
        <w:rPr>
          <w:rFonts w:eastAsia="Times New Roman"/>
          <w:noProof/>
        </w:rPr>
        <w:t xml:space="preserve">are perhaps </w:t>
      </w:r>
      <w:r w:rsidR="00C93CC0" w:rsidRPr="00B740B4">
        <w:rPr>
          <w:rFonts w:eastAsia="Times New Roman"/>
          <w:noProof/>
        </w:rPr>
        <w:t>combined</w:t>
      </w:r>
      <w:r w:rsidR="002F7F23" w:rsidRPr="00B740B4">
        <w:rPr>
          <w:rFonts w:eastAsia="Times New Roman"/>
          <w:noProof/>
        </w:rPr>
        <w:t xml:space="preserve"> in this verse (c</w:t>
      </w:r>
      <w:r w:rsidR="00C93CC0" w:rsidRPr="00B740B4">
        <w:rPr>
          <w:rFonts w:eastAsia="Times New Roman"/>
          <w:noProof/>
        </w:rPr>
        <w:t>f. BHS</w:t>
      </w:r>
      <w:r w:rsidR="002F7F23" w:rsidRPr="00B740B4">
        <w:rPr>
          <w:rFonts w:eastAsia="Times New Roman"/>
          <w:noProof/>
        </w:rPr>
        <w:t>)</w:t>
      </w:r>
      <w:r w:rsidR="00C93CC0" w:rsidRPr="00B740B4">
        <w:rPr>
          <w:rFonts w:eastAsia="Times New Roman"/>
          <w:noProof/>
        </w:rPr>
        <w:t>.</w:t>
      </w:r>
    </w:p>
    <w:p w:rsidR="00C93CC0" w:rsidRPr="00B740B4" w:rsidRDefault="004436B2" w:rsidP="00343D94">
      <w:pPr>
        <w:rPr>
          <w:rFonts w:eastAsia="Times New Roman"/>
          <w:noProof/>
        </w:rPr>
      </w:pPr>
      <w:r w:rsidRPr="00B740B4">
        <w:rPr>
          <w:rFonts w:eastAsia="Times New Roman"/>
          <w:noProof/>
        </w:rPr>
        <w:t>3</w:t>
      </w:r>
      <w:r w:rsidR="000853D9" w:rsidRPr="00B740B4">
        <w:rPr>
          <w:rFonts w:eastAsia="Times New Roman"/>
          <w:noProof/>
        </w:rPr>
        <w:t>7</w:t>
      </w:r>
      <w:r w:rsidR="00C93CC0" w:rsidRPr="00B740B4">
        <w:rPr>
          <w:rFonts w:eastAsia="Times New Roman"/>
          <w:noProof/>
        </w:rPr>
        <w:t xml:space="preserve">.a. </w:t>
      </w:r>
      <w:r w:rsidR="00C93CC0" w:rsidRPr="00B740B4">
        <w:rPr>
          <w:rFonts w:ascii="Arial" w:eastAsia="Times New Roman" w:hAnsi="Arial" w:cs="Arial"/>
          <w:noProof/>
        </w:rPr>
        <w:t>מהלבין</w:t>
      </w:r>
      <w:r w:rsidR="0045494E">
        <w:rPr>
          <w:rFonts w:eastAsia="Times New Roman"/>
          <w:noProof/>
        </w:rPr>
        <w:t>: on the vocalization</w:t>
      </w:r>
      <w:r w:rsidR="00A721A1" w:rsidRPr="00B740B4">
        <w:rPr>
          <w:rFonts w:eastAsia="Times New Roman"/>
          <w:noProof/>
        </w:rPr>
        <w:t>, see Eitan (cf. 3:25).</w:t>
      </w:r>
    </w:p>
    <w:p w:rsidR="00C93CC0" w:rsidRPr="00B740B4" w:rsidRDefault="00C93CC0" w:rsidP="009479B1">
      <w:pPr>
        <w:pStyle w:val="Heading2"/>
        <w:rPr>
          <w:rFonts w:eastAsia="Times New Roman"/>
        </w:rPr>
      </w:pPr>
      <w:r w:rsidRPr="00B740B4">
        <w:rPr>
          <w:rFonts w:eastAsia="Times New Roman"/>
        </w:rPr>
        <w:t>Form/Structure/Setting</w:t>
      </w:r>
    </w:p>
    <w:p w:rsidR="00CB10AA" w:rsidRPr="00B740B4" w:rsidRDefault="00CB10AA" w:rsidP="00CB10AA">
      <w:pPr>
        <w:pStyle w:val="Heading3"/>
      </w:pPr>
      <w:r w:rsidRPr="00B740B4">
        <w:t xml:space="preserve">Form </w:t>
      </w:r>
    </w:p>
    <w:p w:rsidR="00C93CC0" w:rsidRPr="00B740B4" w:rsidRDefault="00C93CC0" w:rsidP="002F7F23">
      <w:pPr>
        <w:rPr>
          <w:rFonts w:eastAsia="Times New Roman"/>
        </w:rPr>
      </w:pPr>
    </w:p>
    <w:p w:rsidR="00ED4DC7" w:rsidRPr="00B740B4" w:rsidRDefault="00355D99" w:rsidP="002F7F23">
      <w:pPr>
        <w:rPr>
          <w:rFonts w:eastAsia="Times New Roman" w:cs="Times New Roman"/>
          <w:noProof/>
        </w:rPr>
      </w:pPr>
      <w:r w:rsidRPr="00B740B4">
        <w:rPr>
          <w:rFonts w:eastAsia="Times New Roman" w:cs="Times New Roman"/>
          <w:noProof/>
        </w:rPr>
        <w:t>Like chap. 2, Dan 4 is a subtle</w:t>
      </w:r>
      <w:r w:rsidR="00F2130D">
        <w:rPr>
          <w:rFonts w:eastAsia="Times New Roman" w:cs="Times New Roman"/>
          <w:noProof/>
        </w:rPr>
        <w:t>, complex,</w:t>
      </w:r>
      <w:r w:rsidRPr="00B740B4">
        <w:rPr>
          <w:rFonts w:eastAsia="Times New Roman" w:cs="Times New Roman"/>
          <w:noProof/>
        </w:rPr>
        <w:t xml:space="preserve"> and sophisticated composition that brings together elements from several genres</w:t>
      </w:r>
      <w:r w:rsidR="004013E6" w:rsidRPr="00B740B4">
        <w:rPr>
          <w:rFonts w:eastAsia="Times New Roman" w:cs="Times New Roman"/>
          <w:noProof/>
        </w:rPr>
        <w:t xml:space="preserve"> (see chaps. 1 and 2 </w:t>
      </w:r>
      <w:r w:rsidR="004013E6" w:rsidRPr="00B740B4">
        <w:rPr>
          <w:rFonts w:eastAsia="Times New Roman" w:cs="Times New Roman"/>
          <w:i/>
          <w:noProof/>
        </w:rPr>
        <w:t>Form</w:t>
      </w:r>
      <w:r w:rsidR="004013E6" w:rsidRPr="00B740B4">
        <w:rPr>
          <w:rFonts w:eastAsia="Times New Roman" w:cs="Times New Roman"/>
          <w:noProof/>
        </w:rPr>
        <w:t>)</w:t>
      </w:r>
      <w:r w:rsidRPr="00B740B4">
        <w:rPr>
          <w:rFonts w:eastAsia="Times New Roman" w:cs="Times New Roman"/>
          <w:noProof/>
        </w:rPr>
        <w:t xml:space="preserve">. </w:t>
      </w:r>
    </w:p>
    <w:p w:rsidR="00ED4DC7" w:rsidRPr="00B740B4" w:rsidRDefault="00355D99" w:rsidP="00ED4DC7">
      <w:pPr>
        <w:rPr>
          <w:rFonts w:eastAsia="Times New Roman" w:cs="Times New Roman"/>
          <w:noProof/>
        </w:rPr>
      </w:pPr>
      <w:r w:rsidRPr="00B740B4">
        <w:rPr>
          <w:rFonts w:eastAsia="Times New Roman" w:cs="Times New Roman"/>
          <w:noProof/>
        </w:rPr>
        <w:t>The opening vers</w:t>
      </w:r>
      <w:r w:rsidR="004013E6" w:rsidRPr="00B740B4">
        <w:rPr>
          <w:rFonts w:eastAsia="Times New Roman" w:cs="Times New Roman"/>
          <w:noProof/>
        </w:rPr>
        <w:t>es suggest</w:t>
      </w:r>
      <w:r w:rsidR="00ED4DC7" w:rsidRPr="00B740B4">
        <w:rPr>
          <w:rFonts w:eastAsia="Times New Roman" w:cs="Times New Roman"/>
          <w:noProof/>
        </w:rPr>
        <w:t xml:space="preserve"> a letter</w:t>
      </w:r>
      <w:r w:rsidR="00F2130D">
        <w:rPr>
          <w:rFonts w:eastAsia="Times New Roman" w:cs="Times New Roman"/>
          <w:noProof/>
        </w:rPr>
        <w:t>; the</w:t>
      </w:r>
      <w:r w:rsidR="00ED4DC7" w:rsidRPr="00B740B4">
        <w:rPr>
          <w:rFonts w:eastAsia="Times New Roman" w:cs="Times New Roman"/>
          <w:noProof/>
        </w:rPr>
        <w:t xml:space="preserve"> identification of writer and addressee, and </w:t>
      </w:r>
      <w:r w:rsidR="00F2130D">
        <w:rPr>
          <w:rFonts w:eastAsia="Times New Roman" w:cs="Times New Roman"/>
          <w:noProof/>
        </w:rPr>
        <w:t>the greeting, are</w:t>
      </w:r>
      <w:r w:rsidR="00ED4DC7" w:rsidRPr="00B740B4">
        <w:rPr>
          <w:rFonts w:eastAsia="Times New Roman" w:cs="Times New Roman"/>
          <w:noProof/>
        </w:rPr>
        <w:t xml:space="preserve"> regular feature</w:t>
      </w:r>
      <w:r w:rsidR="00F2130D">
        <w:rPr>
          <w:rFonts w:eastAsia="Times New Roman" w:cs="Times New Roman"/>
          <w:noProof/>
        </w:rPr>
        <w:t>s</w:t>
      </w:r>
      <w:r w:rsidR="00ED4DC7" w:rsidRPr="00B740B4">
        <w:rPr>
          <w:rFonts w:eastAsia="Times New Roman" w:cs="Times New Roman"/>
          <w:noProof/>
        </w:rPr>
        <w:t xml:space="preserve"> of Aramaic and other letters.</w:t>
      </w:r>
      <w:r w:rsidR="00ED4DC7" w:rsidRPr="00B740B4">
        <w:rPr>
          <w:rFonts w:eastAsia="Times New Roman" w:cs="Times New Roman"/>
          <w:noProof/>
          <w:vertAlign w:val="superscript"/>
        </w:rPr>
        <w:footnoteReference w:id="694"/>
      </w:r>
      <w:r w:rsidR="00ED4DC7" w:rsidRPr="00B740B4">
        <w:rPr>
          <w:rFonts w:eastAsia="Times New Roman" w:cs="Times New Roman"/>
          <w:noProof/>
        </w:rPr>
        <w:t xml:space="preserve"> It specifically suggests an encyclical (cf. Ezra 1:1–4). The form of a royal proclamation gives the content a special degree of authority, which is </w:t>
      </w:r>
      <w:r w:rsidR="00F2130D">
        <w:rPr>
          <w:rFonts w:eastAsia="Times New Roman" w:cs="Times New Roman"/>
          <w:noProof/>
        </w:rPr>
        <w:t xml:space="preserve">then </w:t>
      </w:r>
      <w:r w:rsidR="00ED4DC7" w:rsidRPr="00B740B4">
        <w:rPr>
          <w:rFonts w:eastAsia="Times New Roman" w:cs="Times New Roman"/>
          <w:noProof/>
        </w:rPr>
        <w:t>used to testify to a higher authority than the human king.</w:t>
      </w:r>
      <w:r w:rsidR="00ED4DC7" w:rsidRPr="00B740B4">
        <w:rPr>
          <w:rFonts w:eastAsia="Times New Roman" w:cs="Times New Roman"/>
          <w:noProof/>
          <w:vertAlign w:val="superscript"/>
        </w:rPr>
        <w:footnoteReference w:id="695"/>
      </w:r>
      <w:r w:rsidR="00ED4DC7" w:rsidRPr="00B740B4">
        <w:rPr>
          <w:rFonts w:eastAsia="Times New Roman" w:cs="Times New Roman"/>
          <w:noProof/>
        </w:rPr>
        <w:t xml:space="preserve"> The king is the central character in this chapter to a greater extent than is the case in other stories.</w:t>
      </w:r>
      <w:r w:rsidR="00ED4DC7" w:rsidRPr="00B740B4">
        <w:rPr>
          <w:rFonts w:eastAsia="Times New Roman" w:cs="Times New Roman"/>
          <w:noProof/>
          <w:vertAlign w:val="superscript"/>
        </w:rPr>
        <w:footnoteReference w:id="696"/>
      </w:r>
      <w:r w:rsidR="00ED4DC7" w:rsidRPr="00B740B4">
        <w:rPr>
          <w:rFonts w:eastAsia="Times New Roman" w:cs="Times New Roman"/>
          <w:noProof/>
        </w:rPr>
        <w:t xml:space="preserve"> His consultation of the experts is brie</w:t>
      </w:r>
      <w:r w:rsidR="00F2130D">
        <w:rPr>
          <w:rFonts w:eastAsia="Times New Roman" w:cs="Times New Roman"/>
          <w:noProof/>
        </w:rPr>
        <w:t xml:space="preserve">fer and more formalized, and </w:t>
      </w:r>
      <w:r w:rsidR="009533C8">
        <w:rPr>
          <w:rFonts w:eastAsia="Times New Roman" w:cs="Times New Roman"/>
          <w:noProof/>
        </w:rPr>
        <w:t xml:space="preserve">it </w:t>
      </w:r>
      <w:r w:rsidR="00ED4DC7" w:rsidRPr="00B740B4">
        <w:rPr>
          <w:rFonts w:eastAsia="Times New Roman" w:cs="Times New Roman"/>
          <w:noProof/>
        </w:rPr>
        <w:t xml:space="preserve">conveys a less cartoon-like impression, while there is no reference to Daniel being rewarded or promoted. </w:t>
      </w:r>
      <w:r w:rsidR="008D341E" w:rsidRPr="00B740B4">
        <w:rPr>
          <w:rFonts w:eastAsia="Times New Roman" w:cs="Times New Roman"/>
          <w:noProof/>
        </w:rPr>
        <w:t xml:space="preserve">Elements of court contest tale, legend, </w:t>
      </w:r>
      <w:r w:rsidR="00F2130D">
        <w:rPr>
          <w:rFonts w:eastAsia="Times New Roman" w:cs="Times New Roman"/>
          <w:noProof/>
        </w:rPr>
        <w:t>and aretalogy thus reappear</w:t>
      </w:r>
      <w:r w:rsidR="008D341E" w:rsidRPr="00B740B4">
        <w:rPr>
          <w:rFonts w:eastAsia="Times New Roman" w:cs="Times New Roman"/>
          <w:noProof/>
        </w:rPr>
        <w:t>, but they are less pominent than in chap. 2.</w:t>
      </w:r>
    </w:p>
    <w:p w:rsidR="00D67710" w:rsidRDefault="00F2130D" w:rsidP="008D341E">
      <w:pPr>
        <w:rPr>
          <w:rFonts w:eastAsia="Times New Roman" w:cs="Times New Roman"/>
          <w:noProof/>
        </w:rPr>
      </w:pPr>
      <w:r>
        <w:rPr>
          <w:rFonts w:eastAsia="Times New Roman" w:cs="Times New Roman"/>
          <w:noProof/>
        </w:rPr>
        <w:lastRenderedPageBreak/>
        <w:t xml:space="preserve">The king’s </w:t>
      </w:r>
      <w:r w:rsidR="00D23403">
        <w:rPr>
          <w:rFonts w:eastAsia="Times New Roman" w:cs="Times New Roman"/>
          <w:noProof/>
        </w:rPr>
        <w:t>confession of</w:t>
      </w:r>
      <w:r>
        <w:rPr>
          <w:rFonts w:eastAsia="Times New Roman" w:cs="Times New Roman"/>
          <w:noProof/>
        </w:rPr>
        <w:t xml:space="preserve"> God’s greatness (vv. 2-3) </w:t>
      </w:r>
      <w:r w:rsidR="008D341E" w:rsidRPr="00B740B4">
        <w:rPr>
          <w:rFonts w:eastAsia="Times New Roman" w:cs="Times New Roman"/>
          <w:noProof/>
        </w:rPr>
        <w:t>marks a transition to something like</w:t>
      </w:r>
      <w:r w:rsidR="004013E6" w:rsidRPr="00B740B4">
        <w:rPr>
          <w:rFonts w:eastAsia="Times New Roman" w:cs="Times New Roman"/>
          <w:noProof/>
        </w:rPr>
        <w:t xml:space="preserve"> </w:t>
      </w:r>
      <w:r w:rsidR="00B40D6E" w:rsidRPr="00B740B4">
        <w:rPr>
          <w:rFonts w:eastAsia="Times New Roman" w:cs="Times New Roman"/>
          <w:noProof/>
        </w:rPr>
        <w:t xml:space="preserve">a </w:t>
      </w:r>
      <w:r>
        <w:rPr>
          <w:rFonts w:eastAsia="Times New Roman" w:cs="Times New Roman"/>
          <w:noProof/>
        </w:rPr>
        <w:t xml:space="preserve">thanksgiving or </w:t>
      </w:r>
      <w:r w:rsidR="00B40D6E" w:rsidRPr="00B740B4">
        <w:rPr>
          <w:rFonts w:eastAsia="Times New Roman" w:cs="Times New Roman"/>
          <w:noProof/>
        </w:rPr>
        <w:t>testimony</w:t>
      </w:r>
      <w:r>
        <w:rPr>
          <w:rFonts w:eastAsia="Times New Roman" w:cs="Times New Roman"/>
          <w:noProof/>
        </w:rPr>
        <w:t xml:space="preserve"> </w:t>
      </w:r>
      <w:r w:rsidRPr="00F2130D">
        <w:rPr>
          <w:rFonts w:eastAsia="Times New Roman" w:cs="Times New Roman"/>
          <w:noProof/>
        </w:rPr>
        <w:t>(e.g., Ps 30)</w:t>
      </w:r>
      <w:r>
        <w:rPr>
          <w:rFonts w:eastAsia="Times New Roman" w:cs="Times New Roman"/>
          <w:noProof/>
        </w:rPr>
        <w:t>, in which a person</w:t>
      </w:r>
      <w:r w:rsidR="004013E6" w:rsidRPr="00B740B4">
        <w:rPr>
          <w:rFonts w:eastAsia="Times New Roman" w:cs="Times New Roman"/>
          <w:noProof/>
        </w:rPr>
        <w:t xml:space="preserve"> recalls how their life was going well, how it went wrong, but how God then restored them</w:t>
      </w:r>
      <w:r w:rsidR="00B40D6E" w:rsidRPr="00B740B4">
        <w:rPr>
          <w:rFonts w:eastAsia="Times New Roman" w:cs="Times New Roman"/>
          <w:noProof/>
        </w:rPr>
        <w:t>;</w:t>
      </w:r>
      <w:r w:rsidR="00355D99" w:rsidRPr="00B740B4">
        <w:rPr>
          <w:rFonts w:eastAsia="Times New Roman" w:cs="Times New Roman"/>
          <w:noProof/>
        </w:rPr>
        <w:t xml:space="preserve"> the closing verses resume the form of a testimony</w:t>
      </w:r>
      <w:r>
        <w:rPr>
          <w:rFonts w:eastAsia="Times New Roman" w:cs="Times New Roman"/>
          <w:noProof/>
        </w:rPr>
        <w:t>.</w:t>
      </w:r>
      <w:r w:rsidR="00F921C2" w:rsidRPr="00B740B4">
        <w:rPr>
          <w:rFonts w:eastAsia="Times New Roman" w:cs="Times New Roman"/>
          <w:noProof/>
        </w:rPr>
        <w:t xml:space="preserve"> </w:t>
      </w:r>
      <w:r>
        <w:rPr>
          <w:rFonts w:eastAsia="Times New Roman" w:cs="Times New Roman"/>
          <w:noProof/>
        </w:rPr>
        <w:t>More specifically</w:t>
      </w:r>
      <w:r w:rsidR="00F921C2" w:rsidRPr="00B740B4">
        <w:rPr>
          <w:rFonts w:eastAsia="Times New Roman" w:cs="Times New Roman"/>
          <w:noProof/>
        </w:rPr>
        <w:t xml:space="preserve">, it parallels the less usual kind of testimony psalm that speaks of the suppliant’s wrongding, of God’s chastising, and then of God’s restoring (e.g., Ps 32). </w:t>
      </w:r>
      <w:r w:rsidR="00D67710">
        <w:rPr>
          <w:rFonts w:eastAsia="Times New Roman" w:cs="Times New Roman"/>
          <w:noProof/>
        </w:rPr>
        <w:t xml:space="preserve">A second-millennium fictional story about King </w:t>
      </w:r>
      <w:r w:rsidR="00D67710" w:rsidRPr="00D67710">
        <w:rPr>
          <w:rFonts w:eastAsia="Times New Roman" w:cs="Times New Roman"/>
          <w:noProof/>
        </w:rPr>
        <w:t xml:space="preserve">Naram-Sin </w:t>
      </w:r>
      <w:r w:rsidR="00D67710">
        <w:rPr>
          <w:rFonts w:eastAsia="Times New Roman" w:cs="Times New Roman"/>
          <w:noProof/>
        </w:rPr>
        <w:t xml:space="preserve">of Kuth in Mesopotamia also </w:t>
      </w:r>
      <w:r w:rsidR="009533C8">
        <w:rPr>
          <w:rFonts w:eastAsia="Times New Roman" w:cs="Times New Roman"/>
          <w:noProof/>
        </w:rPr>
        <w:t xml:space="preserve">combines an encyclical </w:t>
      </w:r>
      <w:r w:rsidR="00D67710">
        <w:rPr>
          <w:rFonts w:eastAsia="Times New Roman" w:cs="Times New Roman"/>
          <w:noProof/>
        </w:rPr>
        <w:t xml:space="preserve">with </w:t>
      </w:r>
      <w:r w:rsidR="00ED4DC7" w:rsidRPr="00B740B4">
        <w:rPr>
          <w:rFonts w:eastAsia="Times New Roman" w:cs="Times New Roman"/>
          <w:noProof/>
        </w:rPr>
        <w:t>an autobiographical account of humbling and advance</w:t>
      </w:r>
      <w:r w:rsidR="00D67710">
        <w:rPr>
          <w:rFonts w:eastAsia="Times New Roman" w:cs="Times New Roman"/>
          <w:noProof/>
        </w:rPr>
        <w:t xml:space="preserve"> to meekness.</w:t>
      </w:r>
      <w:r w:rsidR="00ED4DC7" w:rsidRPr="00B740B4">
        <w:rPr>
          <w:rFonts w:eastAsia="Times New Roman" w:cs="Times New Roman"/>
          <w:noProof/>
          <w:vertAlign w:val="superscript"/>
        </w:rPr>
        <w:footnoteReference w:id="697"/>
      </w:r>
      <w:r w:rsidR="008D341E" w:rsidRPr="00B740B4">
        <w:rPr>
          <w:rFonts w:eastAsia="Times New Roman" w:cs="Times New Roman"/>
          <w:noProof/>
        </w:rPr>
        <w:t xml:space="preserve"> </w:t>
      </w:r>
      <w:r w:rsidR="009533C8">
        <w:rPr>
          <w:rFonts w:eastAsia="Times New Roman" w:cs="Times New Roman"/>
          <w:noProof/>
        </w:rPr>
        <w:t xml:space="preserve">The testimony </w:t>
      </w:r>
      <w:r w:rsidR="00D67710">
        <w:rPr>
          <w:rFonts w:eastAsia="Times New Roman" w:cs="Times New Roman"/>
          <w:noProof/>
        </w:rPr>
        <w:t xml:space="preserve">parallels other </w:t>
      </w:r>
      <w:r w:rsidR="00D67710" w:rsidRPr="00D67710">
        <w:rPr>
          <w:rFonts w:eastAsia="Times New Roman" w:cs="Times New Roman"/>
          <w:noProof/>
        </w:rPr>
        <w:t>pseudo-autobiographies”</w:t>
      </w:r>
      <w:r w:rsidR="00D67710" w:rsidRPr="00D67710">
        <w:rPr>
          <w:rFonts w:eastAsia="Times New Roman" w:cs="Times New Roman"/>
          <w:noProof/>
          <w:vertAlign w:val="superscript"/>
        </w:rPr>
        <w:footnoteReference w:id="698"/>
      </w:r>
      <w:r w:rsidR="00D67710">
        <w:rPr>
          <w:rFonts w:eastAsia="Times New Roman" w:cs="Times New Roman"/>
          <w:noProof/>
        </w:rPr>
        <w:t xml:space="preserve"> such as</w:t>
      </w:r>
      <w:r w:rsidR="00D67710" w:rsidRPr="00D67710">
        <w:rPr>
          <w:rFonts w:eastAsia="Times New Roman" w:cs="Times New Roman"/>
          <w:noProof/>
        </w:rPr>
        <w:t xml:space="preserve"> the second-ce</w:t>
      </w:r>
      <w:r w:rsidR="009533C8">
        <w:rPr>
          <w:rFonts w:eastAsia="Times New Roman" w:cs="Times New Roman"/>
          <w:noProof/>
        </w:rPr>
        <w:t xml:space="preserve">ntury account of a failure of the Nile’s inundation by the third-millennium pharaoh </w:t>
      </w:r>
      <w:r w:rsidR="00D67710" w:rsidRPr="00D67710">
        <w:rPr>
          <w:rFonts w:eastAsia="Times New Roman" w:cs="Times New Roman"/>
          <w:noProof/>
        </w:rPr>
        <w:t>Djoser, which speaks of a period of seven lean years (</w:t>
      </w:r>
      <w:r w:rsidR="00D67710" w:rsidRPr="00D67710">
        <w:rPr>
          <w:rFonts w:eastAsia="Times New Roman" w:cs="Times New Roman"/>
          <w:i/>
          <w:noProof/>
        </w:rPr>
        <w:t>ANET</w:t>
      </w:r>
      <w:r w:rsidR="00D67710" w:rsidRPr="00D67710">
        <w:rPr>
          <w:rFonts w:eastAsia="Times New Roman" w:cs="Times New Roman"/>
          <w:noProof/>
        </w:rPr>
        <w:t>, 31–32).</w:t>
      </w:r>
    </w:p>
    <w:p w:rsidR="00ED4DC7" w:rsidRPr="00B740B4" w:rsidRDefault="008D341E" w:rsidP="002F7F23">
      <w:pPr>
        <w:rPr>
          <w:rFonts w:eastAsia="Times New Roman" w:cs="Times New Roman"/>
          <w:noProof/>
        </w:rPr>
      </w:pPr>
      <w:r w:rsidRPr="00B740B4">
        <w:rPr>
          <w:rFonts w:eastAsia="Times New Roman" w:cs="Times New Roman"/>
          <w:noProof/>
        </w:rPr>
        <w:t>The praise o</w:t>
      </w:r>
      <w:r w:rsidR="00D23403">
        <w:rPr>
          <w:rFonts w:eastAsia="Times New Roman" w:cs="Times New Roman"/>
          <w:noProof/>
        </w:rPr>
        <w:t>f God thus has both thanksgiving</w:t>
      </w:r>
      <w:r w:rsidR="009533C8">
        <w:rPr>
          <w:rFonts w:eastAsia="Times New Roman" w:cs="Times New Roman"/>
          <w:noProof/>
        </w:rPr>
        <w:t xml:space="preserve"> features (vv </w:t>
      </w:r>
      <w:r w:rsidRPr="00B740B4">
        <w:rPr>
          <w:rFonts w:eastAsia="Times New Roman" w:cs="Times New Roman"/>
          <w:noProof/>
        </w:rPr>
        <w:t>2, 34a, 37a) and hymnic features</w:t>
      </w:r>
      <w:r w:rsidR="009533C8">
        <w:rPr>
          <w:rFonts w:eastAsia="Times New Roman" w:cs="Times New Roman"/>
          <w:noProof/>
        </w:rPr>
        <w:t xml:space="preserve"> (vv </w:t>
      </w:r>
      <w:r w:rsidRPr="00B740B4">
        <w:rPr>
          <w:rFonts w:eastAsia="Times New Roman" w:cs="Times New Roman"/>
          <w:noProof/>
        </w:rPr>
        <w:t>3, 34b–35, 37b). Each is appropriate to the context; the formal ambiguity that resu</w:t>
      </w:r>
      <w:r w:rsidR="00F2130D">
        <w:rPr>
          <w:rFonts w:eastAsia="Times New Roman" w:cs="Times New Roman"/>
          <w:noProof/>
        </w:rPr>
        <w:t xml:space="preserve">lts from their combination </w:t>
      </w:r>
      <w:r w:rsidR="009533C8">
        <w:rPr>
          <w:rFonts w:eastAsia="Times New Roman" w:cs="Times New Roman"/>
          <w:noProof/>
        </w:rPr>
        <w:t xml:space="preserve">(is it a hymn or a thansgiving?) </w:t>
      </w:r>
      <w:r w:rsidRPr="00B740B4">
        <w:rPr>
          <w:rFonts w:eastAsia="Times New Roman" w:cs="Times New Roman"/>
          <w:noProof/>
        </w:rPr>
        <w:t>reflects the origin of the verses in a literary rather than a liturgical setting.</w:t>
      </w:r>
      <w:r w:rsidRPr="00B740B4">
        <w:rPr>
          <w:rFonts w:eastAsia="Times New Roman" w:cs="Times New Roman"/>
          <w:noProof/>
          <w:vertAlign w:val="superscript"/>
        </w:rPr>
        <w:footnoteReference w:id="699"/>
      </w:r>
      <w:r w:rsidRPr="00B740B4">
        <w:rPr>
          <w:rFonts w:eastAsia="Times New Roman" w:cs="Times New Roman"/>
          <w:noProof/>
        </w:rPr>
        <w:t xml:space="preserve"> </w:t>
      </w:r>
      <w:r w:rsidR="00F2130D">
        <w:rPr>
          <w:rFonts w:eastAsia="Times New Roman" w:cs="Times New Roman"/>
          <w:noProof/>
        </w:rPr>
        <w:t xml:space="preserve">The offering of praise </w:t>
      </w:r>
      <w:r w:rsidRPr="00B740B4">
        <w:rPr>
          <w:rFonts w:eastAsia="Times New Roman" w:cs="Times New Roman"/>
          <w:noProof/>
        </w:rPr>
        <w:t>after the beginning of a letter is paralleled in NT epistle</w:t>
      </w:r>
      <w:r w:rsidR="009533C8">
        <w:rPr>
          <w:rFonts w:eastAsia="Times New Roman" w:cs="Times New Roman"/>
          <w:noProof/>
        </w:rPr>
        <w:t>s;</w:t>
      </w:r>
      <w:r w:rsidR="00D23403">
        <w:rPr>
          <w:rFonts w:eastAsia="Times New Roman" w:cs="Times New Roman"/>
          <w:noProof/>
        </w:rPr>
        <w:t xml:space="preserve"> a</w:t>
      </w:r>
      <w:r w:rsidRPr="00B740B4">
        <w:rPr>
          <w:rFonts w:eastAsia="Times New Roman" w:cs="Times New Roman"/>
          <w:noProof/>
        </w:rPr>
        <w:t>s is the case with thi</w:t>
      </w:r>
      <w:r w:rsidR="00F2130D">
        <w:rPr>
          <w:rFonts w:eastAsia="Times New Roman" w:cs="Times New Roman"/>
          <w:noProof/>
        </w:rPr>
        <w:t>s feature in the Epistles, the</w:t>
      </w:r>
      <w:r w:rsidRPr="00B740B4">
        <w:rPr>
          <w:rFonts w:eastAsia="Times New Roman" w:cs="Times New Roman"/>
          <w:noProof/>
        </w:rPr>
        <w:t xml:space="preserve"> poe</w:t>
      </w:r>
      <w:r w:rsidR="00F2130D">
        <w:rPr>
          <w:rFonts w:eastAsia="Times New Roman" w:cs="Times New Roman"/>
          <w:noProof/>
        </w:rPr>
        <w:t>tic passage fulfill</w:t>
      </w:r>
      <w:r w:rsidR="00D23403">
        <w:rPr>
          <w:rFonts w:eastAsia="Times New Roman" w:cs="Times New Roman"/>
          <w:noProof/>
        </w:rPr>
        <w:t>s</w:t>
      </w:r>
      <w:r w:rsidR="00F2130D">
        <w:rPr>
          <w:rFonts w:eastAsia="Times New Roman" w:cs="Times New Roman"/>
          <w:noProof/>
        </w:rPr>
        <w:t xml:space="preserve"> a</w:t>
      </w:r>
      <w:r w:rsidRPr="00B740B4">
        <w:rPr>
          <w:rFonts w:eastAsia="Times New Roman" w:cs="Times New Roman"/>
          <w:noProof/>
        </w:rPr>
        <w:t xml:space="preserve"> d</w:t>
      </w:r>
      <w:r w:rsidR="00F2130D">
        <w:rPr>
          <w:rFonts w:eastAsia="Times New Roman" w:cs="Times New Roman"/>
          <w:noProof/>
        </w:rPr>
        <w:t>idactic function.</w:t>
      </w:r>
      <w:r w:rsidRPr="00B740B4">
        <w:rPr>
          <w:rFonts w:eastAsia="Times New Roman" w:cs="Times New Roman"/>
          <w:noProof/>
          <w:vertAlign w:val="superscript"/>
        </w:rPr>
        <w:footnoteReference w:id="700"/>
      </w:r>
      <w:r w:rsidRPr="00B740B4">
        <w:rPr>
          <w:rFonts w:eastAsia="Times New Roman" w:cs="Times New Roman"/>
          <w:noProof/>
        </w:rPr>
        <w:t xml:space="preserve"> The confessional opening and closing of the chapter help to unify </w:t>
      </w:r>
      <w:r w:rsidR="00F921C2" w:rsidRPr="00B740B4">
        <w:rPr>
          <w:rFonts w:eastAsia="Times New Roman" w:cs="Times New Roman"/>
          <w:noProof/>
        </w:rPr>
        <w:t>its</w:t>
      </w:r>
      <w:r w:rsidRPr="00B740B4">
        <w:rPr>
          <w:rFonts w:eastAsia="Times New Roman" w:cs="Times New Roman"/>
          <w:noProof/>
        </w:rPr>
        <w:t xml:space="preserve"> diverse formal features into a distinctive, intricately wrought whol</w:t>
      </w:r>
      <w:r w:rsidR="00F921C2" w:rsidRPr="00B740B4">
        <w:rPr>
          <w:rFonts w:eastAsia="Times New Roman" w:cs="Times New Roman"/>
          <w:noProof/>
        </w:rPr>
        <w:t>e.</w:t>
      </w:r>
      <w:r w:rsidR="00C822C0">
        <w:rPr>
          <w:rFonts w:eastAsia="Times New Roman" w:cs="Times New Roman"/>
          <w:noProof/>
        </w:rPr>
        <w:t xml:space="preserve"> </w:t>
      </w:r>
      <w:r w:rsidRPr="00B740B4">
        <w:rPr>
          <w:rFonts w:eastAsia="Times New Roman" w:cs="Times New Roman"/>
          <w:noProof/>
        </w:rPr>
        <w:t>The encyclical/confession forms a bracket around th</w:t>
      </w:r>
      <w:r w:rsidR="00C93CC0" w:rsidRPr="00B740B4">
        <w:rPr>
          <w:rFonts w:eastAsia="Times New Roman" w:cs="Times New Roman"/>
          <w:noProof/>
        </w:rPr>
        <w:t>e chapte</w:t>
      </w:r>
      <w:r w:rsidRPr="00B740B4">
        <w:rPr>
          <w:rFonts w:eastAsia="Times New Roman" w:cs="Times New Roman"/>
          <w:noProof/>
        </w:rPr>
        <w:t>r’s dominant formal feature,</w:t>
      </w:r>
      <w:r w:rsidR="00C93CC0" w:rsidRPr="00B740B4">
        <w:rPr>
          <w:rFonts w:eastAsia="Times New Roman" w:cs="Times New Roman"/>
          <w:noProof/>
        </w:rPr>
        <w:t xml:space="preserve"> a dream report, with introduction, dream, interpretation, and fulfillment</w:t>
      </w:r>
      <w:r w:rsidR="002F7F23" w:rsidRPr="00B740B4">
        <w:rPr>
          <w:rFonts w:eastAsia="Times New Roman" w:cs="Times New Roman"/>
          <w:noProof/>
        </w:rPr>
        <w:t>.</w:t>
      </w:r>
      <w:r w:rsidR="002F7F23" w:rsidRPr="00B740B4">
        <w:rPr>
          <w:rStyle w:val="FootnoteReference"/>
          <w:rFonts w:eastAsia="Times New Roman" w:cs="Times New Roman"/>
          <w:noProof/>
        </w:rPr>
        <w:footnoteReference w:id="701"/>
      </w:r>
      <w:r w:rsidR="004013E6" w:rsidRPr="00B740B4">
        <w:rPr>
          <w:rFonts w:eastAsia="Times New Roman" w:cs="Times New Roman"/>
          <w:noProof/>
        </w:rPr>
        <w:t xml:space="preserve"> The </w:t>
      </w:r>
      <w:r w:rsidR="00C93CC0" w:rsidRPr="00B740B4">
        <w:rPr>
          <w:rFonts w:eastAsia="Times New Roman" w:cs="Times New Roman"/>
          <w:noProof/>
        </w:rPr>
        <w:t>fulfillment mot</w:t>
      </w:r>
      <w:r w:rsidR="00FD6506" w:rsidRPr="00B740B4">
        <w:rPr>
          <w:rFonts w:eastAsia="Times New Roman" w:cs="Times New Roman"/>
          <w:noProof/>
        </w:rPr>
        <w:t>if further distinguishes chap. 4 from chap.</w:t>
      </w:r>
      <w:r w:rsidR="00C93CC0" w:rsidRPr="00B740B4">
        <w:rPr>
          <w:rFonts w:eastAsia="Times New Roman" w:cs="Times New Roman"/>
          <w:noProof/>
        </w:rPr>
        <w:t xml:space="preserve"> 2, as does the story’s</w:t>
      </w:r>
      <w:r w:rsidR="004013E6" w:rsidRPr="00B740B4">
        <w:rPr>
          <w:rFonts w:eastAsia="Times New Roman" w:cs="Times New Roman"/>
          <w:noProof/>
        </w:rPr>
        <w:t xml:space="preserve"> ending with </w:t>
      </w:r>
      <w:r w:rsidR="00C93CC0" w:rsidRPr="00B740B4">
        <w:rPr>
          <w:rFonts w:eastAsia="Times New Roman" w:cs="Times New Roman"/>
          <w:noProof/>
        </w:rPr>
        <w:t>Nebuchadnezzar</w:t>
      </w:r>
      <w:r w:rsidR="004013E6" w:rsidRPr="00B740B4">
        <w:rPr>
          <w:rFonts w:eastAsia="Times New Roman" w:cs="Times New Roman"/>
          <w:noProof/>
        </w:rPr>
        <w:t>’s restoration rather than Daniel’s exaltation</w:t>
      </w:r>
      <w:r w:rsidR="00C93CC0" w:rsidRPr="00B740B4">
        <w:rPr>
          <w:rFonts w:eastAsia="Times New Roman" w:cs="Times New Roman"/>
          <w:noProof/>
        </w:rPr>
        <w:t>. The first-person form maintained through much of the chapt</w:t>
      </w:r>
      <w:r w:rsidR="00FD6506" w:rsidRPr="00B740B4">
        <w:rPr>
          <w:rFonts w:eastAsia="Times New Roman" w:cs="Times New Roman"/>
          <w:noProof/>
        </w:rPr>
        <w:t>er is natural to a dream report</w:t>
      </w:r>
      <w:r w:rsidR="00FD6506" w:rsidRPr="00B740B4">
        <w:rPr>
          <w:rStyle w:val="FootnoteReference"/>
          <w:rFonts w:eastAsia="Times New Roman" w:cs="Times New Roman"/>
          <w:noProof/>
        </w:rPr>
        <w:footnoteReference w:id="702"/>
      </w:r>
      <w:r w:rsidR="00FD6506" w:rsidRPr="00B740B4">
        <w:rPr>
          <w:rFonts w:eastAsia="Times New Roman" w:cs="Times New Roman"/>
          <w:noProof/>
        </w:rPr>
        <w:t xml:space="preserve"> </w:t>
      </w:r>
      <w:r w:rsidR="004013E6" w:rsidRPr="00B740B4">
        <w:rPr>
          <w:rFonts w:eastAsia="Times New Roman" w:cs="Times New Roman"/>
          <w:noProof/>
        </w:rPr>
        <w:t>as well as</w:t>
      </w:r>
      <w:r w:rsidR="00C93CC0" w:rsidRPr="00B740B4">
        <w:rPr>
          <w:rFonts w:eastAsia="Times New Roman" w:cs="Times New Roman"/>
          <w:noProof/>
        </w:rPr>
        <w:t xml:space="preserve"> to the confession</w:t>
      </w:r>
      <w:r w:rsidR="004013E6" w:rsidRPr="00B740B4">
        <w:rPr>
          <w:rFonts w:eastAsia="Times New Roman" w:cs="Times New Roman"/>
          <w:noProof/>
        </w:rPr>
        <w:t>al praise with which it begins; compare Nabonidus’s testimonies</w:t>
      </w:r>
      <w:r w:rsidR="00C93CC0" w:rsidRPr="00B740B4">
        <w:rPr>
          <w:rFonts w:eastAsia="Times New Roman" w:cs="Times New Roman"/>
          <w:noProof/>
        </w:rPr>
        <w:t xml:space="preserve"> </w:t>
      </w:r>
      <w:r w:rsidR="004013E6" w:rsidRPr="00B740B4">
        <w:rPr>
          <w:rFonts w:eastAsia="Times New Roman" w:cs="Times New Roman"/>
          <w:noProof/>
        </w:rPr>
        <w:t>(</w:t>
      </w:r>
      <w:r w:rsidR="00C93CC0" w:rsidRPr="00B740B4">
        <w:rPr>
          <w:rFonts w:eastAsia="Times New Roman" w:cs="Times New Roman"/>
          <w:i/>
          <w:noProof/>
        </w:rPr>
        <w:t>ANET</w:t>
      </w:r>
      <w:r w:rsidR="00FD6506" w:rsidRPr="00B740B4">
        <w:rPr>
          <w:rFonts w:eastAsia="Times New Roman" w:cs="Times New Roman"/>
          <w:noProof/>
        </w:rPr>
        <w:t>,</w:t>
      </w:r>
      <w:r w:rsidR="00C93CC0" w:rsidRPr="00B740B4">
        <w:rPr>
          <w:rFonts w:eastAsia="Times New Roman" w:cs="Times New Roman"/>
          <w:noProof/>
        </w:rPr>
        <w:t xml:space="preserve"> 308–11; 562–63</w:t>
      </w:r>
      <w:r w:rsidR="004013E6" w:rsidRPr="00B740B4">
        <w:rPr>
          <w:rFonts w:eastAsia="Times New Roman" w:cs="Times New Roman"/>
          <w:noProof/>
        </w:rPr>
        <w:t>) and</w:t>
      </w:r>
      <w:r w:rsidR="00C93CC0" w:rsidRPr="00B740B4">
        <w:rPr>
          <w:rFonts w:eastAsia="Times New Roman" w:cs="Times New Roman"/>
          <w:noProof/>
        </w:rPr>
        <w:t xml:space="preserve"> </w:t>
      </w:r>
      <w:r w:rsidR="00634407" w:rsidRPr="00B740B4">
        <w:rPr>
          <w:rFonts w:eastAsia="Times New Roman" w:cs="Times New Roman"/>
          <w:noProof/>
        </w:rPr>
        <w:t xml:space="preserve">the </w:t>
      </w:r>
      <w:r w:rsidR="00F00D18">
        <w:rPr>
          <w:rFonts w:eastAsia="Times New Roman" w:cs="Times New Roman"/>
          <w:noProof/>
        </w:rPr>
        <w:t>Qumran “</w:t>
      </w:r>
      <w:r w:rsidR="00634407" w:rsidRPr="00B740B4">
        <w:rPr>
          <w:rFonts w:eastAsia="Times New Roman" w:cs="Times New Roman"/>
          <w:noProof/>
        </w:rPr>
        <w:t>Prayer of Nabonidus,</w:t>
      </w:r>
      <w:r w:rsidR="00F00D18">
        <w:rPr>
          <w:rFonts w:eastAsia="Times New Roman" w:cs="Times New Roman"/>
          <w:noProof/>
        </w:rPr>
        <w:t>”</w:t>
      </w:r>
      <w:r w:rsidR="00634407" w:rsidRPr="00B740B4">
        <w:rPr>
          <w:rFonts w:eastAsia="Times New Roman" w:cs="Times New Roman"/>
          <w:noProof/>
        </w:rPr>
        <w:t xml:space="preserve"> </w:t>
      </w:r>
      <w:r w:rsidR="004013E6" w:rsidRPr="00B740B4">
        <w:rPr>
          <w:rFonts w:eastAsia="Times New Roman" w:cs="Times New Roman"/>
          <w:noProof/>
        </w:rPr>
        <w:t>4QPrNab</w:t>
      </w:r>
      <w:r w:rsidR="00F62DFF" w:rsidRPr="00B740B4">
        <w:rPr>
          <w:rFonts w:eastAsia="Times New Roman" w:cs="Times New Roman"/>
          <w:noProof/>
        </w:rPr>
        <w:t xml:space="preserve"> (4Q242)</w:t>
      </w:r>
      <w:r w:rsidR="004013E6" w:rsidRPr="00B740B4">
        <w:rPr>
          <w:rFonts w:eastAsia="Times New Roman" w:cs="Times New Roman"/>
          <w:noProof/>
        </w:rPr>
        <w:t xml:space="preserve">. </w:t>
      </w:r>
    </w:p>
    <w:p w:rsidR="00C93CC0" w:rsidRPr="00B740B4" w:rsidRDefault="00C93CC0" w:rsidP="002F7F23">
      <w:pPr>
        <w:rPr>
          <w:rFonts w:eastAsia="Times New Roman" w:cs="Times New Roman"/>
        </w:rPr>
      </w:pPr>
      <w:r w:rsidRPr="00B740B4">
        <w:rPr>
          <w:rFonts w:eastAsia="Times New Roman" w:cs="Times New Roman"/>
        </w:rPr>
        <w:t xml:space="preserve">Throughout, midrashic </w:t>
      </w:r>
      <w:r w:rsidR="00951F55" w:rsidRPr="00B740B4">
        <w:rPr>
          <w:rFonts w:eastAsia="Times New Roman" w:cs="Times New Roman"/>
        </w:rPr>
        <w:t>or intertextual</w:t>
      </w:r>
      <w:r w:rsidR="00B91976" w:rsidRPr="00B740B4">
        <w:rPr>
          <w:rFonts w:eastAsia="Times New Roman" w:cs="Times New Roman"/>
        </w:rPr>
        <w:t xml:space="preserve"> </w:t>
      </w:r>
      <w:r w:rsidRPr="00B740B4">
        <w:rPr>
          <w:rFonts w:eastAsia="Times New Roman" w:cs="Times New Roman"/>
        </w:rPr>
        <w:t xml:space="preserve">features interweave. The basic story of the threatening royal dream </w:t>
      </w:r>
      <w:r w:rsidR="00D67710">
        <w:rPr>
          <w:rFonts w:eastAsia="Times New Roman" w:cs="Times New Roman"/>
        </w:rPr>
        <w:t xml:space="preserve">which can be </w:t>
      </w:r>
      <w:r w:rsidRPr="00B740B4">
        <w:rPr>
          <w:rFonts w:eastAsia="Times New Roman" w:cs="Times New Roman"/>
        </w:rPr>
        <w:t>interpr</w:t>
      </w:r>
      <w:r w:rsidR="001F5F04" w:rsidRPr="00B740B4">
        <w:rPr>
          <w:rFonts w:eastAsia="Times New Roman" w:cs="Times New Roman"/>
        </w:rPr>
        <w:t>eted by no one but an exiled Judahite</w:t>
      </w:r>
      <w:r w:rsidRPr="00B740B4">
        <w:rPr>
          <w:rFonts w:eastAsia="Times New Roman" w:cs="Times New Roman"/>
        </w:rPr>
        <w:t xml:space="preserve"> again parallels Gen 41; the king’s description of the interpreter, as one in whom is the spirit of holy deity, is a correspondence of detail</w:t>
      </w:r>
      <w:r w:rsidR="00A07AF8" w:rsidRPr="00B740B4">
        <w:rPr>
          <w:rFonts w:eastAsia="Times New Roman" w:cs="Times New Roman"/>
        </w:rPr>
        <w:t xml:space="preserve"> with that story</w:t>
      </w:r>
      <w:r w:rsidRPr="00B740B4">
        <w:rPr>
          <w:rFonts w:eastAsia="Times New Roman" w:cs="Times New Roman"/>
        </w:rPr>
        <w:t xml:space="preserve">. Job 33 parallels the motif of God’s speaking through a dream to warn a man of the judgment coming upon his pride, then drawing him through illness to prayer, repentance, restoration, and testimony. Nebuchadnezzar’s sovereignty over all peoples, and God’s capacity to give earthly power to </w:t>
      </w:r>
      <w:r w:rsidR="00C822C0">
        <w:rPr>
          <w:rFonts w:eastAsia="Times New Roman" w:cs="Times New Roman"/>
        </w:rPr>
        <w:t xml:space="preserve">anyone he wishes (vv </w:t>
      </w:r>
      <w:r w:rsidR="00951F55" w:rsidRPr="00B740B4">
        <w:rPr>
          <w:rFonts w:eastAsia="Times New Roman" w:cs="Times New Roman"/>
        </w:rPr>
        <w:t>17, 25, 32</w:t>
      </w:r>
      <w:r w:rsidR="00F921C2" w:rsidRPr="00B740B4">
        <w:rPr>
          <w:rFonts w:eastAsia="Times New Roman" w:cs="Times New Roman"/>
        </w:rPr>
        <w:t xml:space="preserve">), </w:t>
      </w:r>
      <w:r w:rsidRPr="00B740B4">
        <w:rPr>
          <w:rFonts w:eastAsia="Times New Roman" w:cs="Times New Roman"/>
        </w:rPr>
        <w:t>recall Jer 27:5–7. The theme of</w:t>
      </w:r>
      <w:r w:rsidR="00F921C2" w:rsidRPr="00B740B4">
        <w:rPr>
          <w:rFonts w:eastAsia="Times New Roman" w:cs="Times New Roman"/>
        </w:rPr>
        <w:t xml:space="preserve"> God’s lordship over kings </w:t>
      </w:r>
      <w:r w:rsidRPr="00B740B4">
        <w:rPr>
          <w:rFonts w:eastAsia="Times New Roman" w:cs="Times New Roman"/>
        </w:rPr>
        <w:t xml:space="preserve">parallels Job 12:12–24; 36:5–14; Isa 40:17, which reflect psalmic traditions, as do Nebuchadnezzar’s confessions of this lordship </w:t>
      </w:r>
      <w:r w:rsidR="00F921C2" w:rsidRPr="00B740B4">
        <w:rPr>
          <w:rFonts w:eastAsia="Times New Roman" w:cs="Times New Roman"/>
        </w:rPr>
        <w:t>(cf. Ps 145, especially v 13).</w:t>
      </w:r>
      <w:r w:rsidR="00F00D18">
        <w:rPr>
          <w:rFonts w:eastAsia="Times New Roman" w:cs="Times New Roman"/>
        </w:rPr>
        <w:t xml:space="preserve"> Nebuchadnezzar almos</w:t>
      </w:r>
      <w:r w:rsidRPr="00B740B4">
        <w:rPr>
          <w:rFonts w:eastAsia="Times New Roman" w:cs="Times New Roman"/>
        </w:rPr>
        <w:t>t “crowned all the songs and praises of David” (</w:t>
      </w:r>
      <w:r w:rsidRPr="00B740B4">
        <w:rPr>
          <w:rFonts w:eastAsia="Times New Roman" w:cs="Times New Roman"/>
          <w:i/>
        </w:rPr>
        <w:t>b. Sanhedrin</w:t>
      </w:r>
      <w:r w:rsidR="00F00D18">
        <w:rPr>
          <w:rFonts w:eastAsia="Times New Roman" w:cs="Times New Roman"/>
        </w:rPr>
        <w:t xml:space="preserve"> 92b).</w:t>
      </w:r>
    </w:p>
    <w:p w:rsidR="00C93CC0" w:rsidRPr="00B740B4" w:rsidRDefault="00C93CC0" w:rsidP="002F7F23">
      <w:pPr>
        <w:rPr>
          <w:rFonts w:eastAsia="Times New Roman" w:cs="Times New Roman"/>
        </w:rPr>
      </w:pPr>
      <w:r w:rsidRPr="00B740B4">
        <w:rPr>
          <w:rFonts w:eastAsia="Times New Roman" w:cs="Times New Roman"/>
        </w:rPr>
        <w:t>The central motif, the tree,</w:t>
      </w:r>
      <w:r w:rsidR="00100095" w:rsidRPr="00B740B4">
        <w:rPr>
          <w:rStyle w:val="FootnoteReference"/>
          <w:rFonts w:eastAsia="Times New Roman" w:cs="Times New Roman"/>
        </w:rPr>
        <w:footnoteReference w:id="703"/>
      </w:r>
      <w:r w:rsidRPr="00B740B4">
        <w:rPr>
          <w:rFonts w:eastAsia="Times New Roman" w:cs="Times New Roman"/>
        </w:rPr>
        <w:t xml:space="preserve"> appears widely in myth (see </w:t>
      </w:r>
      <w:r w:rsidRPr="00B740B4">
        <w:rPr>
          <w:rFonts w:eastAsia="Times New Roman" w:cs="Times New Roman"/>
          <w:i/>
        </w:rPr>
        <w:t>Comment</w:t>
      </w:r>
      <w:r w:rsidRPr="00B740B4">
        <w:rPr>
          <w:rFonts w:eastAsia="Times New Roman" w:cs="Times New Roman"/>
        </w:rPr>
        <w:t>), but the description of the tree and its felling, and the motif of the h</w:t>
      </w:r>
      <w:r w:rsidR="00C822C0">
        <w:rPr>
          <w:rFonts w:eastAsia="Times New Roman" w:cs="Times New Roman"/>
        </w:rPr>
        <w:t>umbling of a proud monarch, follows</w:t>
      </w:r>
      <w:r w:rsidRPr="00B740B4">
        <w:rPr>
          <w:rFonts w:eastAsia="Times New Roman" w:cs="Times New Roman"/>
        </w:rPr>
        <w:t xml:space="preserve"> pass</w:t>
      </w:r>
      <w:r w:rsidR="00951F55" w:rsidRPr="00B740B4">
        <w:rPr>
          <w:rFonts w:eastAsia="Times New Roman" w:cs="Times New Roman"/>
        </w:rPr>
        <w:t>ages such as Ezek 17 (the Judahite</w:t>
      </w:r>
      <w:r w:rsidRPr="00B740B4">
        <w:rPr>
          <w:rFonts w:eastAsia="Times New Roman" w:cs="Times New Roman"/>
        </w:rPr>
        <w:t xml:space="preserve"> king as a tree planted, uprooted, replanted, fruitful, and protective [cf. </w:t>
      </w:r>
      <w:r w:rsidR="00265B6F" w:rsidRPr="00B740B4">
        <w:rPr>
          <w:rFonts w:eastAsia="Times New Roman" w:cs="Times New Roman"/>
        </w:rPr>
        <w:t>Lam 4:20]; see especially vv 23-</w:t>
      </w:r>
      <w:r w:rsidRPr="00B740B4">
        <w:rPr>
          <w:rFonts w:eastAsia="Times New Roman" w:cs="Times New Roman"/>
        </w:rPr>
        <w:t>24); 19:10–14 (Jerusalem as a vine, flourishing, strong, and impressive, but uprooted); 28 (the prince of Tyre pretending to deity and to a wisdom greater than Daniel’s</w:t>
      </w:r>
      <w:r w:rsidR="00951F55" w:rsidRPr="00B740B4">
        <w:rPr>
          <w:rFonts w:eastAsia="Times New Roman" w:cs="Times New Roman"/>
        </w:rPr>
        <w:t xml:space="preserve"> [!]</w:t>
      </w:r>
      <w:r w:rsidRPr="00B740B4">
        <w:rPr>
          <w:rFonts w:eastAsia="Times New Roman" w:cs="Times New Roman"/>
        </w:rPr>
        <w:t xml:space="preserve">, but humiliated; the king of Tyre in his splendor in Eden, God’s garden, but humiliated for his violence, injustice, and pride); </w:t>
      </w:r>
      <w:r w:rsidRPr="00B740B4">
        <w:rPr>
          <w:rFonts w:eastAsia="Times New Roman" w:cs="Times New Roman"/>
        </w:rPr>
        <w:lastRenderedPageBreak/>
        <w:t xml:space="preserve">31 (the Egyptian king as a tree, lofty, flourishing, impressive, protective, but felled for his wickedness; see especially vv 5–6, 12–13); Isa 14:4–23 (the king of Babylon fallen for his pretense to </w:t>
      </w:r>
      <w:r w:rsidR="00951F55" w:rsidRPr="00B740B4">
        <w:rPr>
          <w:rFonts w:eastAsia="Times New Roman" w:cs="Times New Roman"/>
        </w:rPr>
        <w:t>deity and his af</w:t>
      </w:r>
      <w:r w:rsidR="00F921C2" w:rsidRPr="00B740B4">
        <w:rPr>
          <w:rFonts w:eastAsia="Times New Roman" w:cs="Times New Roman"/>
        </w:rPr>
        <w:t>fliction of people</w:t>
      </w:r>
      <w:r w:rsidRPr="00B740B4">
        <w:rPr>
          <w:rFonts w:eastAsia="Times New Roman" w:cs="Times New Roman"/>
        </w:rPr>
        <w:t>);</w:t>
      </w:r>
      <w:r w:rsidR="00951F55" w:rsidRPr="00B740B4">
        <w:rPr>
          <w:rStyle w:val="FootnoteReference"/>
          <w:rFonts w:eastAsia="Times New Roman" w:cs="Times New Roman"/>
        </w:rPr>
        <w:footnoteReference w:id="704"/>
      </w:r>
      <w:r w:rsidRPr="00B740B4">
        <w:rPr>
          <w:rFonts w:eastAsia="Times New Roman" w:cs="Times New Roman"/>
        </w:rPr>
        <w:t xml:space="preserve"> Ps 92 (praise of the </w:t>
      </w:r>
      <w:r w:rsidR="00155FA8" w:rsidRPr="00B740B4">
        <w:rPr>
          <w:rFonts w:eastAsia="Times New Roman" w:cs="Times New Roman"/>
        </w:rPr>
        <w:t>One On High</w:t>
      </w:r>
      <w:r w:rsidRPr="00B740B4">
        <w:rPr>
          <w:rFonts w:eastAsia="Times New Roman" w:cs="Times New Roman"/>
        </w:rPr>
        <w:t xml:space="preserve"> for his g</w:t>
      </w:r>
      <w:r w:rsidR="00F921C2" w:rsidRPr="00B740B4">
        <w:rPr>
          <w:rFonts w:eastAsia="Times New Roman" w:cs="Times New Roman"/>
        </w:rPr>
        <w:t>reat works, which the brutish perso</w:t>
      </w:r>
      <w:r w:rsidRPr="00B740B4">
        <w:rPr>
          <w:rFonts w:eastAsia="Times New Roman" w:cs="Times New Roman"/>
        </w:rPr>
        <w:t xml:space="preserve">n cannot recognize; the wicked only flourish in the short term, the just flourish like strong </w:t>
      </w:r>
      <w:r w:rsidR="00F00D18">
        <w:rPr>
          <w:rFonts w:eastAsia="Times New Roman" w:cs="Times New Roman"/>
        </w:rPr>
        <w:t>trees</w:t>
      </w:r>
      <w:r w:rsidRPr="00B740B4">
        <w:rPr>
          <w:rFonts w:eastAsia="Times New Roman" w:cs="Times New Roman"/>
        </w:rPr>
        <w:t>); cf. also Isa 10:5–11:10; Deut 17:14–20.</w:t>
      </w:r>
      <w:r w:rsidR="00796882">
        <w:rPr>
          <w:rStyle w:val="FootnoteReference"/>
          <w:rFonts w:eastAsia="Times New Roman" w:cs="Times New Roman"/>
        </w:rPr>
        <w:footnoteReference w:id="705"/>
      </w:r>
      <w:r w:rsidRPr="00B740B4">
        <w:rPr>
          <w:rFonts w:eastAsia="Times New Roman" w:cs="Times New Roman"/>
        </w:rPr>
        <w:t xml:space="preserve"> Tree fables (Judg 9:8–</w:t>
      </w:r>
      <w:r w:rsidR="00951F55" w:rsidRPr="00B740B4">
        <w:rPr>
          <w:rFonts w:eastAsia="Times New Roman" w:cs="Times New Roman"/>
        </w:rPr>
        <w:t xml:space="preserve">15; 2 Kgs 14:9; cf. 1 Kgs </w:t>
      </w:r>
      <w:r w:rsidRPr="00B740B4">
        <w:rPr>
          <w:rFonts w:eastAsia="Times New Roman" w:cs="Times New Roman"/>
        </w:rPr>
        <w:t>4:33</w:t>
      </w:r>
      <w:r w:rsidR="00951F55" w:rsidRPr="00B740B4">
        <w:rPr>
          <w:rFonts w:eastAsia="Times New Roman" w:cs="Times New Roman"/>
        </w:rPr>
        <w:t xml:space="preserve"> [5:13</w:t>
      </w:r>
      <w:r w:rsidR="005C54C4" w:rsidRPr="00B740B4">
        <w:rPr>
          <w:rFonts w:eastAsia="Times New Roman" w:cs="Times New Roman"/>
        </w:rPr>
        <w:t>]) are a wisdom feature, and</w:t>
      </w:r>
      <w:r w:rsidR="00B30D5B" w:rsidRPr="00B740B4">
        <w:rPr>
          <w:rFonts w:eastAsia="Times New Roman" w:cs="Times New Roman"/>
        </w:rPr>
        <w:t xml:space="preserve"> </w:t>
      </w:r>
      <w:r w:rsidRPr="00B740B4">
        <w:rPr>
          <w:rFonts w:eastAsia="Times New Roman" w:cs="Times New Roman"/>
        </w:rPr>
        <w:t>the humbli</w:t>
      </w:r>
      <w:r w:rsidR="005C54C4" w:rsidRPr="00B740B4">
        <w:rPr>
          <w:rFonts w:eastAsia="Times New Roman" w:cs="Times New Roman"/>
        </w:rPr>
        <w:t xml:space="preserve">ng of the proud monarch </w:t>
      </w:r>
      <w:r w:rsidRPr="00B740B4">
        <w:rPr>
          <w:rFonts w:eastAsia="Times New Roman" w:cs="Times New Roman"/>
        </w:rPr>
        <w:t>recalls a</w:t>
      </w:r>
      <w:r w:rsidR="00B30D5B" w:rsidRPr="00B740B4">
        <w:rPr>
          <w:rFonts w:eastAsia="Times New Roman" w:cs="Times New Roman"/>
        </w:rPr>
        <w:t>phorisms in Proverbs</w:t>
      </w:r>
      <w:r w:rsidRPr="00B740B4">
        <w:rPr>
          <w:rFonts w:eastAsia="Times New Roman" w:cs="Times New Roman"/>
        </w:rPr>
        <w:t xml:space="preserve"> (Prov 16:5–7, 12)</w:t>
      </w:r>
      <w:r w:rsidR="00F00D18">
        <w:rPr>
          <w:rFonts w:eastAsia="Times New Roman" w:cs="Times New Roman"/>
        </w:rPr>
        <w:t>.</w:t>
      </w:r>
      <w:r w:rsidR="00951F55" w:rsidRPr="00B740B4">
        <w:rPr>
          <w:rStyle w:val="FootnoteReference"/>
          <w:rFonts w:eastAsia="Times New Roman" w:cs="Times New Roman"/>
        </w:rPr>
        <w:footnoteReference w:id="706"/>
      </w:r>
      <w:r w:rsidR="00F00D18">
        <w:rPr>
          <w:rFonts w:eastAsia="Times New Roman" w:cs="Times New Roman"/>
        </w:rPr>
        <w:t xml:space="preserve"> T</w:t>
      </w:r>
      <w:r w:rsidR="00100095" w:rsidRPr="00B740B4">
        <w:rPr>
          <w:rFonts w:eastAsia="Times New Roman" w:cs="Times New Roman"/>
        </w:rPr>
        <w:t xml:space="preserve">he tree </w:t>
      </w:r>
      <w:r w:rsidR="005C54C4" w:rsidRPr="00B740B4">
        <w:rPr>
          <w:rFonts w:eastAsia="Times New Roman" w:cs="Times New Roman"/>
        </w:rPr>
        <w:t xml:space="preserve">is </w:t>
      </w:r>
      <w:r w:rsidR="00100095" w:rsidRPr="00B740B4">
        <w:rPr>
          <w:rFonts w:eastAsia="Times New Roman" w:cs="Times New Roman"/>
        </w:rPr>
        <w:t xml:space="preserve">also one motif suggesting a link with </w:t>
      </w:r>
      <w:r w:rsidRPr="00B740B4">
        <w:rPr>
          <w:rFonts w:eastAsia="Times New Roman" w:cs="Times New Roman"/>
        </w:rPr>
        <w:t>with Gen 1–3; 11.</w:t>
      </w:r>
      <w:r w:rsidR="00100095" w:rsidRPr="00B740B4">
        <w:rPr>
          <w:rStyle w:val="FootnoteReference"/>
          <w:rFonts w:eastAsia="Times New Roman" w:cs="Times New Roman"/>
        </w:rPr>
        <w:footnoteReference w:id="707"/>
      </w:r>
    </w:p>
    <w:p w:rsidR="00B641E4" w:rsidRDefault="00C93CC0" w:rsidP="002F7F23">
      <w:pPr>
        <w:rPr>
          <w:rFonts w:eastAsia="Times New Roman" w:cs="Times New Roman"/>
        </w:rPr>
      </w:pPr>
      <w:r w:rsidRPr="00B740B4">
        <w:rPr>
          <w:rFonts w:eastAsia="Times New Roman" w:cs="Times New Roman"/>
        </w:rPr>
        <w:t xml:space="preserve">The account of the king’s chastisement/madness/illness/exile and restoration has several parallels outside the OT. </w:t>
      </w:r>
    </w:p>
    <w:p w:rsidR="00751263" w:rsidRPr="00B740B4" w:rsidRDefault="00C93CC0" w:rsidP="002F7F23">
      <w:pPr>
        <w:rPr>
          <w:rFonts w:eastAsia="Times New Roman" w:cs="Times New Roman"/>
        </w:rPr>
      </w:pPr>
      <w:r w:rsidRPr="00B740B4">
        <w:rPr>
          <w:rFonts w:eastAsia="Times New Roman" w:cs="Times New Roman"/>
        </w:rPr>
        <w:t xml:space="preserve">(a) The Greek writer Megasthenes (c. 300 </w:t>
      </w:r>
      <w:r w:rsidR="00F00D18">
        <w:rPr>
          <w:rFonts w:eastAsia="Times New Roman" w:cs="Times New Roman"/>
          <w:smallCaps/>
        </w:rPr>
        <w:t>bc</w:t>
      </w:r>
      <w:r w:rsidRPr="00B740B4">
        <w:rPr>
          <w:rFonts w:eastAsia="Times New Roman" w:cs="Times New Roman"/>
        </w:rPr>
        <w:t xml:space="preserve">) writes of Nebuchadnezzar announcing from his palace roof under some god’s inspiration the coming fall of Babylon to “a Persian mule,” who Nebuchadnezzar wishes might rather take himself off to some animal-like existence (see Eusebius, </w:t>
      </w:r>
      <w:r w:rsidR="005C54C4" w:rsidRPr="00B740B4">
        <w:rPr>
          <w:rFonts w:eastAsia="Times New Roman" w:cs="Times New Roman"/>
          <w:i/>
        </w:rPr>
        <w:t xml:space="preserve">Prepration for the Gospel </w:t>
      </w:r>
      <w:r w:rsidRPr="00B740B4">
        <w:rPr>
          <w:rFonts w:eastAsia="Times New Roman" w:cs="Times New Roman"/>
        </w:rPr>
        <w:t>9.41.6).</w:t>
      </w:r>
      <w:r w:rsidR="003D3C21" w:rsidRPr="00B740B4">
        <w:rPr>
          <w:rStyle w:val="FootnoteReference"/>
          <w:rFonts w:eastAsia="Times New Roman" w:cs="Times New Roman"/>
        </w:rPr>
        <w:footnoteReference w:id="708"/>
      </w:r>
      <w:r w:rsidRPr="00B740B4">
        <w:rPr>
          <w:rFonts w:eastAsia="Times New Roman" w:cs="Times New Roman"/>
        </w:rPr>
        <w:t xml:space="preserve"> (b) A fragm</w:t>
      </w:r>
      <w:r w:rsidR="00F00D18">
        <w:rPr>
          <w:rFonts w:eastAsia="Times New Roman" w:cs="Times New Roman"/>
        </w:rPr>
        <w:t>entary cuneiform text seems to refer to a</w:t>
      </w:r>
      <w:r w:rsidRPr="00B740B4">
        <w:rPr>
          <w:rFonts w:eastAsia="Times New Roman" w:cs="Times New Roman"/>
        </w:rPr>
        <w:t xml:space="preserve"> mental disorder on Nebuchadnezzar’s part, and perhaps to his neglecting and leaving Babylon.</w:t>
      </w:r>
      <w:r w:rsidR="005C54C4" w:rsidRPr="00B740B4">
        <w:rPr>
          <w:rStyle w:val="FootnoteReference"/>
          <w:rFonts w:eastAsia="Times New Roman" w:cs="Times New Roman"/>
        </w:rPr>
        <w:footnoteReference w:id="709"/>
      </w:r>
      <w:r w:rsidRPr="00B740B4">
        <w:rPr>
          <w:rFonts w:eastAsia="Times New Roman" w:cs="Times New Roman"/>
        </w:rPr>
        <w:t xml:space="preserve"> (c) Josephus refers to an illness of which Nebuchadnezzar died (</w:t>
      </w:r>
      <w:r w:rsidR="005C54C4" w:rsidRPr="00B740B4">
        <w:rPr>
          <w:rFonts w:eastAsia="Times New Roman" w:cs="Times New Roman"/>
          <w:i/>
        </w:rPr>
        <w:t>Against Apion</w:t>
      </w:r>
      <w:r w:rsidRPr="00B740B4">
        <w:rPr>
          <w:rFonts w:eastAsia="Times New Roman" w:cs="Times New Roman"/>
        </w:rPr>
        <w:t xml:space="preserve"> 1.20 [1.146]). (d) </w:t>
      </w:r>
      <w:r w:rsidR="00B30D5B" w:rsidRPr="00B740B4">
        <w:rPr>
          <w:rFonts w:eastAsia="Times New Roman" w:cs="Times New Roman"/>
        </w:rPr>
        <w:t xml:space="preserve">The Babylonian poem of a righteous suffere, </w:t>
      </w:r>
      <w:r w:rsidR="00B30D5B" w:rsidRPr="00B740B4">
        <w:rPr>
          <w:rFonts w:eastAsia="Times New Roman" w:cs="Times New Roman"/>
          <w:i/>
        </w:rPr>
        <w:t>Ludlul Bēl Nēmeqi</w:t>
      </w:r>
      <w:r w:rsidR="00B30D5B" w:rsidRPr="00B740B4">
        <w:rPr>
          <w:rFonts w:eastAsia="Times New Roman" w:cs="Times New Roman"/>
        </w:rPr>
        <w:t xml:space="preserve"> (</w:t>
      </w:r>
      <w:r w:rsidRPr="00B740B4">
        <w:rPr>
          <w:rFonts w:eastAsia="Times New Roman" w:cs="Times New Roman"/>
        </w:rPr>
        <w:t xml:space="preserve">“I Will Praise the Lord of Wisdom,” </w:t>
      </w:r>
      <w:r w:rsidRPr="00B740B4">
        <w:rPr>
          <w:rFonts w:eastAsia="Times New Roman" w:cs="Times New Roman"/>
          <w:i/>
        </w:rPr>
        <w:t>ANET</w:t>
      </w:r>
      <w:r w:rsidR="00624BEB">
        <w:rPr>
          <w:rFonts w:eastAsia="Times New Roman" w:cs="Times New Roman"/>
        </w:rPr>
        <w:t>,</w:t>
      </w:r>
      <w:r w:rsidRPr="00B740B4">
        <w:rPr>
          <w:rFonts w:eastAsia="Times New Roman" w:cs="Times New Roman"/>
        </w:rPr>
        <w:t xml:space="preserve"> 596–600) testifies to chastisement by God, illness, humiliation, seeking interpretation of a terrifying dream, being thrown over like a tree, being put outside, eating grass, losing understanding, being like an ox, being rained on by Marduk, nails being marred, hair growing, and being fettered, and then to a restoratio</w:t>
      </w:r>
      <w:r w:rsidR="005C54C4" w:rsidRPr="00B740B4">
        <w:rPr>
          <w:rFonts w:eastAsia="Times New Roman" w:cs="Times New Roman"/>
        </w:rPr>
        <w:t>n for which he praises the god</w:t>
      </w:r>
      <w:r w:rsidRPr="00B740B4">
        <w:rPr>
          <w:rFonts w:eastAsia="Times New Roman" w:cs="Times New Roman"/>
        </w:rPr>
        <w:t>.</w:t>
      </w:r>
      <w:r w:rsidR="005C54C4" w:rsidRPr="00B740B4">
        <w:rPr>
          <w:rStyle w:val="FootnoteReference"/>
          <w:rFonts w:eastAsia="Times New Roman" w:cs="Times New Roman"/>
        </w:rPr>
        <w:footnoteReference w:id="710"/>
      </w:r>
      <w:r w:rsidRPr="00B740B4">
        <w:rPr>
          <w:rFonts w:eastAsia="Times New Roman" w:cs="Times New Roman"/>
        </w:rPr>
        <w:t xml:space="preserve"> </w:t>
      </w:r>
    </w:p>
    <w:p w:rsidR="00751263" w:rsidRPr="00B740B4" w:rsidRDefault="00C93CC0" w:rsidP="002F7F23">
      <w:pPr>
        <w:rPr>
          <w:rFonts w:eastAsia="Times New Roman" w:cs="Times New Roman"/>
        </w:rPr>
      </w:pPr>
      <w:r w:rsidRPr="00B740B4">
        <w:rPr>
          <w:rFonts w:eastAsia="Times New Roman" w:cs="Times New Roman"/>
        </w:rPr>
        <w:t xml:space="preserve">(e) In a number of inscriptions, especially from Harran, </w:t>
      </w:r>
      <w:r w:rsidR="00751263" w:rsidRPr="00B740B4">
        <w:rPr>
          <w:rFonts w:eastAsia="Times New Roman" w:cs="Times New Roman"/>
        </w:rPr>
        <w:t xml:space="preserve">the last king of the neo-Babylonian empire, </w:t>
      </w:r>
      <w:r w:rsidRPr="00B740B4">
        <w:rPr>
          <w:rFonts w:eastAsia="Times New Roman" w:cs="Times New Roman"/>
        </w:rPr>
        <w:t>Nabonidus</w:t>
      </w:r>
      <w:r w:rsidR="00751263" w:rsidRPr="00B740B4">
        <w:rPr>
          <w:rFonts w:eastAsia="Times New Roman" w:cs="Times New Roman"/>
        </w:rPr>
        <w:t>,</w:t>
      </w:r>
      <w:r w:rsidRPr="00B740B4">
        <w:rPr>
          <w:rFonts w:eastAsia="Times New Roman" w:cs="Times New Roman"/>
        </w:rPr>
        <w:t xml:space="preserve"> testifies to praying before Marduk for a long and successful reign and receivin</w:t>
      </w:r>
      <w:r w:rsidR="00F00D18">
        <w:rPr>
          <w:rFonts w:eastAsia="Times New Roman" w:cs="Times New Roman"/>
        </w:rPr>
        <w:t>g the deity’s promise that it</w:t>
      </w:r>
      <w:r w:rsidRPr="00B740B4">
        <w:rPr>
          <w:rFonts w:eastAsia="Times New Roman" w:cs="Times New Roman"/>
        </w:rPr>
        <w:t xml:space="preserve"> would be granted, and to being led by a dream to spend ten years away from Babylon in Tema in Arabia, </w:t>
      </w:r>
      <w:r w:rsidR="00751263" w:rsidRPr="00B740B4">
        <w:rPr>
          <w:rFonts w:eastAsia="Times New Roman" w:cs="Times New Roman"/>
        </w:rPr>
        <w:t>but then to return to Babyl</w:t>
      </w:r>
      <w:r w:rsidR="00F00D18">
        <w:rPr>
          <w:rFonts w:eastAsia="Times New Roman" w:cs="Times New Roman"/>
        </w:rPr>
        <w:t xml:space="preserve">on. We have </w:t>
      </w:r>
      <w:r w:rsidR="00751263" w:rsidRPr="00B740B4">
        <w:rPr>
          <w:rFonts w:eastAsia="Times New Roman" w:cs="Times New Roman"/>
        </w:rPr>
        <w:t>noted o</w:t>
      </w:r>
      <w:r w:rsidRPr="00B740B4">
        <w:rPr>
          <w:rFonts w:eastAsia="Times New Roman" w:cs="Times New Roman"/>
        </w:rPr>
        <w:t>ther inscriptions</w:t>
      </w:r>
      <w:r w:rsidR="00F00D18">
        <w:rPr>
          <w:rFonts w:eastAsia="Times New Roman" w:cs="Times New Roman"/>
        </w:rPr>
        <w:t xml:space="preserve"> </w:t>
      </w:r>
      <w:r w:rsidR="005C54C4" w:rsidRPr="00B740B4">
        <w:rPr>
          <w:rFonts w:eastAsia="Times New Roman" w:cs="Times New Roman"/>
        </w:rPr>
        <w:t>refer</w:t>
      </w:r>
      <w:r w:rsidR="00F00D18">
        <w:rPr>
          <w:rFonts w:eastAsia="Times New Roman" w:cs="Times New Roman"/>
        </w:rPr>
        <w:t>ring</w:t>
      </w:r>
      <w:r w:rsidR="005C54C4" w:rsidRPr="00B740B4">
        <w:rPr>
          <w:rFonts w:eastAsia="Times New Roman" w:cs="Times New Roman"/>
        </w:rPr>
        <w:t xml:space="preserve"> in the </w:t>
      </w:r>
      <w:r w:rsidR="00751263" w:rsidRPr="00B740B4">
        <w:rPr>
          <w:rFonts w:eastAsia="Times New Roman" w:cs="Times New Roman"/>
        </w:rPr>
        <w:t xml:space="preserve">first and also in the </w:t>
      </w:r>
      <w:r w:rsidR="005C54C4" w:rsidRPr="00B740B4">
        <w:rPr>
          <w:rFonts w:eastAsia="Times New Roman" w:cs="Times New Roman"/>
        </w:rPr>
        <w:t>third person to Nabonidus’s</w:t>
      </w:r>
      <w:r w:rsidRPr="00B740B4">
        <w:rPr>
          <w:rFonts w:eastAsia="Times New Roman" w:cs="Times New Roman"/>
        </w:rPr>
        <w:t xml:space="preserve"> years away from Babylon and (with hostility) to his being punished for his “mad” neglect of Babylon’s deities (</w:t>
      </w:r>
      <w:r w:rsidRPr="00B740B4">
        <w:rPr>
          <w:rFonts w:eastAsia="Times New Roman" w:cs="Times New Roman"/>
          <w:i/>
        </w:rPr>
        <w:t>ANET</w:t>
      </w:r>
      <w:r w:rsidR="00624BEB">
        <w:rPr>
          <w:rFonts w:eastAsia="Times New Roman" w:cs="Times New Roman"/>
        </w:rPr>
        <w:t>,</w:t>
      </w:r>
      <w:r w:rsidR="005C54C4" w:rsidRPr="00B740B4">
        <w:rPr>
          <w:rFonts w:eastAsia="Times New Roman" w:cs="Times New Roman"/>
        </w:rPr>
        <w:t xml:space="preserve"> 305–16, 560–63)</w:t>
      </w:r>
      <w:r w:rsidRPr="00B740B4">
        <w:rPr>
          <w:rFonts w:eastAsia="Times New Roman" w:cs="Times New Roman"/>
        </w:rPr>
        <w:t>.</w:t>
      </w:r>
      <w:r w:rsidR="005C54C4" w:rsidRPr="00B740B4">
        <w:rPr>
          <w:rStyle w:val="FootnoteReference"/>
          <w:rFonts w:eastAsia="Times New Roman" w:cs="Times New Roman"/>
        </w:rPr>
        <w:footnoteReference w:id="711"/>
      </w:r>
      <w:r w:rsidRPr="00B740B4">
        <w:rPr>
          <w:rFonts w:eastAsia="Times New Roman" w:cs="Times New Roman"/>
        </w:rPr>
        <w:t xml:space="preserve"> Nabonidus is the only known Babylonian dreamer</w:t>
      </w:r>
      <w:r w:rsidR="005C54C4" w:rsidRPr="00B740B4">
        <w:rPr>
          <w:rFonts w:eastAsia="Times New Roman" w:cs="Times New Roman"/>
        </w:rPr>
        <w:t>.</w:t>
      </w:r>
      <w:r w:rsidR="005C54C4" w:rsidRPr="00B740B4">
        <w:rPr>
          <w:rStyle w:val="FootnoteReference"/>
          <w:rFonts w:eastAsia="Times New Roman" w:cs="Times New Roman"/>
        </w:rPr>
        <w:footnoteReference w:id="712"/>
      </w:r>
      <w:r w:rsidRPr="00B740B4">
        <w:rPr>
          <w:rFonts w:eastAsia="Times New Roman" w:cs="Times New Roman"/>
        </w:rPr>
        <w:t xml:space="preserve"> (f) The Qumran “Prayer of Nabonidus” </w:t>
      </w:r>
      <w:r w:rsidR="005119F6">
        <w:rPr>
          <w:rFonts w:eastAsia="Times New Roman" w:cs="Times New Roman"/>
        </w:rPr>
        <w:t>record</w:t>
      </w:r>
      <w:r w:rsidRPr="00B740B4">
        <w:rPr>
          <w:rFonts w:eastAsia="Times New Roman" w:cs="Times New Roman"/>
        </w:rPr>
        <w:t xml:space="preserve">s Nabonidus’s testimony to his being afflicted by God for seven years in Tema by a physical illness. He prayed to his </w:t>
      </w:r>
      <w:r w:rsidRPr="00B740B4">
        <w:rPr>
          <w:rFonts w:eastAsia="Times New Roman" w:cs="Times New Roman"/>
        </w:rPr>
        <w:lastRenderedPageBreak/>
        <w:t>gods for healing, but received it only after a Jewish exorcist (</w:t>
      </w:r>
      <w:r w:rsidRPr="00B740B4">
        <w:rPr>
          <w:rFonts w:ascii="Arial" w:eastAsia="Times New Roman" w:hAnsi="Arial" w:cs="Arial"/>
        </w:rPr>
        <w:t>גזר</w:t>
      </w:r>
      <w:r w:rsidRPr="00B740B4">
        <w:rPr>
          <w:rFonts w:eastAsia="Times New Roman" w:cs="Times New Roman"/>
        </w:rPr>
        <w:t>) exh</w:t>
      </w:r>
      <w:r w:rsidR="005C54C4" w:rsidRPr="00B740B4">
        <w:rPr>
          <w:rFonts w:eastAsia="Times New Roman" w:cs="Times New Roman"/>
        </w:rPr>
        <w:t>orted him to honor the true God.</w:t>
      </w:r>
      <w:r w:rsidR="005C54C4" w:rsidRPr="00B740B4">
        <w:rPr>
          <w:rStyle w:val="FootnoteReference"/>
          <w:rFonts w:eastAsia="Times New Roman" w:cs="Times New Roman"/>
        </w:rPr>
        <w:footnoteReference w:id="713"/>
      </w:r>
      <w:r w:rsidR="00751263" w:rsidRPr="00B740B4">
        <w:rPr>
          <w:rFonts w:eastAsia="Times New Roman" w:cs="Times New Roman"/>
        </w:rPr>
        <w:t xml:space="preserve"> Dan 4 may then contain “</w:t>
      </w:r>
      <w:r w:rsidR="00634407" w:rsidRPr="00B740B4">
        <w:rPr>
          <w:rFonts w:eastAsia="Times New Roman" w:cs="Times New Roman"/>
        </w:rPr>
        <w:t>‘ghost memories’ of Nabonidus.”</w:t>
      </w:r>
      <w:r w:rsidR="00634407" w:rsidRPr="00B740B4">
        <w:rPr>
          <w:rStyle w:val="FootnoteReference"/>
          <w:rFonts w:eastAsia="Times New Roman" w:cs="Times New Roman"/>
        </w:rPr>
        <w:footnoteReference w:id="714"/>
      </w:r>
      <w:r w:rsidR="00751263" w:rsidRPr="00B740B4">
        <w:rPr>
          <w:rFonts w:eastAsia="Times New Roman" w:cs="Times New Roman"/>
        </w:rPr>
        <w:t xml:space="preserve"> </w:t>
      </w:r>
    </w:p>
    <w:p w:rsidR="00C93CC0" w:rsidRPr="00B740B4" w:rsidRDefault="00C93CC0" w:rsidP="002F7F23">
      <w:pPr>
        <w:rPr>
          <w:rFonts w:eastAsia="Times New Roman" w:cs="Times New Roman"/>
        </w:rPr>
      </w:pPr>
      <w:r w:rsidRPr="00B740B4">
        <w:rPr>
          <w:rFonts w:eastAsia="Times New Roman" w:cs="Times New Roman"/>
        </w:rPr>
        <w:t>Scholars have held a wide variety of views on the relationship between these various documents and</w:t>
      </w:r>
      <w:r w:rsidR="000E5168" w:rsidRPr="00B740B4">
        <w:rPr>
          <w:rFonts w:eastAsia="Times New Roman" w:cs="Times New Roman"/>
        </w:rPr>
        <w:t xml:space="preserve"> the traditions they represent</w:t>
      </w:r>
      <w:r w:rsidR="00751263" w:rsidRPr="00B740B4">
        <w:rPr>
          <w:rFonts w:eastAsia="Times New Roman" w:cs="Times New Roman"/>
        </w:rPr>
        <w:t>,</w:t>
      </w:r>
      <w:r w:rsidR="00D14723" w:rsidRPr="00B740B4">
        <w:rPr>
          <w:rFonts w:eastAsia="Times New Roman" w:cs="Times New Roman"/>
        </w:rPr>
        <w:t xml:space="preserve"> and on the development of the chapter</w:t>
      </w:r>
      <w:r w:rsidRPr="00B740B4">
        <w:rPr>
          <w:rFonts w:eastAsia="Times New Roman" w:cs="Times New Roman"/>
        </w:rPr>
        <w:t>.</w:t>
      </w:r>
      <w:r w:rsidR="000E5168" w:rsidRPr="00B740B4">
        <w:rPr>
          <w:rStyle w:val="FootnoteReference"/>
          <w:rFonts w:eastAsia="Times New Roman" w:cs="Times New Roman"/>
        </w:rPr>
        <w:footnoteReference w:id="715"/>
      </w:r>
      <w:r w:rsidRPr="00B740B4">
        <w:rPr>
          <w:rFonts w:eastAsia="Times New Roman" w:cs="Times New Roman"/>
        </w:rPr>
        <w:t xml:space="preserve"> Whether or</w:t>
      </w:r>
      <w:r w:rsidR="005119F6">
        <w:rPr>
          <w:rFonts w:eastAsia="Times New Roman" w:cs="Times New Roman"/>
        </w:rPr>
        <w:t xml:space="preserve"> not we can reach any </w:t>
      </w:r>
      <w:r w:rsidRPr="00B740B4">
        <w:rPr>
          <w:rFonts w:eastAsia="Times New Roman" w:cs="Times New Roman"/>
        </w:rPr>
        <w:t xml:space="preserve">conclusions about the historical questions, study of comparative materials may help us to perceive characteristic and distinctive features of the text that concerns </w:t>
      </w:r>
      <w:r w:rsidR="000E5168" w:rsidRPr="00B740B4">
        <w:rPr>
          <w:rFonts w:eastAsia="Times New Roman" w:cs="Times New Roman"/>
        </w:rPr>
        <w:t>us</w:t>
      </w:r>
      <w:r w:rsidR="00C51A40" w:rsidRPr="00B740B4">
        <w:rPr>
          <w:rFonts w:eastAsia="Times New Roman" w:cs="Times New Roman"/>
        </w:rPr>
        <w:t>.</w:t>
      </w:r>
      <w:r w:rsidR="000E5168" w:rsidRPr="00B740B4">
        <w:rPr>
          <w:rStyle w:val="FootnoteReference"/>
          <w:rFonts w:eastAsia="Times New Roman" w:cs="Times New Roman"/>
        </w:rPr>
        <w:footnoteReference w:id="716"/>
      </w:r>
    </w:p>
    <w:p w:rsidR="00C51A40" w:rsidRPr="00B740B4" w:rsidRDefault="00C51A40" w:rsidP="00C51A40">
      <w:pPr>
        <w:pStyle w:val="Heading3"/>
      </w:pPr>
      <w:r w:rsidRPr="00B740B4">
        <w:t xml:space="preserve">Structure </w:t>
      </w:r>
    </w:p>
    <w:p w:rsidR="00CE0B9A" w:rsidRPr="00B740B4" w:rsidRDefault="00CE0B9A" w:rsidP="00CE0B9A">
      <w:pPr>
        <w:rPr>
          <w:rFonts w:eastAsia="Times New Roman"/>
          <w:noProof/>
        </w:rPr>
      </w:pPr>
    </w:p>
    <w:p w:rsidR="00C93CC0" w:rsidRPr="00B740B4" w:rsidRDefault="00577B00" w:rsidP="00CE0B9A">
      <w:pPr>
        <w:rPr>
          <w:rFonts w:eastAsia="Times New Roman"/>
          <w:noProof/>
        </w:rPr>
      </w:pPr>
      <w:r w:rsidRPr="00B740B4">
        <w:rPr>
          <w:rFonts w:eastAsia="Times New Roman"/>
          <w:noProof/>
        </w:rPr>
        <w:t>T</w:t>
      </w:r>
      <w:r w:rsidR="00C93CC0" w:rsidRPr="00B740B4">
        <w:rPr>
          <w:rFonts w:eastAsia="Times New Roman"/>
          <w:noProof/>
        </w:rPr>
        <w:t>he whole chapter is in dir</w:t>
      </w:r>
      <w:r w:rsidR="00922F24" w:rsidRPr="00B740B4">
        <w:rPr>
          <w:rFonts w:eastAsia="Times New Roman"/>
          <w:noProof/>
        </w:rPr>
        <w:t xml:space="preserve">ect speech except for vv 19, 28–30a, 31a, </w:t>
      </w:r>
      <w:r w:rsidRPr="00B740B4">
        <w:rPr>
          <w:rFonts w:eastAsia="Times New Roman"/>
          <w:noProof/>
        </w:rPr>
        <w:t xml:space="preserve">and </w:t>
      </w:r>
      <w:r w:rsidR="00922F24" w:rsidRPr="00B740B4">
        <w:rPr>
          <w:rFonts w:eastAsia="Times New Roman"/>
          <w:noProof/>
        </w:rPr>
        <w:t>33</w:t>
      </w:r>
      <w:r w:rsidR="00C93CC0" w:rsidRPr="00B740B4">
        <w:rPr>
          <w:rFonts w:eastAsia="Times New Roman"/>
          <w:noProof/>
        </w:rPr>
        <w:t xml:space="preserve">. </w:t>
      </w:r>
      <w:r w:rsidRPr="00B740B4">
        <w:rPr>
          <w:rFonts w:eastAsia="Times New Roman"/>
          <w:noProof/>
        </w:rPr>
        <w:t xml:space="preserve">It opens with Nebuchadnezzar’s introduction and his act of praise, and it closes with his second acts of praise. </w:t>
      </w:r>
      <w:r w:rsidR="00C93CC0" w:rsidRPr="00B740B4">
        <w:rPr>
          <w:rFonts w:eastAsia="Times New Roman"/>
          <w:noProof/>
        </w:rPr>
        <w:t>The openi</w:t>
      </w:r>
      <w:r w:rsidRPr="00B740B4">
        <w:rPr>
          <w:rFonts w:eastAsia="Times New Roman"/>
          <w:noProof/>
        </w:rPr>
        <w:t>ng announces where the chapter must lead;</w:t>
      </w:r>
      <w:r w:rsidR="00C93CC0" w:rsidRPr="00B740B4">
        <w:rPr>
          <w:rFonts w:eastAsia="Times New Roman"/>
          <w:noProof/>
        </w:rPr>
        <w:t xml:space="preserve"> the question then is how it can reach this “unlikely” conclusion. Once the first person testimony begins, it uses suspenseful dev</w:t>
      </w:r>
      <w:r w:rsidR="00922F24" w:rsidRPr="00B740B4">
        <w:rPr>
          <w:rFonts w:eastAsia="Times New Roman"/>
          <w:noProof/>
        </w:rPr>
        <w:t>ices similar to those in chap.</w:t>
      </w:r>
      <w:r w:rsidR="00C93CC0" w:rsidRPr="00B740B4">
        <w:rPr>
          <w:rFonts w:eastAsia="Times New Roman"/>
          <w:noProof/>
        </w:rPr>
        <w:t xml:space="preserve"> 2: the affect of the dream on Nebuchadnezzar is announced before its content, the sages a</w:t>
      </w:r>
      <w:r w:rsidR="00265B6F" w:rsidRPr="00B740B4">
        <w:rPr>
          <w:rFonts w:eastAsia="Times New Roman"/>
          <w:noProof/>
        </w:rPr>
        <w:t xml:space="preserve">re unable to interpret it, </w:t>
      </w:r>
      <w:r w:rsidRPr="00B740B4">
        <w:rPr>
          <w:rFonts w:eastAsia="Times New Roman"/>
          <w:noProof/>
        </w:rPr>
        <w:t xml:space="preserve">and </w:t>
      </w:r>
      <w:r w:rsidR="00265B6F" w:rsidRPr="00B740B4">
        <w:rPr>
          <w:rFonts w:eastAsia="Times New Roman"/>
          <w:noProof/>
        </w:rPr>
        <w:t>the a</w:t>
      </w:r>
      <w:r w:rsidR="00C93CC0" w:rsidRPr="00B740B4">
        <w:rPr>
          <w:rFonts w:eastAsia="Times New Roman"/>
          <w:noProof/>
        </w:rPr>
        <w:t>ffect of its message on Daniel is ann</w:t>
      </w:r>
      <w:r w:rsidRPr="00B740B4">
        <w:rPr>
          <w:rFonts w:eastAsia="Times New Roman"/>
          <w:noProof/>
        </w:rPr>
        <w:t>ounced before its content. T</w:t>
      </w:r>
      <w:r w:rsidR="00C93CC0" w:rsidRPr="00B740B4">
        <w:rPr>
          <w:rFonts w:eastAsia="Times New Roman"/>
          <w:noProof/>
        </w:rPr>
        <w:t xml:space="preserve">he dream itself is recounted once again before </w:t>
      </w:r>
      <w:r w:rsidRPr="00B740B4">
        <w:rPr>
          <w:rFonts w:eastAsia="Times New Roman"/>
          <w:noProof/>
        </w:rPr>
        <w:t xml:space="preserve">its interpretation is given, its positive aspects </w:t>
      </w:r>
      <w:r w:rsidR="00C93CC0" w:rsidRPr="00B740B4">
        <w:rPr>
          <w:rFonts w:eastAsia="Times New Roman"/>
          <w:noProof/>
        </w:rPr>
        <w:t>thus standing in contrast to the solemnity of the message it brings. The tree theme is not developed in a sustained way; it is s</w:t>
      </w:r>
      <w:r w:rsidRPr="00B740B4">
        <w:rPr>
          <w:rFonts w:eastAsia="Times New Roman"/>
          <w:noProof/>
        </w:rPr>
        <w:t>ubordinate to the message, and t</w:t>
      </w:r>
      <w:r w:rsidR="00C93CC0" w:rsidRPr="00B740B4">
        <w:rPr>
          <w:rFonts w:eastAsia="Times New Roman"/>
          <w:noProof/>
        </w:rPr>
        <w:t>he interpretation enters into the presentation of the dre</w:t>
      </w:r>
      <w:r w:rsidR="00922F24" w:rsidRPr="00B740B4">
        <w:rPr>
          <w:rFonts w:eastAsia="Times New Roman"/>
          <w:noProof/>
        </w:rPr>
        <w:t>am itself as early as vv 15–16</w:t>
      </w:r>
      <w:r w:rsidRPr="00B740B4">
        <w:rPr>
          <w:rFonts w:eastAsia="Times New Roman"/>
          <w:noProof/>
        </w:rPr>
        <w:t>. T</w:t>
      </w:r>
      <w:r w:rsidR="00C93CC0" w:rsidRPr="00B740B4">
        <w:rPr>
          <w:rFonts w:eastAsia="Times New Roman"/>
          <w:noProof/>
        </w:rPr>
        <w:t>he first overt climaxe</w:t>
      </w:r>
      <w:r w:rsidRPr="00B740B4">
        <w:rPr>
          <w:rFonts w:eastAsia="Times New Roman"/>
          <w:noProof/>
        </w:rPr>
        <w:t>s come in the brief interpreti</w:t>
      </w:r>
      <w:r w:rsidR="00C93CC0" w:rsidRPr="00B740B4">
        <w:rPr>
          <w:rFonts w:eastAsia="Times New Roman"/>
          <w:noProof/>
        </w:rPr>
        <w:t>ve ann</w:t>
      </w:r>
      <w:r w:rsidR="00922F24" w:rsidRPr="00B740B4">
        <w:rPr>
          <w:rFonts w:eastAsia="Times New Roman"/>
          <w:noProof/>
        </w:rPr>
        <w:t>ouncements in vv 22a and 25–26</w:t>
      </w:r>
      <w:r w:rsidR="00C93CC0" w:rsidRPr="00B740B4">
        <w:rPr>
          <w:rFonts w:eastAsia="Times New Roman"/>
          <w:noProof/>
        </w:rPr>
        <w:t>, then in the unpresaged admonition/invitation o</w:t>
      </w:r>
      <w:r w:rsidR="00922F24" w:rsidRPr="00B740B4">
        <w:rPr>
          <w:rFonts w:eastAsia="Times New Roman"/>
          <w:noProof/>
        </w:rPr>
        <w:t>f v 27</w:t>
      </w:r>
      <w:r w:rsidR="00C93CC0" w:rsidRPr="00B740B4">
        <w:rPr>
          <w:rFonts w:eastAsia="Times New Roman"/>
          <w:noProof/>
        </w:rPr>
        <w:t>.</w:t>
      </w:r>
    </w:p>
    <w:p w:rsidR="002179F6" w:rsidRPr="00B740B4" w:rsidRDefault="002179F6" w:rsidP="002179F6">
      <w:pPr>
        <w:widowControl w:val="0"/>
        <w:rPr>
          <w:rFonts w:eastAsia="Times New Roman" w:cs="Times New Roman"/>
        </w:rPr>
      </w:pPr>
      <w:r w:rsidRPr="00B740B4">
        <w:rPr>
          <w:rFonts w:eastAsia="Times New Roman" w:cs="Times New Roman"/>
        </w:rPr>
        <w:t>Whereas chaps. 2, 3, and 6 are narratives that close with proclamation, chap. 4 is a proclamation incorporating a narrative; and whereas Daniel has considerable prominence in chap. 2, here he is a role rather than a personality (l</w:t>
      </w:r>
      <w:r w:rsidR="00C822C0">
        <w:rPr>
          <w:rFonts w:eastAsia="Times New Roman" w:cs="Times New Roman"/>
        </w:rPr>
        <w:t xml:space="preserve">ike the Judahites in chap. 3), as Nebuchadnezzar has more </w:t>
      </w:r>
      <w:r w:rsidRPr="00B740B4">
        <w:rPr>
          <w:rFonts w:eastAsia="Times New Roman" w:cs="Times New Roman"/>
        </w:rPr>
        <w:t>focus.</w:t>
      </w:r>
    </w:p>
    <w:p w:rsidR="00C93CC0" w:rsidRPr="00B740B4" w:rsidRDefault="00C93CC0" w:rsidP="00242800">
      <w:pPr>
        <w:widowControl w:val="0"/>
        <w:rPr>
          <w:rFonts w:eastAsia="Times New Roman" w:cs="Times New Roman"/>
        </w:rPr>
      </w:pPr>
      <w:r w:rsidRPr="00B740B4">
        <w:rPr>
          <w:rFonts w:eastAsia="Times New Roman" w:cs="Times New Roman"/>
        </w:rPr>
        <w:t>The structure might be presented as</w:t>
      </w:r>
    </w:p>
    <w:p w:rsidR="00C93CC0" w:rsidRPr="00B740B4" w:rsidRDefault="00C93CC0" w:rsidP="00242800">
      <w:pPr>
        <w:spacing w:before="240"/>
        <w:ind w:left="720" w:right="720" w:firstLine="0"/>
        <w:rPr>
          <w:rFonts w:eastAsia="Times New Roman" w:cs="Times New Roman"/>
          <w:noProof/>
        </w:rPr>
      </w:pPr>
      <w:r w:rsidRPr="00B740B4">
        <w:rPr>
          <w:rFonts w:eastAsia="Times New Roman" w:cs="Times New Roman"/>
          <w:noProof/>
        </w:rPr>
        <w:t>1 introduction to encyclical</w:t>
      </w:r>
    </w:p>
    <w:p w:rsidR="00C93CC0" w:rsidRPr="00B740B4" w:rsidRDefault="00C93CC0" w:rsidP="00242800">
      <w:pPr>
        <w:ind w:left="720" w:right="720" w:firstLine="0"/>
        <w:rPr>
          <w:rFonts w:eastAsia="Times New Roman" w:cs="Times New Roman"/>
          <w:noProof/>
        </w:rPr>
      </w:pPr>
      <w:r w:rsidRPr="00B740B4">
        <w:rPr>
          <w:rFonts w:eastAsia="Times New Roman" w:cs="Times New Roman"/>
          <w:noProof/>
        </w:rPr>
        <w:t>2 introduction to opening confession</w:t>
      </w:r>
    </w:p>
    <w:p w:rsidR="00C93CC0" w:rsidRPr="00B740B4" w:rsidRDefault="00C93CC0" w:rsidP="00242800">
      <w:pPr>
        <w:ind w:left="720" w:right="720" w:firstLine="0"/>
        <w:rPr>
          <w:rFonts w:eastAsia="Times New Roman" w:cs="Times New Roman"/>
          <w:noProof/>
        </w:rPr>
      </w:pPr>
      <w:r w:rsidRPr="00B740B4">
        <w:rPr>
          <w:rFonts w:eastAsia="Times New Roman" w:cs="Times New Roman"/>
          <w:noProof/>
        </w:rPr>
        <w:t>3 hymnic confession</w:t>
      </w:r>
    </w:p>
    <w:p w:rsidR="00C93CC0" w:rsidRPr="00B740B4" w:rsidRDefault="00922F24" w:rsidP="00242800">
      <w:pPr>
        <w:ind w:left="1080" w:right="720" w:firstLine="0"/>
        <w:rPr>
          <w:rFonts w:eastAsia="Times New Roman" w:cs="Times New Roman"/>
          <w:noProof/>
        </w:rPr>
      </w:pPr>
      <w:r w:rsidRPr="00B740B4">
        <w:rPr>
          <w:rFonts w:eastAsia="Times New Roman" w:cs="Times New Roman"/>
          <w:noProof/>
        </w:rPr>
        <w:t>4–18</w:t>
      </w:r>
      <w:r w:rsidR="00C93CC0" w:rsidRPr="00B740B4">
        <w:rPr>
          <w:rFonts w:eastAsia="Times New Roman" w:cs="Times New Roman"/>
          <w:noProof/>
        </w:rPr>
        <w:t xml:space="preserve"> report of dream (first person)</w:t>
      </w:r>
    </w:p>
    <w:p w:rsidR="00C93CC0" w:rsidRPr="00B740B4" w:rsidRDefault="00922F24" w:rsidP="00242800">
      <w:pPr>
        <w:ind w:left="1440" w:right="720" w:firstLine="0"/>
        <w:rPr>
          <w:rFonts w:eastAsia="Times New Roman" w:cs="Times New Roman"/>
          <w:noProof/>
        </w:rPr>
      </w:pPr>
      <w:r w:rsidRPr="00B740B4">
        <w:rPr>
          <w:rFonts w:eastAsia="Times New Roman" w:cs="Times New Roman"/>
          <w:noProof/>
        </w:rPr>
        <w:t>4-5</w:t>
      </w:r>
      <w:r w:rsidR="00C93CC0" w:rsidRPr="00B740B4">
        <w:rPr>
          <w:rFonts w:eastAsia="Times New Roman" w:cs="Times New Roman"/>
          <w:noProof/>
        </w:rPr>
        <w:t xml:space="preserve"> dream’s occurrence</w:t>
      </w:r>
    </w:p>
    <w:p w:rsidR="00C93CC0" w:rsidRPr="00B740B4" w:rsidRDefault="00AA3B5E" w:rsidP="00242800">
      <w:pPr>
        <w:ind w:left="1440" w:right="720" w:firstLine="0"/>
        <w:rPr>
          <w:rFonts w:eastAsia="Times New Roman" w:cs="Times New Roman"/>
          <w:noProof/>
        </w:rPr>
      </w:pPr>
      <w:r w:rsidRPr="00B740B4">
        <w:rPr>
          <w:rFonts w:eastAsia="Times New Roman" w:cs="Times New Roman"/>
          <w:noProof/>
        </w:rPr>
        <w:t>6-9</w:t>
      </w:r>
      <w:r w:rsidR="00C93CC0" w:rsidRPr="00B740B4">
        <w:rPr>
          <w:rFonts w:eastAsia="Times New Roman" w:cs="Times New Roman"/>
          <w:noProof/>
        </w:rPr>
        <w:t xml:space="preserve"> quest for an interpreter (court contest)</w:t>
      </w:r>
    </w:p>
    <w:p w:rsidR="00C93CC0" w:rsidRPr="00B740B4" w:rsidRDefault="00AA3B5E" w:rsidP="00242800">
      <w:pPr>
        <w:ind w:left="1440" w:right="720" w:firstLine="0"/>
        <w:rPr>
          <w:rFonts w:eastAsia="Times New Roman" w:cs="Times New Roman"/>
          <w:noProof/>
        </w:rPr>
      </w:pPr>
      <w:r w:rsidRPr="00B740B4">
        <w:rPr>
          <w:rFonts w:eastAsia="Times New Roman" w:cs="Times New Roman"/>
          <w:noProof/>
        </w:rPr>
        <w:t>10-17</w:t>
      </w:r>
      <w:r w:rsidR="00C93CC0" w:rsidRPr="00B740B4">
        <w:rPr>
          <w:rFonts w:eastAsia="Times New Roman" w:cs="Times New Roman"/>
          <w:noProof/>
        </w:rPr>
        <w:t xml:space="preserve"> content of dream</w:t>
      </w:r>
    </w:p>
    <w:p w:rsidR="00C93CC0" w:rsidRPr="00B740B4" w:rsidRDefault="00AA3B5E" w:rsidP="00242800">
      <w:pPr>
        <w:ind w:left="1800" w:right="720" w:firstLine="0"/>
        <w:rPr>
          <w:rFonts w:eastAsia="Times New Roman" w:cs="Times New Roman"/>
          <w:noProof/>
        </w:rPr>
      </w:pPr>
      <w:r w:rsidRPr="00B740B4">
        <w:rPr>
          <w:rFonts w:eastAsia="Times New Roman" w:cs="Times New Roman"/>
          <w:noProof/>
        </w:rPr>
        <w:t>10-12</w:t>
      </w:r>
      <w:r w:rsidR="00C93CC0" w:rsidRPr="00B740B4">
        <w:rPr>
          <w:rFonts w:eastAsia="Times New Roman" w:cs="Times New Roman"/>
          <w:noProof/>
        </w:rPr>
        <w:t xml:space="preserve"> the tree in the dream</w:t>
      </w:r>
    </w:p>
    <w:p w:rsidR="00C93CC0" w:rsidRPr="00B740B4" w:rsidRDefault="00AA3B5E" w:rsidP="00242800">
      <w:pPr>
        <w:ind w:left="1800" w:right="720" w:firstLine="0"/>
        <w:rPr>
          <w:rFonts w:eastAsia="Times New Roman" w:cs="Times New Roman"/>
          <w:noProof/>
        </w:rPr>
      </w:pPr>
      <w:r w:rsidRPr="00B740B4">
        <w:rPr>
          <w:rFonts w:eastAsia="Times New Roman" w:cs="Times New Roman"/>
          <w:noProof/>
        </w:rPr>
        <w:t>13-17</w:t>
      </w:r>
      <w:r w:rsidR="00C93CC0" w:rsidRPr="00B740B4">
        <w:rPr>
          <w:rFonts w:eastAsia="Times New Roman" w:cs="Times New Roman"/>
          <w:noProof/>
        </w:rPr>
        <w:t xml:space="preserve"> the </w:t>
      </w:r>
      <w:r w:rsidR="00B82F32" w:rsidRPr="00B740B4">
        <w:rPr>
          <w:rFonts w:eastAsia="Times New Roman" w:cs="Times New Roman"/>
          <w:noProof/>
        </w:rPr>
        <w:t>lookout</w:t>
      </w:r>
      <w:r w:rsidR="00C93CC0" w:rsidRPr="00B740B4">
        <w:rPr>
          <w:rFonts w:eastAsia="Times New Roman" w:cs="Times New Roman"/>
          <w:noProof/>
        </w:rPr>
        <w:t>’s intervention in the dream</w:t>
      </w:r>
    </w:p>
    <w:p w:rsidR="00C93CC0" w:rsidRPr="00B740B4" w:rsidRDefault="00AA3B5E" w:rsidP="00242800">
      <w:pPr>
        <w:ind w:left="1440" w:right="720" w:firstLine="0"/>
        <w:rPr>
          <w:rFonts w:eastAsia="Times New Roman" w:cs="Times New Roman"/>
          <w:noProof/>
        </w:rPr>
      </w:pPr>
      <w:r w:rsidRPr="00B740B4">
        <w:rPr>
          <w:rFonts w:eastAsia="Times New Roman" w:cs="Times New Roman"/>
          <w:noProof/>
        </w:rPr>
        <w:t>18</w:t>
      </w:r>
      <w:r w:rsidR="00C93CC0" w:rsidRPr="00B740B4">
        <w:rPr>
          <w:rFonts w:eastAsia="Times New Roman" w:cs="Times New Roman"/>
          <w:noProof/>
        </w:rPr>
        <w:t xml:space="preserve"> request to Daniel</w:t>
      </w:r>
    </w:p>
    <w:p w:rsidR="00C93CC0" w:rsidRPr="00B740B4" w:rsidRDefault="00AA3B5E" w:rsidP="00242800">
      <w:pPr>
        <w:ind w:left="1080" w:right="720" w:firstLine="0"/>
        <w:rPr>
          <w:rFonts w:eastAsia="Times New Roman" w:cs="Times New Roman"/>
          <w:noProof/>
        </w:rPr>
      </w:pPr>
      <w:r w:rsidRPr="00B740B4">
        <w:rPr>
          <w:rFonts w:eastAsia="Times New Roman" w:cs="Times New Roman"/>
          <w:noProof/>
        </w:rPr>
        <w:t>19-27</w:t>
      </w:r>
      <w:r w:rsidR="00C93CC0" w:rsidRPr="00B740B4">
        <w:rPr>
          <w:rFonts w:eastAsia="Times New Roman" w:cs="Times New Roman"/>
          <w:noProof/>
        </w:rPr>
        <w:t xml:space="preserve"> interpretation of dream (third person)</w:t>
      </w:r>
    </w:p>
    <w:p w:rsidR="00C93CC0" w:rsidRPr="00B740B4" w:rsidRDefault="00AA3B5E" w:rsidP="00242800">
      <w:pPr>
        <w:ind w:left="1440" w:right="720" w:firstLine="0"/>
        <w:rPr>
          <w:rFonts w:eastAsia="Times New Roman" w:cs="Times New Roman"/>
          <w:noProof/>
        </w:rPr>
      </w:pPr>
      <w:r w:rsidRPr="00B740B4">
        <w:rPr>
          <w:rFonts w:eastAsia="Times New Roman" w:cs="Times New Roman"/>
          <w:noProof/>
        </w:rPr>
        <w:t>19</w:t>
      </w:r>
      <w:r w:rsidR="00C93CC0" w:rsidRPr="00B740B4">
        <w:rPr>
          <w:rFonts w:eastAsia="Times New Roman" w:cs="Times New Roman"/>
          <w:noProof/>
        </w:rPr>
        <w:t xml:space="preserve"> introductory wish</w:t>
      </w:r>
    </w:p>
    <w:p w:rsidR="00C93CC0" w:rsidRPr="00B740B4" w:rsidRDefault="00AA3B5E" w:rsidP="00242800">
      <w:pPr>
        <w:ind w:left="1440" w:right="720" w:firstLine="0"/>
        <w:rPr>
          <w:rFonts w:eastAsia="Times New Roman" w:cs="Times New Roman"/>
          <w:noProof/>
        </w:rPr>
      </w:pPr>
      <w:r w:rsidRPr="00B740B4">
        <w:rPr>
          <w:rFonts w:eastAsia="Times New Roman" w:cs="Times New Roman"/>
          <w:noProof/>
        </w:rPr>
        <w:t>20-26</w:t>
      </w:r>
      <w:r w:rsidR="00C93CC0" w:rsidRPr="00B740B4">
        <w:rPr>
          <w:rFonts w:eastAsia="Times New Roman" w:cs="Times New Roman"/>
          <w:noProof/>
        </w:rPr>
        <w:t xml:space="preserve"> interpretation</w:t>
      </w:r>
    </w:p>
    <w:p w:rsidR="00C93CC0" w:rsidRPr="00B740B4" w:rsidRDefault="00AA3B5E" w:rsidP="00242800">
      <w:pPr>
        <w:ind w:left="1800" w:right="720" w:firstLine="0"/>
        <w:rPr>
          <w:rFonts w:eastAsia="Times New Roman" w:cs="Times New Roman"/>
          <w:noProof/>
        </w:rPr>
      </w:pPr>
      <w:r w:rsidRPr="00B740B4">
        <w:rPr>
          <w:rFonts w:eastAsia="Times New Roman" w:cs="Times New Roman"/>
          <w:noProof/>
        </w:rPr>
        <w:lastRenderedPageBreak/>
        <w:t>20-22</w:t>
      </w:r>
      <w:r w:rsidR="00C93CC0" w:rsidRPr="00B740B4">
        <w:rPr>
          <w:rFonts w:eastAsia="Times New Roman" w:cs="Times New Roman"/>
          <w:noProof/>
        </w:rPr>
        <w:t xml:space="preserve"> interpretation of the tree</w:t>
      </w:r>
    </w:p>
    <w:p w:rsidR="00C93CC0" w:rsidRPr="00B740B4" w:rsidRDefault="00AA3B5E" w:rsidP="00242800">
      <w:pPr>
        <w:ind w:left="1800" w:right="720" w:firstLine="0"/>
        <w:rPr>
          <w:rFonts w:eastAsia="Times New Roman" w:cs="Times New Roman"/>
          <w:noProof/>
        </w:rPr>
      </w:pPr>
      <w:r w:rsidRPr="00B740B4">
        <w:rPr>
          <w:rFonts w:eastAsia="Times New Roman" w:cs="Times New Roman"/>
          <w:noProof/>
        </w:rPr>
        <w:t>23-26</w:t>
      </w:r>
      <w:r w:rsidR="00C93CC0" w:rsidRPr="00B740B4">
        <w:rPr>
          <w:rFonts w:eastAsia="Times New Roman" w:cs="Times New Roman"/>
          <w:noProof/>
        </w:rPr>
        <w:t xml:space="preserve"> interpretation of the </w:t>
      </w:r>
      <w:r w:rsidR="00B82F32" w:rsidRPr="00B740B4">
        <w:rPr>
          <w:rFonts w:eastAsia="Times New Roman" w:cs="Times New Roman"/>
          <w:noProof/>
        </w:rPr>
        <w:t>lookout</w:t>
      </w:r>
      <w:r w:rsidR="00C93CC0" w:rsidRPr="00B740B4">
        <w:rPr>
          <w:rFonts w:eastAsia="Times New Roman" w:cs="Times New Roman"/>
          <w:noProof/>
        </w:rPr>
        <w:t>’s message</w:t>
      </w:r>
    </w:p>
    <w:p w:rsidR="00C93CC0" w:rsidRPr="00B740B4" w:rsidRDefault="00AA3B5E" w:rsidP="00242800">
      <w:pPr>
        <w:ind w:left="1440" w:right="720" w:firstLine="0"/>
        <w:rPr>
          <w:rFonts w:eastAsia="Times New Roman" w:cs="Times New Roman"/>
          <w:noProof/>
        </w:rPr>
      </w:pPr>
      <w:r w:rsidRPr="00B740B4">
        <w:rPr>
          <w:rFonts w:eastAsia="Times New Roman" w:cs="Times New Roman"/>
          <w:noProof/>
        </w:rPr>
        <w:t>27</w:t>
      </w:r>
      <w:r w:rsidR="00C93CC0" w:rsidRPr="00B740B4">
        <w:rPr>
          <w:rFonts w:eastAsia="Times New Roman" w:cs="Times New Roman"/>
          <w:noProof/>
        </w:rPr>
        <w:t xml:space="preserve"> closing admonition</w:t>
      </w:r>
    </w:p>
    <w:p w:rsidR="00C93CC0" w:rsidRPr="00B740B4" w:rsidRDefault="00AA3B5E" w:rsidP="00242800">
      <w:pPr>
        <w:ind w:left="1080" w:right="720" w:firstLine="0"/>
        <w:rPr>
          <w:rFonts w:eastAsia="Times New Roman" w:cs="Times New Roman"/>
          <w:noProof/>
        </w:rPr>
      </w:pPr>
      <w:r w:rsidRPr="00B740B4">
        <w:rPr>
          <w:rFonts w:eastAsia="Times New Roman" w:cs="Times New Roman"/>
          <w:noProof/>
        </w:rPr>
        <w:t>28-33</w:t>
      </w:r>
      <w:r w:rsidR="00C93CC0" w:rsidRPr="00B740B4">
        <w:rPr>
          <w:rFonts w:eastAsia="Times New Roman" w:cs="Times New Roman"/>
          <w:noProof/>
        </w:rPr>
        <w:t xml:space="preserve"> report of fulfillment (third person)</w:t>
      </w:r>
    </w:p>
    <w:p w:rsidR="00C93CC0" w:rsidRPr="00B740B4" w:rsidRDefault="00AA3B5E" w:rsidP="00242800">
      <w:pPr>
        <w:ind w:left="720" w:right="720" w:firstLine="0"/>
        <w:rPr>
          <w:rFonts w:eastAsia="Times New Roman" w:cs="Times New Roman"/>
          <w:noProof/>
        </w:rPr>
      </w:pPr>
      <w:r w:rsidRPr="00B740B4">
        <w:rPr>
          <w:rFonts w:eastAsia="Times New Roman" w:cs="Times New Roman"/>
          <w:noProof/>
        </w:rPr>
        <w:t>34-36</w:t>
      </w:r>
      <w:r w:rsidR="00C93CC0" w:rsidRPr="00B740B4">
        <w:rPr>
          <w:rFonts w:eastAsia="Times New Roman" w:cs="Times New Roman"/>
          <w:noProof/>
        </w:rPr>
        <w:t xml:space="preserve"> introduction to closing confession</w:t>
      </w:r>
    </w:p>
    <w:p w:rsidR="00C93CC0" w:rsidRPr="00B740B4" w:rsidRDefault="00AA3B5E" w:rsidP="005119F6">
      <w:pPr>
        <w:rPr>
          <w:rFonts w:eastAsia="Times New Roman"/>
          <w:noProof/>
        </w:rPr>
      </w:pPr>
      <w:r w:rsidRPr="00B740B4">
        <w:rPr>
          <w:rFonts w:eastAsia="Times New Roman"/>
          <w:noProof/>
        </w:rPr>
        <w:t>37</w:t>
      </w:r>
      <w:r w:rsidR="00C93CC0" w:rsidRPr="00B740B4">
        <w:rPr>
          <w:rFonts w:eastAsia="Times New Roman"/>
          <w:noProof/>
        </w:rPr>
        <w:t xml:space="preserve"> hymnic confession</w:t>
      </w:r>
    </w:p>
    <w:p w:rsidR="005119F6" w:rsidRDefault="005119F6" w:rsidP="00242800">
      <w:pPr>
        <w:widowControl w:val="0"/>
        <w:rPr>
          <w:rFonts w:eastAsia="Times New Roman" w:cs="Times New Roman"/>
        </w:rPr>
      </w:pPr>
    </w:p>
    <w:p w:rsidR="00C93CC0" w:rsidRPr="00B740B4" w:rsidRDefault="00C93CC0" w:rsidP="00242800">
      <w:pPr>
        <w:widowControl w:val="0"/>
        <w:rPr>
          <w:rFonts w:eastAsia="Times New Roman" w:cs="Times New Roman"/>
        </w:rPr>
      </w:pPr>
      <w:r w:rsidRPr="00B740B4">
        <w:rPr>
          <w:rFonts w:eastAsia="Times New Roman" w:cs="Times New Roman"/>
        </w:rPr>
        <w:t>The chapter begins with stock phrases and expressions familiar from other stories of this kind and from elsewhere in t</w:t>
      </w:r>
      <w:r w:rsidR="00AA3B5E" w:rsidRPr="00B740B4">
        <w:rPr>
          <w:rFonts w:eastAsia="Times New Roman" w:cs="Times New Roman"/>
        </w:rPr>
        <w:t>he OT (vv 1–3, 5–10a). V 3</w:t>
      </w:r>
      <w:r w:rsidRPr="00B740B4">
        <w:rPr>
          <w:rFonts w:eastAsia="Times New Roman" w:cs="Times New Roman"/>
        </w:rPr>
        <w:t>, howe</w:t>
      </w:r>
      <w:r w:rsidR="002179F6" w:rsidRPr="00B740B4">
        <w:rPr>
          <w:rFonts w:eastAsia="Times New Roman" w:cs="Times New Roman"/>
        </w:rPr>
        <w:t>ver, which is poetical in form (</w:t>
      </w:r>
      <w:r w:rsidRPr="00B740B4">
        <w:rPr>
          <w:rFonts w:eastAsia="Times New Roman" w:cs="Times New Roman"/>
        </w:rPr>
        <w:t>it manifests meter and parallelism)</w:t>
      </w:r>
      <w:r w:rsidR="002179F6" w:rsidRPr="00B740B4">
        <w:rPr>
          <w:rFonts w:eastAsia="Times New Roman" w:cs="Times New Roman"/>
        </w:rPr>
        <w:t>,</w:t>
      </w:r>
      <w:r w:rsidRPr="00B740B4">
        <w:rPr>
          <w:rFonts w:eastAsia="Times New Roman" w:cs="Times New Roman"/>
        </w:rPr>
        <w:t xml:space="preserve"> introduces roots that will be of key significance for the story: </w:t>
      </w:r>
      <w:r w:rsidRPr="00B740B4">
        <w:rPr>
          <w:rFonts w:ascii="Arial" w:eastAsia="Times New Roman" w:hAnsi="Arial" w:cs="Arial"/>
        </w:rPr>
        <w:t>רב</w:t>
      </w:r>
      <w:r w:rsidRPr="00B740B4">
        <w:rPr>
          <w:rFonts w:eastAsia="Times New Roman" w:cs="Times New Roman"/>
        </w:rPr>
        <w:t xml:space="preserve"> and </w:t>
      </w:r>
      <w:r w:rsidRPr="00B740B4">
        <w:rPr>
          <w:rFonts w:ascii="Arial" w:eastAsia="Times New Roman" w:hAnsi="Arial" w:cs="Arial"/>
        </w:rPr>
        <w:t>תקף</w:t>
      </w:r>
      <w:r w:rsidRPr="00B740B4">
        <w:rPr>
          <w:rFonts w:eastAsia="Times New Roman" w:cs="Times New Roman"/>
        </w:rPr>
        <w:t xml:space="preserve"> </w:t>
      </w:r>
      <w:r w:rsidRPr="00B740B4">
        <w:rPr>
          <w:rFonts w:ascii="Calibri" w:eastAsia="Times New Roman" w:hAnsi="Calibri" w:cs="Calibri"/>
        </w:rPr>
        <w:t>“</w:t>
      </w:r>
      <w:r w:rsidRPr="00B740B4">
        <w:rPr>
          <w:rFonts w:eastAsia="Times New Roman" w:cs="Times New Roman"/>
        </w:rPr>
        <w:t>great,</w:t>
      </w:r>
      <w:r w:rsidRPr="00B740B4">
        <w:rPr>
          <w:rFonts w:ascii="Calibri" w:eastAsia="Times New Roman" w:hAnsi="Calibri" w:cs="Calibri"/>
        </w:rPr>
        <w:t>”</w:t>
      </w:r>
      <w:r w:rsidRPr="00B740B4">
        <w:rPr>
          <w:rFonts w:eastAsia="Times New Roman" w:cs="Times New Roman"/>
        </w:rPr>
        <w:t xml:space="preserve"> </w:t>
      </w:r>
      <w:r w:rsidRPr="00B740B4">
        <w:rPr>
          <w:rFonts w:ascii="Calibri" w:eastAsia="Times New Roman" w:hAnsi="Calibri" w:cs="Calibri"/>
        </w:rPr>
        <w:t>“</w:t>
      </w:r>
      <w:r w:rsidRPr="00B740B4">
        <w:rPr>
          <w:rFonts w:eastAsia="Times New Roman" w:cs="Times New Roman"/>
        </w:rPr>
        <w:t>mighty</w:t>
      </w:r>
      <w:r w:rsidRPr="00B740B4">
        <w:rPr>
          <w:rFonts w:ascii="Calibri" w:eastAsia="Times New Roman" w:hAnsi="Calibri" w:cs="Calibri"/>
        </w:rPr>
        <w:t>”</w:t>
      </w:r>
      <w:r w:rsidR="00AA3B5E" w:rsidRPr="00B740B4">
        <w:rPr>
          <w:rFonts w:eastAsia="Times New Roman" w:cs="Times New Roman"/>
        </w:rPr>
        <w:t xml:space="preserve"> (vv </w:t>
      </w:r>
      <w:r w:rsidRPr="00B740B4">
        <w:rPr>
          <w:rFonts w:eastAsia="Times New Roman" w:cs="Times New Roman"/>
        </w:rPr>
        <w:t xml:space="preserve">11, 20, 22, 30, 36), </w:t>
      </w:r>
      <w:r w:rsidRPr="00B740B4">
        <w:rPr>
          <w:rFonts w:ascii="Arial" w:eastAsia="Times New Roman" w:hAnsi="Arial" w:cs="Arial"/>
        </w:rPr>
        <w:t>מלך</w:t>
      </w:r>
      <w:r w:rsidRPr="00B740B4">
        <w:rPr>
          <w:rFonts w:eastAsia="Times New Roman" w:cs="Times New Roman"/>
        </w:rPr>
        <w:t xml:space="preserve"> and</w:t>
      </w:r>
      <w:r w:rsidR="002179F6" w:rsidRPr="00B740B4">
        <w:rPr>
          <w:rFonts w:eastAsia="Times New Roman" w:cs="Times New Roman"/>
        </w:rPr>
        <w:t xml:space="preserve"> </w:t>
      </w:r>
      <w:r w:rsidR="002179F6" w:rsidRPr="00B740B4">
        <w:rPr>
          <w:rFonts w:ascii="Arial" w:eastAsia="Times New Roman" w:hAnsi="Arial" w:cs="Arial"/>
        </w:rPr>
        <w:t>ט</w:t>
      </w:r>
      <w:r w:rsidRPr="00B740B4">
        <w:rPr>
          <w:rFonts w:eastAsia="Times New Roman" w:cs="Times New Roman"/>
        </w:rPr>
        <w:t xml:space="preserve"> </w:t>
      </w:r>
      <w:r w:rsidRPr="00B740B4">
        <w:rPr>
          <w:rFonts w:ascii="Arial" w:eastAsia="Times New Roman" w:hAnsi="Arial" w:cs="Arial"/>
        </w:rPr>
        <w:t>ל</w:t>
      </w:r>
      <w:r w:rsidR="002179F6" w:rsidRPr="00B740B4">
        <w:rPr>
          <w:rFonts w:ascii="Arial" w:eastAsia="Times New Roman" w:hAnsi="Arial" w:cs="Arial"/>
        </w:rPr>
        <w:t xml:space="preserve"> ש </w:t>
      </w:r>
      <w:r w:rsidRPr="00B740B4">
        <w:rPr>
          <w:rFonts w:ascii="Calibri" w:eastAsia="Times New Roman" w:hAnsi="Calibri" w:cs="Calibri"/>
        </w:rPr>
        <w:t>“</w:t>
      </w:r>
      <w:r w:rsidRPr="00B740B4">
        <w:rPr>
          <w:rFonts w:eastAsia="Times New Roman" w:cs="Times New Roman"/>
        </w:rPr>
        <w:t>kingship,</w:t>
      </w:r>
      <w:r w:rsidRPr="00B740B4">
        <w:rPr>
          <w:rFonts w:ascii="Calibri" w:eastAsia="Times New Roman" w:hAnsi="Calibri" w:cs="Calibri"/>
        </w:rPr>
        <w:t>”</w:t>
      </w:r>
      <w:r w:rsidRPr="00B740B4">
        <w:rPr>
          <w:rFonts w:eastAsia="Times New Roman" w:cs="Times New Roman"/>
        </w:rPr>
        <w:t xml:space="preserve"> </w:t>
      </w:r>
      <w:r w:rsidRPr="00B740B4">
        <w:rPr>
          <w:rFonts w:ascii="Calibri" w:eastAsia="Times New Roman" w:hAnsi="Calibri" w:cs="Calibri"/>
        </w:rPr>
        <w:t>“</w:t>
      </w:r>
      <w:r w:rsidRPr="00B740B4">
        <w:rPr>
          <w:rFonts w:eastAsia="Times New Roman" w:cs="Times New Roman"/>
        </w:rPr>
        <w:t>rule</w:t>
      </w:r>
      <w:r w:rsidRPr="00B740B4">
        <w:rPr>
          <w:rFonts w:ascii="Calibri" w:eastAsia="Times New Roman" w:hAnsi="Calibri" w:cs="Calibri"/>
        </w:rPr>
        <w:t>”</w:t>
      </w:r>
      <w:r w:rsidR="00AA3B5E" w:rsidRPr="00B740B4">
        <w:rPr>
          <w:rFonts w:eastAsia="Times New Roman" w:cs="Times New Roman"/>
        </w:rPr>
        <w:t xml:space="preserve"> (vv </w:t>
      </w:r>
      <w:r w:rsidRPr="00B740B4">
        <w:rPr>
          <w:rFonts w:eastAsia="Times New Roman" w:cs="Times New Roman"/>
        </w:rPr>
        <w:t>17, 25, 26, 32, 34</w:t>
      </w:r>
      <w:r w:rsidR="002179F6" w:rsidRPr="00B740B4">
        <w:rPr>
          <w:rFonts w:eastAsia="Times New Roman" w:cs="Times New Roman"/>
        </w:rPr>
        <w:t>). The poetic</w:t>
      </w:r>
      <w:r w:rsidR="00AA3B5E" w:rsidRPr="00B740B4">
        <w:rPr>
          <w:rFonts w:eastAsia="Times New Roman" w:cs="Times New Roman"/>
        </w:rPr>
        <w:t xml:space="preserve"> form of v 3 reappears in part of vv </w:t>
      </w:r>
      <w:r w:rsidRPr="00B740B4">
        <w:rPr>
          <w:rFonts w:eastAsia="Times New Roman" w:cs="Times New Roman"/>
        </w:rPr>
        <w:t>34</w:t>
      </w:r>
      <w:r w:rsidRPr="00B740B4">
        <w:rPr>
          <w:rFonts w:ascii="Calibri" w:eastAsia="Times New Roman" w:hAnsi="Calibri" w:cs="Calibri"/>
        </w:rPr>
        <w:t>–</w:t>
      </w:r>
      <w:r w:rsidR="00AA3B5E" w:rsidRPr="00B740B4">
        <w:rPr>
          <w:rFonts w:eastAsia="Times New Roman" w:cs="Times New Roman"/>
        </w:rPr>
        <w:t>37</w:t>
      </w:r>
      <w:r w:rsidRPr="00B740B4">
        <w:rPr>
          <w:rFonts w:eastAsia="Times New Roman" w:cs="Times New Roman"/>
        </w:rPr>
        <w:t>, its actual phrasing b</w:t>
      </w:r>
      <w:r w:rsidR="00AA3B5E" w:rsidRPr="00B740B4">
        <w:rPr>
          <w:rFonts w:eastAsia="Times New Roman" w:cs="Times New Roman"/>
        </w:rPr>
        <w:t xml:space="preserve">eing reworked in part in v 34b. Vv </w:t>
      </w:r>
      <w:r w:rsidRPr="00B740B4">
        <w:rPr>
          <w:rFonts w:eastAsia="Times New Roman" w:cs="Times New Roman"/>
        </w:rPr>
        <w:t>34</w:t>
      </w:r>
      <w:r w:rsidRPr="00B740B4">
        <w:rPr>
          <w:rFonts w:ascii="Calibri" w:eastAsia="Times New Roman" w:hAnsi="Calibri" w:cs="Calibri"/>
        </w:rPr>
        <w:t>–</w:t>
      </w:r>
      <w:r w:rsidR="00AA3B5E" w:rsidRPr="00B740B4">
        <w:rPr>
          <w:rFonts w:eastAsia="Times New Roman" w:cs="Times New Roman"/>
        </w:rPr>
        <w:t>37 also takes up the terms of v 30</w:t>
      </w:r>
      <w:r w:rsidRPr="00B740B4">
        <w:rPr>
          <w:rFonts w:eastAsia="Times New Roman" w:cs="Times New Roman"/>
        </w:rPr>
        <w:t xml:space="preserve"> and make</w:t>
      </w:r>
      <w:r w:rsidR="00265B6F" w:rsidRPr="00B740B4">
        <w:rPr>
          <w:rFonts w:eastAsia="Times New Roman" w:cs="Times New Roman"/>
        </w:rPr>
        <w:t>s</w:t>
      </w:r>
      <w:r w:rsidRPr="00B740B4">
        <w:rPr>
          <w:rFonts w:eastAsia="Times New Roman" w:cs="Times New Roman"/>
        </w:rPr>
        <w:t xml:space="preserve"> clear that the antithesis between divine and human kingship is not to be sharply drawn, nor does the humbling of human kingship necessarily mean dethronement rather than chastisement. Here, too, stock phrases accumulate, yet they become the vehicle of vivid testimony.</w:t>
      </w:r>
    </w:p>
    <w:p w:rsidR="005119F6" w:rsidRDefault="00C93CC0" w:rsidP="00242800">
      <w:pPr>
        <w:widowControl w:val="0"/>
        <w:rPr>
          <w:rFonts w:eastAsia="Times New Roman" w:cs="Times New Roman"/>
        </w:rPr>
      </w:pPr>
      <w:r w:rsidRPr="00B740B4">
        <w:rPr>
          <w:rFonts w:eastAsia="Times New Roman" w:cs="Times New Roman"/>
        </w:rPr>
        <w:t xml:space="preserve">Nebuchadnezzar’s account of his dream introduces a further key pair of terms, the antithesis </w:t>
      </w:r>
    </w:p>
    <w:p w:rsidR="00C93CC0" w:rsidRPr="005119F6" w:rsidRDefault="005119F6" w:rsidP="005119F6">
      <w:pPr>
        <w:widowControl w:val="0"/>
        <w:ind w:firstLine="0"/>
        <w:rPr>
          <w:rFonts w:ascii="Arial" w:eastAsia="Times New Roman" w:hAnsi="Arial" w:cs="Arial"/>
        </w:rPr>
      </w:pPr>
      <w:r w:rsidRPr="005119F6">
        <w:rPr>
          <w:rFonts w:ascii="Arial" w:eastAsia="Times New Roman" w:hAnsi="Arial" w:cs="Arial"/>
        </w:rPr>
        <w:t>ע</w:t>
      </w:r>
      <w:r>
        <w:rPr>
          <w:rFonts w:ascii="Arial" w:eastAsia="Times New Roman" w:hAnsi="Arial" w:cs="Arial"/>
        </w:rPr>
        <w:t xml:space="preserve"> </w:t>
      </w:r>
      <w:r w:rsidRPr="005119F6">
        <w:rPr>
          <w:rFonts w:ascii="Arial" w:eastAsia="Times New Roman" w:hAnsi="Arial" w:cs="Arial"/>
        </w:rPr>
        <w:t>ר</w:t>
      </w:r>
      <w:r>
        <w:rPr>
          <w:rFonts w:eastAsia="Times New Roman" w:cs="Times New Roman"/>
        </w:rPr>
        <w:t xml:space="preserve"> </w:t>
      </w:r>
      <w:r w:rsidR="00C93CC0" w:rsidRPr="00B740B4">
        <w:rPr>
          <w:rFonts w:ascii="Arial" w:eastAsia="Times New Roman" w:hAnsi="Arial" w:cs="Arial"/>
        </w:rPr>
        <w:t>א</w:t>
      </w:r>
      <w:r w:rsidR="00C93CC0" w:rsidRPr="00B740B4">
        <w:rPr>
          <w:rFonts w:ascii="Calibri" w:eastAsia="Times New Roman" w:hAnsi="Calibri" w:cs="Calibri"/>
        </w:rPr>
        <w:t>—</w:t>
      </w:r>
      <w:r w:rsidR="00C93CC0" w:rsidRPr="00B740B4">
        <w:rPr>
          <w:rFonts w:ascii="Arial" w:eastAsia="Times New Roman" w:hAnsi="Arial" w:cs="Arial"/>
        </w:rPr>
        <w:t>שמין</w:t>
      </w:r>
      <w:r w:rsidR="00C93CC0" w:rsidRPr="00B740B4">
        <w:rPr>
          <w:rFonts w:eastAsia="Times New Roman" w:cs="Times New Roman"/>
        </w:rPr>
        <w:t xml:space="preserve">. Both terms are ambivalent. </w:t>
      </w:r>
      <w:r w:rsidRPr="005119F6">
        <w:rPr>
          <w:rFonts w:ascii="Arial" w:eastAsia="Times New Roman" w:hAnsi="Arial" w:cs="Arial"/>
        </w:rPr>
        <w:t>ע</w:t>
      </w:r>
      <w:r w:rsidRPr="005119F6">
        <w:rPr>
          <w:rFonts w:eastAsia="Times New Roman" w:cs="Times New Roman"/>
        </w:rPr>
        <w:t xml:space="preserve"> </w:t>
      </w:r>
      <w:r w:rsidRPr="005119F6">
        <w:rPr>
          <w:rFonts w:ascii="Arial" w:eastAsia="Times New Roman" w:hAnsi="Arial" w:cs="Arial"/>
        </w:rPr>
        <w:t>ר</w:t>
      </w:r>
      <w:r w:rsidRPr="005119F6">
        <w:rPr>
          <w:rFonts w:eastAsia="Times New Roman" w:cs="Times New Roman"/>
        </w:rPr>
        <w:t xml:space="preserve"> </w:t>
      </w:r>
      <w:r w:rsidRPr="005119F6">
        <w:rPr>
          <w:rFonts w:ascii="Arial" w:eastAsia="Times New Roman" w:hAnsi="Arial" w:cs="Arial"/>
        </w:rPr>
        <w:t>א</w:t>
      </w:r>
      <w:r>
        <w:rPr>
          <w:rFonts w:ascii="Arial" w:eastAsia="Times New Roman" w:hAnsi="Arial" w:cs="Arial"/>
        </w:rPr>
        <w:t xml:space="preserve"> </w:t>
      </w:r>
      <w:r w:rsidR="00C93CC0" w:rsidRPr="00B740B4">
        <w:rPr>
          <w:rFonts w:eastAsia="Times New Roman" w:cs="Times New Roman"/>
        </w:rPr>
        <w:t xml:space="preserve">can mean </w:t>
      </w:r>
      <w:r w:rsidR="00C93CC0" w:rsidRPr="00B740B4">
        <w:rPr>
          <w:rFonts w:ascii="Calibri" w:eastAsia="Times New Roman" w:hAnsi="Calibri" w:cs="Calibri"/>
        </w:rPr>
        <w:t>“</w:t>
      </w:r>
      <w:r w:rsidR="00C93CC0" w:rsidRPr="00B740B4">
        <w:rPr>
          <w:rFonts w:eastAsia="Times New Roman" w:cs="Times New Roman"/>
        </w:rPr>
        <w:t>earth</w:t>
      </w:r>
      <w:r w:rsidR="00C93CC0" w:rsidRPr="00B740B4">
        <w:rPr>
          <w:rFonts w:ascii="Calibri" w:eastAsia="Times New Roman" w:hAnsi="Calibri" w:cs="Calibri"/>
        </w:rPr>
        <w:t>”</w:t>
      </w:r>
      <w:r w:rsidR="00C93CC0" w:rsidRPr="00B740B4">
        <w:rPr>
          <w:rFonts w:eastAsia="Times New Roman" w:cs="Times New Roman"/>
        </w:rPr>
        <w:t xml:space="preserve"> in the sense of </w:t>
      </w:r>
      <w:r w:rsidR="00C93CC0" w:rsidRPr="00B740B4">
        <w:rPr>
          <w:rFonts w:ascii="Calibri" w:eastAsia="Times New Roman" w:hAnsi="Calibri" w:cs="Calibri"/>
        </w:rPr>
        <w:t>“</w:t>
      </w:r>
      <w:r w:rsidR="00C93CC0" w:rsidRPr="00B740B4">
        <w:rPr>
          <w:rFonts w:eastAsia="Times New Roman" w:cs="Times New Roman"/>
        </w:rPr>
        <w:t>world,</w:t>
      </w:r>
      <w:r w:rsidR="00C93CC0" w:rsidRPr="00B740B4">
        <w:rPr>
          <w:rFonts w:ascii="Calibri" w:eastAsia="Times New Roman" w:hAnsi="Calibri" w:cs="Calibri"/>
        </w:rPr>
        <w:t>”</w:t>
      </w:r>
      <w:r w:rsidR="00C93CC0" w:rsidRPr="00B740B4">
        <w:rPr>
          <w:rFonts w:eastAsia="Times New Roman" w:cs="Times New Roman"/>
        </w:rPr>
        <w:t xml:space="preserve"> and thus suggest the extent of Nebuchadnezzar</w:t>
      </w:r>
      <w:r w:rsidR="00C93CC0" w:rsidRPr="00B740B4">
        <w:rPr>
          <w:rFonts w:ascii="Calibri" w:eastAsia="Times New Roman" w:hAnsi="Calibri" w:cs="Calibri"/>
        </w:rPr>
        <w:t>’</w:t>
      </w:r>
      <w:r>
        <w:rPr>
          <w:rFonts w:eastAsia="Times New Roman" w:cs="Times New Roman"/>
        </w:rPr>
        <w:t xml:space="preserve">s </w:t>
      </w:r>
      <w:r w:rsidR="00AA3B5E" w:rsidRPr="00B740B4">
        <w:rPr>
          <w:rFonts w:eastAsia="Times New Roman" w:cs="Times New Roman"/>
        </w:rPr>
        <w:t>rule (vv 1, 10, 11, 20, 22</w:t>
      </w:r>
      <w:r w:rsidR="00C93CC0" w:rsidRPr="00B740B4">
        <w:rPr>
          <w:rFonts w:eastAsia="Times New Roman" w:cs="Times New Roman"/>
        </w:rPr>
        <w:t xml:space="preserve">), though also </w:t>
      </w:r>
      <w:r>
        <w:rPr>
          <w:rFonts w:eastAsia="Times New Roman" w:cs="Times New Roman"/>
        </w:rPr>
        <w:t xml:space="preserve">suggest </w:t>
      </w:r>
      <w:r w:rsidR="00C93CC0" w:rsidRPr="00B740B4">
        <w:rPr>
          <w:rFonts w:eastAsia="Times New Roman" w:cs="Times New Roman"/>
        </w:rPr>
        <w:t>its ultimate insignificance compared with God, before whom the wh</w:t>
      </w:r>
      <w:r w:rsidR="00AA3B5E" w:rsidRPr="00B740B4">
        <w:rPr>
          <w:rFonts w:eastAsia="Times New Roman" w:cs="Times New Roman"/>
        </w:rPr>
        <w:t>ole earth is nothing (v 35, twice</w:t>
      </w:r>
      <w:r>
        <w:rPr>
          <w:rFonts w:eastAsia="Times New Roman" w:cs="Times New Roman"/>
        </w:rPr>
        <w:t>). It can</w:t>
      </w:r>
      <w:r w:rsidR="00C93CC0" w:rsidRPr="00B740B4">
        <w:rPr>
          <w:rFonts w:eastAsia="Times New Roman" w:cs="Times New Roman"/>
        </w:rPr>
        <w:t xml:space="preserve"> mean “ground,” and thus more directly suggest the extent of Nebuchadnezzar’s hum</w:t>
      </w:r>
      <w:r w:rsidR="0091707B" w:rsidRPr="00B740B4">
        <w:rPr>
          <w:rFonts w:eastAsia="Times New Roman" w:cs="Times New Roman"/>
        </w:rPr>
        <w:t xml:space="preserve">iliation (vv </w:t>
      </w:r>
      <w:r w:rsidR="00C93CC0" w:rsidRPr="00B740B4">
        <w:rPr>
          <w:rFonts w:eastAsia="Times New Roman" w:cs="Times New Roman"/>
        </w:rPr>
        <w:t>15</w:t>
      </w:r>
      <w:r w:rsidR="0091707B" w:rsidRPr="00B740B4">
        <w:rPr>
          <w:rFonts w:eastAsia="Times New Roman" w:cs="Times New Roman"/>
        </w:rPr>
        <w:t>a</w:t>
      </w:r>
      <w:r w:rsidR="00C93CC0" w:rsidRPr="00B740B4">
        <w:rPr>
          <w:rFonts w:eastAsia="Times New Roman" w:cs="Times New Roman"/>
        </w:rPr>
        <w:t>, 15</w:t>
      </w:r>
      <w:r w:rsidR="0091707B" w:rsidRPr="00B740B4">
        <w:rPr>
          <w:rFonts w:eastAsia="Times New Roman" w:cs="Times New Roman"/>
        </w:rPr>
        <w:t>b, 23, 32, 33</w:t>
      </w:r>
      <w:r w:rsidR="00C93CC0" w:rsidRPr="00B740B4">
        <w:rPr>
          <w:rFonts w:eastAsia="Times New Roman" w:cs="Times New Roman"/>
        </w:rPr>
        <w:t xml:space="preserve">). </w:t>
      </w:r>
      <w:r w:rsidR="00C93CC0" w:rsidRPr="00B740B4">
        <w:rPr>
          <w:rFonts w:ascii="Arial" w:eastAsia="Times New Roman" w:hAnsi="Arial" w:cs="Arial"/>
        </w:rPr>
        <w:t>שמין</w:t>
      </w:r>
      <w:r w:rsidR="00C93CC0" w:rsidRPr="00B740B4">
        <w:rPr>
          <w:rFonts w:eastAsia="Times New Roman" w:cs="Times New Roman"/>
        </w:rPr>
        <w:t xml:space="preserve"> means </w:t>
      </w:r>
      <w:r w:rsidR="00C93CC0" w:rsidRPr="00B740B4">
        <w:rPr>
          <w:rFonts w:ascii="Calibri" w:eastAsia="Times New Roman" w:hAnsi="Calibri" w:cs="Calibri"/>
        </w:rPr>
        <w:t>“</w:t>
      </w:r>
      <w:r w:rsidR="0091707B" w:rsidRPr="00B740B4">
        <w:rPr>
          <w:rFonts w:ascii="Calibri" w:eastAsia="Times New Roman" w:hAnsi="Calibri" w:cs="Calibri"/>
        </w:rPr>
        <w:t xml:space="preserve">the </w:t>
      </w:r>
      <w:r w:rsidR="00C93CC0" w:rsidRPr="00B740B4">
        <w:rPr>
          <w:rFonts w:eastAsia="Times New Roman" w:cs="Times New Roman"/>
        </w:rPr>
        <w:t>heaven</w:t>
      </w:r>
      <w:r w:rsidR="0091707B" w:rsidRPr="00B740B4">
        <w:rPr>
          <w:rFonts w:eastAsia="Times New Roman" w:cs="Times New Roman"/>
        </w:rPr>
        <w:t>s</w:t>
      </w:r>
      <w:r w:rsidR="00C93CC0" w:rsidRPr="00B740B4">
        <w:rPr>
          <w:rFonts w:ascii="Calibri" w:eastAsia="Times New Roman" w:hAnsi="Calibri" w:cs="Calibri"/>
        </w:rPr>
        <w:t>”</w:t>
      </w:r>
      <w:r w:rsidR="0091707B" w:rsidRPr="00B740B4">
        <w:rPr>
          <w:rFonts w:eastAsia="Times New Roman" w:cs="Times New Roman"/>
        </w:rPr>
        <w:t xml:space="preserve"> (vv </w:t>
      </w:r>
      <w:r w:rsidR="00C93CC0" w:rsidRPr="00B740B4">
        <w:rPr>
          <w:rFonts w:eastAsia="Times New Roman" w:cs="Times New Roman"/>
        </w:rPr>
        <w:t>11, 12, 15, 20, 21, 22, 23,</w:t>
      </w:r>
      <w:r w:rsidR="0091707B" w:rsidRPr="00B740B4">
        <w:rPr>
          <w:rFonts w:eastAsia="Times New Roman" w:cs="Times New Roman"/>
        </w:rPr>
        <w:t xml:space="preserve"> 23, 25, 26, 31, 33, 34, 35, 37</w:t>
      </w:r>
      <w:r w:rsidR="00C93CC0" w:rsidRPr="00B740B4">
        <w:rPr>
          <w:rFonts w:eastAsia="Times New Roman" w:cs="Times New Roman"/>
        </w:rPr>
        <w:t>) both in the physical sense of the sky and in the metaphy</w:t>
      </w:r>
      <w:r>
        <w:rPr>
          <w:rFonts w:eastAsia="Times New Roman" w:cs="Times New Roman"/>
        </w:rPr>
        <w:t>sical sense of God’s dwelling; t</w:t>
      </w:r>
      <w:r w:rsidR="00C93CC0" w:rsidRPr="00B740B4">
        <w:rPr>
          <w:rFonts w:eastAsia="Times New Roman" w:cs="Times New Roman"/>
        </w:rPr>
        <w:t>he passage makes use of the fact that the former is a symbol of the latter, lets one meaning hint at the</w:t>
      </w:r>
      <w:r w:rsidR="0091707B" w:rsidRPr="00B740B4">
        <w:rPr>
          <w:rFonts w:eastAsia="Times New Roman" w:cs="Times New Roman"/>
        </w:rPr>
        <w:t xml:space="preserve"> other, and sometimes leaves </w:t>
      </w:r>
      <w:r w:rsidR="00C93CC0" w:rsidRPr="00B740B4">
        <w:rPr>
          <w:rFonts w:eastAsia="Times New Roman" w:cs="Times New Roman"/>
        </w:rPr>
        <w:t xml:space="preserve">unclear which is referred to. No other chapter of the OT uses </w:t>
      </w:r>
      <w:r w:rsidR="0091707B" w:rsidRPr="00B740B4">
        <w:rPr>
          <w:rFonts w:ascii="Arial" w:eastAsia="Times New Roman" w:hAnsi="Arial" w:cs="Arial"/>
        </w:rPr>
        <w:t>ם</w:t>
      </w:r>
      <w:r w:rsidR="0091707B" w:rsidRPr="00B740B4">
        <w:rPr>
          <w:rFonts w:ascii="Arial" w:eastAsiaTheme="minorHAnsi" w:hAnsi="Arial" w:cs="Arial"/>
        </w:rPr>
        <w:t xml:space="preserve"> </w:t>
      </w:r>
      <w:r w:rsidR="0091707B" w:rsidRPr="00B740B4">
        <w:rPr>
          <w:rFonts w:ascii="Arial" w:eastAsia="Times New Roman" w:hAnsi="Arial" w:cs="Arial"/>
        </w:rPr>
        <w:t xml:space="preserve">י </w:t>
      </w:r>
      <w:r w:rsidR="00C93CC0" w:rsidRPr="00B740B4">
        <w:rPr>
          <w:rFonts w:ascii="Arial" w:eastAsia="Times New Roman" w:hAnsi="Arial" w:cs="Arial"/>
        </w:rPr>
        <w:t>מ</w:t>
      </w:r>
      <w:r w:rsidR="0091707B" w:rsidRPr="00B740B4">
        <w:rPr>
          <w:rFonts w:ascii="Arial" w:eastAsia="Times New Roman" w:hAnsi="Arial" w:cs="Arial"/>
        </w:rPr>
        <w:t xml:space="preserve"> ש</w:t>
      </w:r>
      <w:r w:rsidR="00C93CC0" w:rsidRPr="00B740B4">
        <w:rPr>
          <w:rFonts w:eastAsia="Times New Roman" w:cs="Times New Roman"/>
        </w:rPr>
        <w:t>/</w:t>
      </w:r>
      <w:r w:rsidR="00C93CC0" w:rsidRPr="00B740B4">
        <w:rPr>
          <w:rFonts w:ascii="Arial" w:eastAsia="Times New Roman" w:hAnsi="Arial" w:cs="Arial"/>
        </w:rPr>
        <w:t>שמין</w:t>
      </w:r>
      <w:r w:rsidR="00C93CC0" w:rsidRPr="00B740B4">
        <w:rPr>
          <w:rFonts w:eastAsia="Times New Roman" w:cs="Times New Roman"/>
        </w:rPr>
        <w:t xml:space="preserve"> as often, or uses the word </w:t>
      </w:r>
      <w:r w:rsidR="0091707B" w:rsidRPr="00B740B4">
        <w:rPr>
          <w:rFonts w:eastAsia="Times New Roman" w:cs="Times New Roman"/>
        </w:rPr>
        <w:t>as a periphrasis for God (v 26</w:t>
      </w:r>
      <w:r w:rsidR="00C93CC0" w:rsidRPr="00B740B4">
        <w:rPr>
          <w:rFonts w:eastAsia="Times New Roman" w:cs="Times New Roman"/>
        </w:rPr>
        <w:t>) or refers to God as</w:t>
      </w:r>
      <w:r w:rsidR="002179F6" w:rsidRPr="00B740B4">
        <w:rPr>
          <w:rFonts w:eastAsia="Times New Roman" w:cs="Times New Roman"/>
        </w:rPr>
        <w:t xml:space="preserve"> </w:t>
      </w:r>
      <w:r w:rsidR="00C93CC0" w:rsidRPr="00B740B4">
        <w:rPr>
          <w:rFonts w:eastAsia="Times New Roman" w:cs="Times New Roman"/>
        </w:rPr>
        <w:t xml:space="preserve">king of </w:t>
      </w:r>
      <w:r w:rsidR="007864E5" w:rsidRPr="00B740B4">
        <w:rPr>
          <w:rFonts w:eastAsia="Times New Roman" w:cs="Times New Roman"/>
        </w:rPr>
        <w:t xml:space="preserve">the </w:t>
      </w:r>
      <w:r w:rsidR="00C93CC0" w:rsidRPr="00B740B4">
        <w:rPr>
          <w:rFonts w:eastAsia="Times New Roman" w:cs="Times New Roman"/>
        </w:rPr>
        <w:t>heaven</w:t>
      </w:r>
      <w:r w:rsidR="007864E5" w:rsidRPr="00B740B4">
        <w:rPr>
          <w:rFonts w:eastAsia="Times New Roman" w:cs="Times New Roman"/>
        </w:rPr>
        <w:t>s</w:t>
      </w:r>
      <w:r w:rsidR="0091707B" w:rsidRPr="00B740B4">
        <w:rPr>
          <w:rFonts w:eastAsia="Times New Roman" w:cs="Times New Roman"/>
        </w:rPr>
        <w:t xml:space="preserve"> (v 37</w:t>
      </w:r>
      <w:r w:rsidR="00C93CC0" w:rsidRPr="00B740B4">
        <w:rPr>
          <w:rFonts w:eastAsia="Times New Roman" w:cs="Times New Roman"/>
        </w:rPr>
        <w:t xml:space="preserve">), bringing together the two </w:t>
      </w:r>
      <w:r>
        <w:rPr>
          <w:rFonts w:eastAsia="Times New Roman" w:cs="Times New Roman"/>
        </w:rPr>
        <w:t xml:space="preserve">key </w:t>
      </w:r>
      <w:r w:rsidR="00C93CC0" w:rsidRPr="00B740B4">
        <w:rPr>
          <w:rFonts w:eastAsia="Times New Roman" w:cs="Times New Roman"/>
        </w:rPr>
        <w:t>fields of te</w:t>
      </w:r>
      <w:r w:rsidR="002179F6" w:rsidRPr="00B740B4">
        <w:rPr>
          <w:rFonts w:eastAsia="Times New Roman" w:cs="Times New Roman"/>
        </w:rPr>
        <w:t xml:space="preserve">rms we have noted. </w:t>
      </w:r>
      <w:r w:rsidR="00C93CC0" w:rsidRPr="00B740B4">
        <w:rPr>
          <w:rFonts w:eastAsia="Times New Roman" w:cs="Times New Roman"/>
        </w:rPr>
        <w:t>Nor does any other</w:t>
      </w:r>
      <w:r w:rsidR="0091707B" w:rsidRPr="00B740B4">
        <w:rPr>
          <w:rFonts w:eastAsia="Times New Roman" w:cs="Times New Roman"/>
        </w:rPr>
        <w:t xml:space="preserve"> </w:t>
      </w:r>
      <w:r w:rsidR="00C93CC0" w:rsidRPr="00B740B4">
        <w:rPr>
          <w:rFonts w:eastAsia="Times New Roman" w:cs="Times New Roman"/>
        </w:rPr>
        <w:t xml:space="preserve">chapter of the OT use as often the related title </w:t>
      </w:r>
      <w:r w:rsidR="00155FA8" w:rsidRPr="00B740B4">
        <w:rPr>
          <w:rFonts w:eastAsia="Times New Roman" w:cs="Times New Roman"/>
          <w:i/>
        </w:rPr>
        <w:t>One On High</w:t>
      </w:r>
      <w:r w:rsidR="0091707B" w:rsidRPr="00B740B4">
        <w:rPr>
          <w:rFonts w:eastAsia="Times New Roman" w:cs="Times New Roman"/>
        </w:rPr>
        <w:t>: vv 2, 17, 24, 25, 32, 34</w:t>
      </w:r>
      <w:r w:rsidR="002179F6" w:rsidRPr="00B740B4">
        <w:rPr>
          <w:rFonts w:eastAsia="Times New Roman" w:cs="Times New Roman"/>
        </w:rPr>
        <w:t>.</w:t>
      </w:r>
      <w:r w:rsidR="00C93CC0" w:rsidRPr="00B740B4">
        <w:rPr>
          <w:rFonts w:eastAsia="Times New Roman" w:cs="Times New Roman"/>
        </w:rPr>
        <w:t xml:space="preserve"> In their various senses </w:t>
      </w:r>
      <w:r w:rsidR="00C93CC0" w:rsidRPr="00B740B4">
        <w:rPr>
          <w:rFonts w:ascii="Arial" w:eastAsia="Times New Roman" w:hAnsi="Arial" w:cs="Arial"/>
        </w:rPr>
        <w:t>שמין</w:t>
      </w:r>
      <w:r w:rsidR="00C93CC0" w:rsidRPr="00B740B4">
        <w:rPr>
          <w:rFonts w:eastAsia="Times New Roman" w:cs="Times New Roman"/>
        </w:rPr>
        <w:t xml:space="preserve"> and </w:t>
      </w:r>
      <w:r w:rsidRPr="005119F6">
        <w:rPr>
          <w:rFonts w:ascii="Arial" w:eastAsia="Times New Roman" w:hAnsi="Arial" w:cs="Arial"/>
        </w:rPr>
        <w:t>ע</w:t>
      </w:r>
      <w:r w:rsidRPr="005119F6">
        <w:rPr>
          <w:rFonts w:eastAsia="Times New Roman" w:cs="Times New Roman"/>
        </w:rPr>
        <w:t xml:space="preserve"> </w:t>
      </w:r>
      <w:r w:rsidRPr="005119F6">
        <w:rPr>
          <w:rFonts w:ascii="Arial" w:eastAsia="Times New Roman" w:hAnsi="Arial" w:cs="Arial"/>
        </w:rPr>
        <w:t>ר</w:t>
      </w:r>
      <w:r w:rsidRPr="005119F6">
        <w:rPr>
          <w:rFonts w:eastAsia="Times New Roman" w:cs="Times New Roman"/>
        </w:rPr>
        <w:t xml:space="preserve"> </w:t>
      </w:r>
      <w:r w:rsidRPr="005119F6">
        <w:rPr>
          <w:rFonts w:ascii="Arial" w:eastAsia="Times New Roman" w:hAnsi="Arial" w:cs="Arial"/>
        </w:rPr>
        <w:t>א</w:t>
      </w:r>
      <w:r w:rsidRPr="005119F6">
        <w:rPr>
          <w:rFonts w:eastAsia="Times New Roman" w:cs="Times New Roman"/>
        </w:rPr>
        <w:t xml:space="preserve"> </w:t>
      </w:r>
      <w:r w:rsidR="00C93CC0" w:rsidRPr="00B740B4">
        <w:rPr>
          <w:rFonts w:eastAsia="Times New Roman" w:cs="Times New Roman"/>
        </w:rPr>
        <w:t>can both confront and associate with each other, setting up both links and tensions within the passage.</w:t>
      </w:r>
    </w:p>
    <w:p w:rsidR="00C93CC0" w:rsidRPr="00B740B4" w:rsidRDefault="00C93CC0" w:rsidP="00242800">
      <w:pPr>
        <w:widowControl w:val="0"/>
        <w:rPr>
          <w:rFonts w:eastAsia="Times New Roman" w:cs="Times New Roman"/>
        </w:rPr>
      </w:pPr>
      <w:r w:rsidRPr="00B740B4">
        <w:rPr>
          <w:rFonts w:eastAsia="Times New Roman" w:cs="Times New Roman"/>
        </w:rPr>
        <w:t>The accounts of Nebuchadnezzar’s dream, its interpretation, and its fulfillment introduce a more sustained lyrical strain to the main body of the chapter. Nebuchadnezzar’s descripti</w:t>
      </w:r>
      <w:r w:rsidR="0091707B" w:rsidRPr="00B740B4">
        <w:rPr>
          <w:rFonts w:eastAsia="Times New Roman" w:cs="Times New Roman"/>
        </w:rPr>
        <w:t>on of his own situation in v 4</w:t>
      </w:r>
      <w:r w:rsidRPr="00B740B4">
        <w:rPr>
          <w:rFonts w:eastAsia="Times New Roman" w:cs="Times New Roman"/>
        </w:rPr>
        <w:t>, the only non</w:t>
      </w:r>
      <w:r w:rsidR="0091707B" w:rsidRPr="00B740B4">
        <w:rPr>
          <w:rFonts w:eastAsia="Times New Roman" w:cs="Times New Roman"/>
        </w:rPr>
        <w:t>-</w:t>
      </w:r>
      <w:r w:rsidRPr="00B740B4">
        <w:rPr>
          <w:rFonts w:eastAsia="Times New Roman" w:cs="Times New Roman"/>
        </w:rPr>
        <w:t>stock element in the material that precedes the dream, anticipates both the theme of the “thriving” tree tha</w:t>
      </w:r>
      <w:r w:rsidR="0091707B" w:rsidRPr="00B740B4">
        <w:rPr>
          <w:rFonts w:eastAsia="Times New Roman" w:cs="Times New Roman"/>
        </w:rPr>
        <w:t xml:space="preserve">t is first described in vv 10b–12 and </w:t>
      </w:r>
      <w:r w:rsidRPr="00B740B4">
        <w:rPr>
          <w:rFonts w:eastAsia="Times New Roman" w:cs="Times New Roman"/>
        </w:rPr>
        <w:t xml:space="preserve">the content of Daniel’s exhortation </w:t>
      </w:r>
      <w:r w:rsidR="002179F6" w:rsidRPr="00B740B4">
        <w:rPr>
          <w:rFonts w:eastAsia="Times New Roman" w:cs="Times New Roman"/>
        </w:rPr>
        <w:t xml:space="preserve">in v 27 </w:t>
      </w:r>
      <w:r w:rsidRPr="00B740B4">
        <w:rPr>
          <w:rFonts w:eastAsia="Times New Roman" w:cs="Times New Roman"/>
        </w:rPr>
        <w:t>regarding a prolonging of Ne</w:t>
      </w:r>
      <w:r w:rsidR="002179F6" w:rsidRPr="00B740B4">
        <w:rPr>
          <w:rFonts w:eastAsia="Times New Roman" w:cs="Times New Roman"/>
        </w:rPr>
        <w:t>buchadnezzar’s success</w:t>
      </w:r>
      <w:r w:rsidRPr="00B740B4">
        <w:rPr>
          <w:rFonts w:eastAsia="Times New Roman" w:cs="Times New Roman"/>
        </w:rPr>
        <w:t xml:space="preserve">. The second part of the dream uses the lyricism to solemn, foreboding effect. Its implicit significance is made explicit in more prosaic and direct theological </w:t>
      </w:r>
      <w:r w:rsidR="0091707B" w:rsidRPr="00B740B4">
        <w:rPr>
          <w:rFonts w:eastAsia="Times New Roman" w:cs="Times New Roman"/>
        </w:rPr>
        <w:t>terms and parenesis (vv 17b, 27</w:t>
      </w:r>
      <w:r w:rsidRPr="00B740B4">
        <w:rPr>
          <w:rFonts w:eastAsia="Times New Roman" w:cs="Times New Roman"/>
        </w:rPr>
        <w:t>). Opinion varies as to how far to present the dream material as lyrical prose or as loose verse; I have followed BHS</w:t>
      </w:r>
      <w:r w:rsidR="0091707B" w:rsidRPr="00B740B4">
        <w:rPr>
          <w:rFonts w:eastAsia="Times New Roman" w:cs="Times New Roman"/>
        </w:rPr>
        <w:t>, but</w:t>
      </w:r>
      <w:r w:rsidRPr="00B740B4">
        <w:rPr>
          <w:rFonts w:eastAsia="Times New Roman" w:cs="Times New Roman"/>
        </w:rPr>
        <w:t xml:space="preserve"> </w:t>
      </w:r>
      <w:r w:rsidR="0091707B" w:rsidRPr="00B740B4">
        <w:rPr>
          <w:rFonts w:eastAsia="Times New Roman" w:cs="Times New Roman"/>
        </w:rPr>
        <w:t>Lee</w:t>
      </w:r>
      <w:r w:rsidR="0091707B" w:rsidRPr="00B740B4">
        <w:rPr>
          <w:rStyle w:val="FootnoteReference"/>
          <w:rFonts w:eastAsia="Times New Roman" w:cs="Times New Roman"/>
        </w:rPr>
        <w:footnoteReference w:id="717"/>
      </w:r>
      <w:r w:rsidR="00922F24" w:rsidRPr="00B740B4">
        <w:rPr>
          <w:rFonts w:eastAsia="Times New Roman" w:cs="Times New Roman"/>
        </w:rPr>
        <w:t xml:space="preserve"> not only sees vv 4-5 as continuing the poetry of </w:t>
      </w:r>
      <w:r w:rsidR="00AF422C">
        <w:rPr>
          <w:rFonts w:eastAsia="Times New Roman" w:cs="Times New Roman"/>
        </w:rPr>
        <w:t>v</w:t>
      </w:r>
      <w:r w:rsidR="00922F24" w:rsidRPr="00B740B4">
        <w:rPr>
          <w:rFonts w:eastAsia="Times New Roman" w:cs="Times New Roman"/>
        </w:rPr>
        <w:t xml:space="preserve"> 3 but sees vv 10b-17 as originally the continuation of that poem. </w:t>
      </w:r>
      <w:r w:rsidRPr="00B740B4">
        <w:rPr>
          <w:rFonts w:eastAsia="Times New Roman" w:cs="Times New Roman"/>
        </w:rPr>
        <w:t xml:space="preserve">The chapter is as repetitive as others, yet </w:t>
      </w:r>
      <w:r w:rsidR="00C36994" w:rsidRPr="00B740B4">
        <w:rPr>
          <w:rFonts w:eastAsia="Times New Roman" w:cs="Times New Roman"/>
        </w:rPr>
        <w:t xml:space="preserve">it </w:t>
      </w:r>
      <w:r w:rsidRPr="00B740B4">
        <w:rPr>
          <w:rFonts w:eastAsia="Times New Roman" w:cs="Times New Roman"/>
        </w:rPr>
        <w:t>sustains interest by the use of v</w:t>
      </w:r>
      <w:r w:rsidR="00D9161B">
        <w:rPr>
          <w:rFonts w:eastAsia="Times New Roman" w:cs="Times New Roman"/>
        </w:rPr>
        <w:t>ariation, drama, and suspense; the repetition</w:t>
      </w:r>
      <w:r w:rsidRPr="00B740B4">
        <w:rPr>
          <w:rFonts w:eastAsia="Times New Roman" w:cs="Times New Roman"/>
        </w:rPr>
        <w:t xml:space="preserve"> is the r</w:t>
      </w:r>
      <w:r w:rsidR="00D9161B">
        <w:rPr>
          <w:rFonts w:eastAsia="Times New Roman" w:cs="Times New Roman"/>
        </w:rPr>
        <w:t>epetition of literary technique</w:t>
      </w:r>
      <w:r w:rsidRPr="00B740B4">
        <w:rPr>
          <w:rFonts w:eastAsia="Times New Roman" w:cs="Times New Roman"/>
        </w:rPr>
        <w:t xml:space="preserve"> rather than the </w:t>
      </w:r>
      <w:r w:rsidR="00594626" w:rsidRPr="00B740B4">
        <w:rPr>
          <w:rFonts w:eastAsia="Times New Roman" w:cs="Times New Roman"/>
        </w:rPr>
        <w:t>more artless repetition of folk</w:t>
      </w:r>
      <w:r w:rsidRPr="00B740B4">
        <w:rPr>
          <w:rFonts w:eastAsia="Times New Roman" w:cs="Times New Roman"/>
        </w:rPr>
        <w:t>tale.</w:t>
      </w:r>
    </w:p>
    <w:p w:rsidR="00924723" w:rsidRPr="00B740B4" w:rsidRDefault="00D9161B" w:rsidP="00242800">
      <w:pPr>
        <w:widowControl w:val="0"/>
        <w:rPr>
          <w:rFonts w:eastAsia="Times New Roman" w:cs="Times New Roman"/>
        </w:rPr>
      </w:pPr>
      <w:r>
        <w:rPr>
          <w:rFonts w:eastAsia="Times New Roman" w:cs="Times New Roman"/>
        </w:rPr>
        <w:t xml:space="preserve">As </w:t>
      </w:r>
      <w:r w:rsidR="009D01AC">
        <w:rPr>
          <w:rFonts w:eastAsia="Times New Roman" w:cs="Times New Roman"/>
        </w:rPr>
        <w:t xml:space="preserve">the book of </w:t>
      </w:r>
      <w:r>
        <w:rPr>
          <w:rFonts w:eastAsia="Times New Roman" w:cs="Times New Roman"/>
        </w:rPr>
        <w:t xml:space="preserve">Daniel </w:t>
      </w:r>
      <w:r w:rsidR="00924723" w:rsidRPr="00B740B4">
        <w:rPr>
          <w:rFonts w:eastAsia="Times New Roman" w:cs="Times New Roman"/>
        </w:rPr>
        <w:t>combines Hebrew and Aramaic in the manner of Ezra-Nehemiah, so it combines first</w:t>
      </w:r>
      <w:r w:rsidR="00C36994" w:rsidRPr="00B740B4">
        <w:rPr>
          <w:rFonts w:eastAsia="Times New Roman" w:cs="Times New Roman"/>
        </w:rPr>
        <w:t>- and third-person ways of narrat</w:t>
      </w:r>
      <w:r w:rsidR="00924723" w:rsidRPr="00B740B4">
        <w:rPr>
          <w:rFonts w:eastAsia="Times New Roman" w:cs="Times New Roman"/>
        </w:rPr>
        <w:t>ing in the manner of Ezra-Nehemiah</w:t>
      </w:r>
      <w:r w:rsidR="00C36994" w:rsidRPr="00B740B4">
        <w:rPr>
          <w:rFonts w:eastAsia="Times New Roman" w:cs="Times New Roman"/>
        </w:rPr>
        <w:t xml:space="preserve"> and Tobit</w:t>
      </w:r>
      <w:r w:rsidR="009D01AC">
        <w:rPr>
          <w:rFonts w:eastAsia="Times New Roman" w:cs="Times New Roman"/>
        </w:rPr>
        <w:t>.</w:t>
      </w:r>
      <w:r w:rsidR="00C7253B">
        <w:rPr>
          <w:rStyle w:val="FootnoteReference"/>
          <w:rFonts w:eastAsia="Times New Roman" w:cs="Times New Roman"/>
        </w:rPr>
        <w:footnoteReference w:id="718"/>
      </w:r>
      <w:r w:rsidR="009D01AC">
        <w:rPr>
          <w:rFonts w:eastAsia="Times New Roman" w:cs="Times New Roman"/>
        </w:rPr>
        <w:t xml:space="preserve"> T</w:t>
      </w:r>
      <w:r w:rsidR="00924723" w:rsidRPr="00B740B4">
        <w:rPr>
          <w:rFonts w:eastAsia="Times New Roman" w:cs="Times New Roman"/>
        </w:rPr>
        <w:t>his chapter does so in a distinctively integral fashion.</w:t>
      </w:r>
      <w:r w:rsidR="00F8551A" w:rsidRPr="00B740B4">
        <w:rPr>
          <w:rFonts w:eastAsia="Times New Roman" w:cs="Times New Roman"/>
        </w:rPr>
        <w:t xml:space="preserve"> </w:t>
      </w:r>
      <w:r w:rsidR="009D01AC" w:rsidRPr="00B740B4">
        <w:rPr>
          <w:rFonts w:eastAsia="Times New Roman" w:cs="Times New Roman"/>
        </w:rPr>
        <w:t xml:space="preserve">“The story is not only that of Nebuchadnezzar: it is </w:t>
      </w:r>
      <w:r w:rsidR="009D01AC" w:rsidRPr="00B740B4">
        <w:rPr>
          <w:rFonts w:eastAsia="Times New Roman" w:cs="Times New Roman"/>
        </w:rPr>
        <w:lastRenderedPageBreak/>
        <w:t>also about Nebuchadnezzar.”</w:t>
      </w:r>
      <w:r w:rsidR="009D01AC" w:rsidRPr="00B740B4">
        <w:rPr>
          <w:rStyle w:val="FootnoteReference"/>
          <w:rFonts w:eastAsia="Times New Roman" w:cs="Times New Roman"/>
        </w:rPr>
        <w:footnoteReference w:id="719"/>
      </w:r>
      <w:r w:rsidR="009D01AC" w:rsidRPr="00B740B4">
        <w:rPr>
          <w:rFonts w:eastAsia="Times New Roman" w:cs="Times New Roman"/>
        </w:rPr>
        <w:t xml:space="preserve"> </w:t>
      </w:r>
      <w:r w:rsidR="00C36994" w:rsidRPr="00B740B4">
        <w:rPr>
          <w:rFonts w:eastAsia="Times New Roman" w:cs="Times New Roman"/>
        </w:rPr>
        <w:t>Combini</w:t>
      </w:r>
      <w:r w:rsidR="009D01AC">
        <w:rPr>
          <w:rFonts w:eastAsia="Times New Roman" w:cs="Times New Roman"/>
        </w:rPr>
        <w:t>ng a testimony</w:t>
      </w:r>
      <w:r w:rsidR="00C36994" w:rsidRPr="00B740B4">
        <w:rPr>
          <w:rFonts w:eastAsia="Times New Roman" w:cs="Times New Roman"/>
        </w:rPr>
        <w:t xml:space="preserve"> (vv 1</w:t>
      </w:r>
      <w:r w:rsidR="009D01AC">
        <w:rPr>
          <w:rFonts w:eastAsia="Times New Roman" w:cs="Times New Roman"/>
        </w:rPr>
        <w:t xml:space="preserve">-17, 34-37) with </w:t>
      </w:r>
      <w:r w:rsidR="00C36994" w:rsidRPr="00B740B4">
        <w:rPr>
          <w:rFonts w:eastAsia="Times New Roman" w:cs="Times New Roman"/>
        </w:rPr>
        <w:t>narrative (vv 19–33) has a dramatic effect</w:t>
      </w:r>
      <w:r w:rsidR="009D01AC">
        <w:rPr>
          <w:rFonts w:eastAsia="Times New Roman" w:cs="Times New Roman"/>
        </w:rPr>
        <w:t>: it enables t</w:t>
      </w:r>
      <w:r w:rsidR="00F8551A" w:rsidRPr="00B740B4">
        <w:rPr>
          <w:rFonts w:eastAsia="Times New Roman" w:cs="Times New Roman"/>
        </w:rPr>
        <w:t xml:space="preserve">he </w:t>
      </w:r>
      <w:r w:rsidR="00C36994" w:rsidRPr="00B740B4">
        <w:rPr>
          <w:rFonts w:eastAsia="Times New Roman" w:cs="Times New Roman"/>
        </w:rPr>
        <w:t xml:space="preserve">chapter </w:t>
      </w:r>
      <w:r w:rsidR="009D01AC">
        <w:rPr>
          <w:rFonts w:eastAsia="Times New Roman" w:cs="Times New Roman"/>
        </w:rPr>
        <w:t xml:space="preserve">to </w:t>
      </w:r>
      <w:r w:rsidR="00F8551A" w:rsidRPr="00B740B4">
        <w:rPr>
          <w:rFonts w:eastAsia="Times New Roman" w:cs="Times New Roman"/>
        </w:rPr>
        <w:t xml:space="preserve">tell the story from two points of view or perpectives, </w:t>
      </w:r>
      <w:r w:rsidR="009D01AC">
        <w:rPr>
          <w:rFonts w:eastAsia="Times New Roman" w:cs="Times New Roman"/>
        </w:rPr>
        <w:t xml:space="preserve">from </w:t>
      </w:r>
      <w:r w:rsidR="00F8551A" w:rsidRPr="00B740B4">
        <w:rPr>
          <w:rFonts w:eastAsia="Times New Roman" w:cs="Times New Roman"/>
        </w:rPr>
        <w:t>the implicit angle of the na</w:t>
      </w:r>
      <w:r w:rsidR="00C36994" w:rsidRPr="00B740B4">
        <w:rPr>
          <w:rFonts w:eastAsia="Times New Roman" w:cs="Times New Roman"/>
        </w:rPr>
        <w:t>rrator (which the narrator pres</w:t>
      </w:r>
      <w:r w:rsidR="00F8551A" w:rsidRPr="00B740B4">
        <w:rPr>
          <w:rFonts w:eastAsia="Times New Roman" w:cs="Times New Roman"/>
        </w:rPr>
        <w:t xml:space="preserve">umably expects us to accept) and </w:t>
      </w:r>
      <w:r w:rsidR="009D01AC">
        <w:rPr>
          <w:rFonts w:eastAsia="Times New Roman" w:cs="Times New Roman"/>
        </w:rPr>
        <w:t xml:space="preserve">from </w:t>
      </w:r>
      <w:r w:rsidR="00F8551A" w:rsidRPr="00B740B4">
        <w:rPr>
          <w:rFonts w:eastAsia="Times New Roman" w:cs="Times New Roman"/>
        </w:rPr>
        <w:t>the explicit</w:t>
      </w:r>
      <w:r w:rsidR="009D01AC">
        <w:rPr>
          <w:rFonts w:eastAsia="Times New Roman" w:cs="Times New Roman"/>
        </w:rPr>
        <w:t xml:space="preserve"> angle of Nebuchadnezzar</w:t>
      </w:r>
      <w:r w:rsidR="00F8551A" w:rsidRPr="00B740B4">
        <w:rPr>
          <w:rFonts w:eastAsia="Times New Roman" w:cs="Times New Roman"/>
        </w:rPr>
        <w:t xml:space="preserve"> (which the narrator may or may not expect us to accept). </w:t>
      </w:r>
      <w:r w:rsidR="00D05CE8" w:rsidRPr="00B740B4">
        <w:rPr>
          <w:rFonts w:eastAsia="Times New Roman" w:cs="Times New Roman"/>
        </w:rPr>
        <w:t>Indeed, we get three perspectives in the chapter, insofar as it also reports the words of Daniel. In the context of the book as a whole, we might assume that we are expected to accept Daniel’s angle, but to be more suspicious of Nebuchadnezzar’s.</w:t>
      </w:r>
      <w:r w:rsidR="00684441">
        <w:rPr>
          <w:rStyle w:val="FootnoteReference"/>
          <w:rFonts w:eastAsia="Times New Roman" w:cs="Times New Roman"/>
        </w:rPr>
        <w:footnoteReference w:id="720"/>
      </w:r>
    </w:p>
    <w:p w:rsidR="00CB10AA" w:rsidRPr="00B740B4" w:rsidRDefault="000130CC" w:rsidP="00CB10AA">
      <w:pPr>
        <w:pStyle w:val="Heading3"/>
      </w:pPr>
      <w:r w:rsidRPr="00B740B4">
        <w:t>Setting</w:t>
      </w:r>
    </w:p>
    <w:p w:rsidR="00B91976" w:rsidRPr="00B740B4" w:rsidRDefault="00B91976" w:rsidP="00BC0402">
      <w:pPr>
        <w:rPr>
          <w:rFonts w:eastAsia="Times New Roman"/>
          <w:noProof/>
        </w:rPr>
      </w:pPr>
    </w:p>
    <w:p w:rsidR="00BC0402" w:rsidRPr="00B740B4" w:rsidRDefault="000130CC" w:rsidP="00BC0402">
      <w:pPr>
        <w:rPr>
          <w:rFonts w:eastAsia="Times New Roman"/>
          <w:noProof/>
        </w:rPr>
      </w:pPr>
      <w:r w:rsidRPr="00B740B4">
        <w:rPr>
          <w:rFonts w:eastAsia="Times New Roman"/>
          <w:noProof/>
        </w:rPr>
        <w:t>Th</w:t>
      </w:r>
      <w:r w:rsidR="00C822C0">
        <w:rPr>
          <w:rFonts w:eastAsia="Times New Roman"/>
          <w:noProof/>
        </w:rPr>
        <w:t xml:space="preserve">e Qumran “Prayer of Nabonidus” </w:t>
      </w:r>
      <w:r w:rsidR="00C36994" w:rsidRPr="00B740B4">
        <w:rPr>
          <w:rFonts w:eastAsia="Times New Roman"/>
          <w:noProof/>
        </w:rPr>
        <w:t>show</w:t>
      </w:r>
      <w:r w:rsidR="00C822C0">
        <w:rPr>
          <w:rFonts w:eastAsia="Times New Roman"/>
          <w:noProof/>
        </w:rPr>
        <w:t>s</w:t>
      </w:r>
      <w:r w:rsidR="00C93CC0" w:rsidRPr="00B740B4">
        <w:rPr>
          <w:rFonts w:eastAsia="Times New Roman"/>
          <w:noProof/>
        </w:rPr>
        <w:t xml:space="preserve"> that material such as this </w:t>
      </w:r>
      <w:r w:rsidR="00BC0402" w:rsidRPr="00B740B4">
        <w:rPr>
          <w:rFonts w:eastAsia="Times New Roman"/>
          <w:noProof/>
        </w:rPr>
        <w:t xml:space="preserve">testimony </w:t>
      </w:r>
      <w:r w:rsidR="00C93CC0" w:rsidRPr="00B740B4">
        <w:rPr>
          <w:rFonts w:eastAsia="Times New Roman"/>
          <w:noProof/>
        </w:rPr>
        <w:t>could be of interest in Greco</w:t>
      </w:r>
      <w:r w:rsidR="00937E85" w:rsidRPr="00B740B4">
        <w:rPr>
          <w:rFonts w:eastAsia="Times New Roman"/>
          <w:noProof/>
        </w:rPr>
        <w:t>-Roman Palestine</w:t>
      </w:r>
      <w:r w:rsidR="00BC0402" w:rsidRPr="00B740B4">
        <w:rPr>
          <w:rFonts w:eastAsia="Times New Roman"/>
          <w:noProof/>
        </w:rPr>
        <w:t xml:space="preserve"> and </w:t>
      </w:r>
      <w:r w:rsidR="00C93CC0" w:rsidRPr="00B740B4">
        <w:rPr>
          <w:rFonts w:eastAsia="Times New Roman"/>
          <w:noProof/>
        </w:rPr>
        <w:t>could function as an attack on</w:t>
      </w:r>
      <w:r w:rsidR="00BC0402" w:rsidRPr="00B740B4">
        <w:rPr>
          <w:rFonts w:eastAsia="Times New Roman"/>
          <w:noProof/>
        </w:rPr>
        <w:t xml:space="preserve"> Hell</w:t>
      </w:r>
      <w:r w:rsidR="00C36994" w:rsidRPr="00B740B4">
        <w:rPr>
          <w:rFonts w:eastAsia="Times New Roman"/>
          <w:noProof/>
        </w:rPr>
        <w:t>enistic kingship ideology,</w:t>
      </w:r>
      <w:r w:rsidR="00BC0402" w:rsidRPr="00B740B4">
        <w:rPr>
          <w:rStyle w:val="FootnoteReference"/>
          <w:rFonts w:eastAsia="Times New Roman" w:cs="Times New Roman"/>
          <w:noProof/>
        </w:rPr>
        <w:footnoteReference w:id="721"/>
      </w:r>
      <w:r w:rsidR="00C36994" w:rsidRPr="00B740B4">
        <w:rPr>
          <w:rFonts w:eastAsia="Times New Roman"/>
          <w:noProof/>
        </w:rPr>
        <w:t xml:space="preserve"> and </w:t>
      </w:r>
      <w:r w:rsidR="00937E85" w:rsidRPr="00B740B4">
        <w:rPr>
          <w:rFonts w:eastAsia="Times New Roman"/>
          <w:noProof/>
        </w:rPr>
        <w:t xml:space="preserve">Hippolytus notes </w:t>
      </w:r>
      <w:r w:rsidR="00BC0402" w:rsidRPr="00B740B4">
        <w:rPr>
          <w:rFonts w:eastAsia="Times New Roman"/>
          <w:noProof/>
        </w:rPr>
        <w:t>p</w:t>
      </w:r>
      <w:r w:rsidR="00C36994" w:rsidRPr="00B740B4">
        <w:rPr>
          <w:rFonts w:eastAsia="Times New Roman"/>
          <w:noProof/>
        </w:rPr>
        <w:t>arallels between</w:t>
      </w:r>
      <w:r w:rsidR="00C93CC0" w:rsidRPr="00B740B4">
        <w:rPr>
          <w:rFonts w:eastAsia="Times New Roman"/>
          <w:noProof/>
        </w:rPr>
        <w:t xml:space="preserve"> </w:t>
      </w:r>
      <w:r w:rsidR="00C36994" w:rsidRPr="00B740B4">
        <w:rPr>
          <w:rFonts w:eastAsia="Times New Roman"/>
          <w:noProof/>
        </w:rPr>
        <w:t xml:space="preserve">Nebuchadnezzar and </w:t>
      </w:r>
      <w:r w:rsidR="00C93CC0" w:rsidRPr="00B740B4">
        <w:rPr>
          <w:rFonts w:eastAsia="Times New Roman"/>
          <w:noProof/>
        </w:rPr>
        <w:t xml:space="preserve">the proud </w:t>
      </w:r>
      <w:r w:rsidR="00937E85" w:rsidRPr="00B740B4">
        <w:rPr>
          <w:rFonts w:eastAsia="Times New Roman"/>
          <w:noProof/>
        </w:rPr>
        <w:t>Antiochus Epiphanes (cf. 11:37)</w:t>
      </w:r>
      <w:r w:rsidR="00C93CC0" w:rsidRPr="00B740B4">
        <w:rPr>
          <w:rFonts w:eastAsia="Times New Roman"/>
          <w:noProof/>
        </w:rPr>
        <w:t xml:space="preserve"> who was lampooned as Epimanes (Madman) and who acknowledged God on his deathbed </w:t>
      </w:r>
      <w:r w:rsidR="00C36994" w:rsidRPr="00B740B4">
        <w:rPr>
          <w:rFonts w:eastAsia="Times New Roman"/>
          <w:noProof/>
        </w:rPr>
        <w:t>according to 2 Macc 9.</w:t>
      </w:r>
      <w:r w:rsidR="00937E85" w:rsidRPr="00B740B4">
        <w:rPr>
          <w:rStyle w:val="FootnoteReference"/>
          <w:rFonts w:eastAsia="Times New Roman"/>
          <w:noProof/>
        </w:rPr>
        <w:footnoteReference w:id="722"/>
      </w:r>
      <w:r w:rsidR="00C36994" w:rsidRPr="00B740B4">
        <w:rPr>
          <w:rFonts w:eastAsia="Times New Roman"/>
          <w:noProof/>
        </w:rPr>
        <w:t xml:space="preserve"> B</w:t>
      </w:r>
      <w:r w:rsidR="00BC0402" w:rsidRPr="00B740B4">
        <w:rPr>
          <w:rFonts w:eastAsia="Times New Roman"/>
          <w:noProof/>
        </w:rPr>
        <w:t xml:space="preserve">ut the parallels </w:t>
      </w:r>
      <w:r w:rsidR="00C93CC0" w:rsidRPr="00B740B4">
        <w:rPr>
          <w:rFonts w:eastAsia="Times New Roman"/>
          <w:noProof/>
        </w:rPr>
        <w:t>are too broad to suggest that Nebuchadnezzar directly mirrors Antiochus. The latter</w:t>
      </w:r>
      <w:r w:rsidR="00C822C0">
        <w:rPr>
          <w:rFonts w:eastAsia="Times New Roman"/>
          <w:noProof/>
        </w:rPr>
        <w:t xml:space="preserve">’s character and story are </w:t>
      </w:r>
      <w:r w:rsidR="00C93CC0" w:rsidRPr="00B740B4">
        <w:rPr>
          <w:rFonts w:eastAsia="Times New Roman"/>
          <w:noProof/>
        </w:rPr>
        <w:t>different,</w:t>
      </w:r>
      <w:r w:rsidR="00BC0402" w:rsidRPr="00B740B4">
        <w:rPr>
          <w:rStyle w:val="FootnoteReference"/>
          <w:rFonts w:eastAsia="Times New Roman" w:cs="Times New Roman"/>
          <w:noProof/>
        </w:rPr>
        <w:footnoteReference w:id="723"/>
      </w:r>
      <w:r w:rsidR="00C93CC0" w:rsidRPr="00B740B4">
        <w:rPr>
          <w:rFonts w:eastAsia="Times New Roman"/>
          <w:noProof/>
        </w:rPr>
        <w:t xml:space="preserve"> and Daniel has different hopes of him (11:40–45). There are no concrete indications than Dan 4 was composed in Greco-Roman Palestine; the eastern dispersion is the more natural context. </w:t>
      </w:r>
    </w:p>
    <w:p w:rsidR="00C93CC0" w:rsidRPr="00472187" w:rsidRDefault="00A34924" w:rsidP="00BC0402">
      <w:pPr>
        <w:rPr>
          <w:rFonts w:eastAsia="Times New Roman" w:cs="Times New Roman"/>
          <w:noProof/>
        </w:rPr>
      </w:pPr>
      <w:r w:rsidRPr="00B740B4">
        <w:rPr>
          <w:rFonts w:eastAsia="Times New Roman" w:cs="Times New Roman"/>
          <w:noProof/>
        </w:rPr>
        <w:t>T</w:t>
      </w:r>
      <w:r w:rsidR="00C07F8F" w:rsidRPr="00B740B4">
        <w:rPr>
          <w:rFonts w:eastAsia="Times New Roman" w:cs="Times New Roman"/>
          <w:noProof/>
        </w:rPr>
        <w:t>he substantial diference between MT and OG may suggests that there we</w:t>
      </w:r>
      <w:r w:rsidRPr="00B740B4">
        <w:rPr>
          <w:rFonts w:eastAsia="Times New Roman" w:cs="Times New Roman"/>
          <w:noProof/>
        </w:rPr>
        <w:t xml:space="preserve">re several versions of the story. </w:t>
      </w:r>
      <w:r w:rsidR="00472187">
        <w:rPr>
          <w:rFonts w:eastAsia="Times New Roman" w:cs="Times New Roman"/>
          <w:noProof/>
        </w:rPr>
        <w:t xml:space="preserve">In particular, </w:t>
      </w:r>
      <w:r w:rsidR="00472187" w:rsidRPr="00F5286D">
        <w:rPr>
          <w:rFonts w:eastAsia="Times New Roman" w:cs="Times New Roman"/>
          <w:noProof/>
        </w:rPr>
        <w:t>OG includes a substantially more elaborate version of vv 34-37 that partly corresponds to the content of vv 1-3 (which do not appear in OG) but is also substantially longer than the MT version. It spells out the nature of Nebuchadnezzar’s kingship and expands on his expression of commitment to the One On High.</w:t>
      </w:r>
      <w:r w:rsidR="00472187" w:rsidRPr="00F5286D">
        <w:rPr>
          <w:rFonts w:eastAsia="Times New Roman" w:cs="Times New Roman"/>
          <w:noProof/>
          <w:vertAlign w:val="superscript"/>
        </w:rPr>
        <w:footnoteReference w:id="724"/>
      </w:r>
      <w:r w:rsidR="00472187">
        <w:rPr>
          <w:rFonts w:eastAsia="Times New Roman" w:cs="Times New Roman"/>
          <w:noProof/>
        </w:rPr>
        <w:t xml:space="preserve"> The suggestion has been made that </w:t>
      </w:r>
      <w:r w:rsidR="004F5838" w:rsidRPr="00B740B4">
        <w:rPr>
          <w:rFonts w:eastAsia="Times New Roman" w:cs="Times New Roman"/>
          <w:noProof/>
        </w:rPr>
        <w:t xml:space="preserve">the </w:t>
      </w:r>
      <w:r w:rsidR="00472187">
        <w:rPr>
          <w:rFonts w:eastAsia="Times New Roman" w:cs="Times New Roman"/>
          <w:noProof/>
        </w:rPr>
        <w:t xml:space="preserve">Hebrew forms of the </w:t>
      </w:r>
      <w:r w:rsidR="004F5838" w:rsidRPr="00B740B4">
        <w:rPr>
          <w:rFonts w:eastAsia="Times New Roman" w:cs="Times New Roman"/>
          <w:noProof/>
        </w:rPr>
        <w:t xml:space="preserve">chapter developed in stages </w:t>
      </w:r>
      <w:r w:rsidR="00C07F8F" w:rsidRPr="00B740B4">
        <w:rPr>
          <w:rFonts w:eastAsia="Times New Roman" w:cs="Times New Roman"/>
          <w:noProof/>
        </w:rPr>
        <w:t xml:space="preserve">through the conflation of different versions until it reached the form </w:t>
      </w:r>
      <w:r w:rsidR="004F5838" w:rsidRPr="00B740B4">
        <w:rPr>
          <w:rFonts w:eastAsia="Times New Roman" w:cs="Times New Roman"/>
          <w:noProof/>
        </w:rPr>
        <w:t>we have</w:t>
      </w:r>
      <w:r w:rsidR="00C93CC0" w:rsidRPr="00B740B4">
        <w:rPr>
          <w:rFonts w:eastAsia="Times New Roman" w:cs="Times New Roman"/>
          <w:noProof/>
        </w:rPr>
        <w:t xml:space="preserve">, </w:t>
      </w:r>
      <w:r w:rsidR="004F5838" w:rsidRPr="00B740B4">
        <w:rPr>
          <w:rFonts w:eastAsia="Times New Roman" w:cs="Times New Roman"/>
          <w:noProof/>
        </w:rPr>
        <w:t xml:space="preserve">with </w:t>
      </w:r>
      <w:r w:rsidR="00C93CC0" w:rsidRPr="00B740B4">
        <w:rPr>
          <w:rFonts w:eastAsia="Times New Roman" w:cs="Times New Roman"/>
          <w:noProof/>
        </w:rPr>
        <w:t>one stage coming in the Antiochene p</w:t>
      </w:r>
      <w:r w:rsidR="004F5838" w:rsidRPr="00B740B4">
        <w:rPr>
          <w:rFonts w:eastAsia="Times New Roman" w:cs="Times New Roman"/>
          <w:noProof/>
        </w:rPr>
        <w:t>eriod.</w:t>
      </w:r>
      <w:r w:rsidR="004F5838" w:rsidRPr="00B740B4">
        <w:rPr>
          <w:rFonts w:eastAsia="Times New Roman" w:cs="Times New Roman"/>
          <w:noProof/>
          <w:vertAlign w:val="superscript"/>
        </w:rPr>
        <w:footnoteReference w:id="725"/>
      </w:r>
      <w:r w:rsidR="004F5838" w:rsidRPr="00B740B4">
        <w:rPr>
          <w:rFonts w:eastAsia="Times New Roman" w:cs="Times New Roman"/>
          <w:noProof/>
        </w:rPr>
        <w:t xml:space="preserve"> But the </w:t>
      </w:r>
      <w:r w:rsidRPr="00B740B4">
        <w:rPr>
          <w:rFonts w:eastAsia="Times New Roman" w:cs="Times New Roman"/>
          <w:noProof/>
        </w:rPr>
        <w:t xml:space="preserve">attempted </w:t>
      </w:r>
      <w:r w:rsidR="00C93CC0" w:rsidRPr="00B740B4">
        <w:rPr>
          <w:rFonts w:eastAsia="Times New Roman" w:cs="Times New Roman"/>
          <w:noProof/>
        </w:rPr>
        <w:t xml:space="preserve">reconstructions </w:t>
      </w:r>
      <w:r w:rsidR="004F5838" w:rsidRPr="00B740B4">
        <w:rPr>
          <w:rFonts w:eastAsia="Times New Roman" w:cs="Times New Roman"/>
          <w:noProof/>
        </w:rPr>
        <w:t>of this process vary</w:t>
      </w:r>
      <w:r w:rsidRPr="00B740B4">
        <w:rPr>
          <w:rFonts w:eastAsia="Times New Roman" w:cs="Times New Roman"/>
          <w:noProof/>
        </w:rPr>
        <w:t>,</w:t>
      </w:r>
      <w:r w:rsidR="004F5838" w:rsidRPr="00B740B4">
        <w:rPr>
          <w:rFonts w:eastAsia="Times New Roman" w:cs="Times New Roman"/>
          <w:noProof/>
        </w:rPr>
        <w:t xml:space="preserve"> </w:t>
      </w:r>
      <w:r w:rsidR="00C93CC0" w:rsidRPr="00B740B4">
        <w:rPr>
          <w:rFonts w:eastAsia="Times New Roman" w:cs="Times New Roman"/>
          <w:noProof/>
        </w:rPr>
        <w:t>their evidence is circumstantial</w:t>
      </w:r>
      <w:r w:rsidR="004F5838" w:rsidRPr="00B740B4">
        <w:rPr>
          <w:rFonts w:eastAsia="Times New Roman" w:cs="Times New Roman"/>
          <w:noProof/>
        </w:rPr>
        <w:t>,</w:t>
      </w:r>
      <w:r w:rsidR="00C93CC0" w:rsidRPr="00B740B4">
        <w:rPr>
          <w:rFonts w:eastAsia="Times New Roman" w:cs="Times New Roman"/>
          <w:noProof/>
        </w:rPr>
        <w:t xml:space="preserve"> and </w:t>
      </w:r>
      <w:r w:rsidR="004F5838" w:rsidRPr="00B740B4">
        <w:rPr>
          <w:rFonts w:eastAsia="Times New Roman" w:cs="Times New Roman"/>
          <w:noProof/>
        </w:rPr>
        <w:t xml:space="preserve">their basis </w:t>
      </w:r>
      <w:r w:rsidR="00C93CC0" w:rsidRPr="00B740B4">
        <w:rPr>
          <w:rFonts w:eastAsia="Times New Roman" w:cs="Times New Roman"/>
          <w:noProof/>
        </w:rPr>
        <w:t xml:space="preserve">sometimes </w:t>
      </w:r>
      <w:r w:rsidR="004F5838" w:rsidRPr="00B740B4">
        <w:rPr>
          <w:rFonts w:eastAsia="Times New Roman" w:cs="Times New Roman"/>
          <w:noProof/>
        </w:rPr>
        <w:t xml:space="preserve">seems </w:t>
      </w:r>
      <w:r w:rsidR="00C93CC0" w:rsidRPr="00B740B4">
        <w:rPr>
          <w:rFonts w:eastAsia="Times New Roman" w:cs="Times New Roman"/>
          <w:noProof/>
        </w:rPr>
        <w:t>questionable: for example, alternating between first and third person is n</w:t>
      </w:r>
      <w:r w:rsidRPr="00B740B4">
        <w:rPr>
          <w:rFonts w:eastAsia="Times New Roman" w:cs="Times New Roman"/>
          <w:noProof/>
        </w:rPr>
        <w:t>ot evidence of redactional work</w:t>
      </w:r>
      <w:r w:rsidR="00C93CC0" w:rsidRPr="00B740B4">
        <w:rPr>
          <w:rFonts w:eastAsia="Times New Roman" w:cs="Times New Roman"/>
          <w:noProof/>
        </w:rPr>
        <w:t>.</w:t>
      </w:r>
      <w:r w:rsidR="00BC0402" w:rsidRPr="00B740B4">
        <w:rPr>
          <w:rStyle w:val="FootnoteReference"/>
          <w:rFonts w:eastAsia="Times New Roman" w:cs="Times New Roman"/>
          <w:noProof/>
        </w:rPr>
        <w:footnoteReference w:id="726"/>
      </w:r>
    </w:p>
    <w:p w:rsidR="00A859B3" w:rsidRPr="00B740B4" w:rsidRDefault="004F5838" w:rsidP="002D67D9">
      <w:pPr>
        <w:widowControl w:val="0"/>
        <w:rPr>
          <w:rFonts w:eastAsia="Times New Roman" w:cs="Times New Roman"/>
        </w:rPr>
      </w:pPr>
      <w:r w:rsidRPr="00B740B4">
        <w:rPr>
          <w:rFonts w:eastAsia="Times New Roman" w:cs="Times New Roman"/>
        </w:rPr>
        <w:t xml:space="preserve">At first sight </w:t>
      </w:r>
      <w:r w:rsidR="00C93CC0" w:rsidRPr="00B740B4">
        <w:rPr>
          <w:rFonts w:eastAsia="Times New Roman" w:cs="Times New Roman"/>
        </w:rPr>
        <w:t>4:</w:t>
      </w:r>
      <w:r w:rsidRPr="00B740B4">
        <w:rPr>
          <w:rFonts w:eastAsia="Times New Roman" w:cs="Times New Roman"/>
        </w:rPr>
        <w:t>1–3</w:t>
      </w:r>
      <w:r w:rsidR="00C93CC0" w:rsidRPr="00B740B4">
        <w:rPr>
          <w:rFonts w:eastAsia="Times New Roman" w:cs="Times New Roman"/>
        </w:rPr>
        <w:t xml:space="preserve"> carries o</w:t>
      </w:r>
      <w:r w:rsidRPr="00B740B4">
        <w:rPr>
          <w:rFonts w:eastAsia="Times New Roman" w:cs="Times New Roman"/>
        </w:rPr>
        <w:t>n from 3:30</w:t>
      </w:r>
      <w:r w:rsidR="00C822C0">
        <w:rPr>
          <w:rFonts w:eastAsia="Times New Roman" w:cs="Times New Roman"/>
        </w:rPr>
        <w:t>,</w:t>
      </w:r>
      <w:r w:rsidRPr="00B740B4">
        <w:rPr>
          <w:rFonts w:eastAsia="Times New Roman" w:cs="Times New Roman"/>
        </w:rPr>
        <w:t xml:space="preserve"> and </w:t>
      </w:r>
      <w:r w:rsidR="00C822C0">
        <w:rPr>
          <w:rFonts w:eastAsia="Times New Roman" w:cs="Times New Roman"/>
          <w:i/>
        </w:rPr>
        <w:t xml:space="preserve">b. Sanhedrin </w:t>
      </w:r>
      <w:r w:rsidR="00C822C0">
        <w:rPr>
          <w:rFonts w:eastAsia="Times New Roman" w:cs="Times New Roman"/>
        </w:rPr>
        <w:t xml:space="preserve">92b connects Nebuchadnezzar’s  praise </w:t>
      </w:r>
      <w:r w:rsidR="00AE39DA">
        <w:rPr>
          <w:rFonts w:eastAsia="Times New Roman" w:cs="Times New Roman"/>
        </w:rPr>
        <w:t xml:space="preserve">in those verses with the story in chap. 3; </w:t>
      </w:r>
      <w:r w:rsidR="00C822C0">
        <w:rPr>
          <w:rFonts w:eastAsia="Times New Roman" w:cs="Times New Roman"/>
        </w:rPr>
        <w:t>printed Hebrew Bibles count 4:1-3 as 3:31-33</w:t>
      </w:r>
      <w:r w:rsidR="00AE39DA">
        <w:rPr>
          <w:rFonts w:eastAsia="Times New Roman" w:cs="Times New Roman"/>
        </w:rPr>
        <w:t>. T</w:t>
      </w:r>
      <w:r w:rsidR="00266B6D" w:rsidRPr="00B740B4">
        <w:rPr>
          <w:rFonts w:eastAsia="Times New Roman" w:cs="Times New Roman"/>
        </w:rPr>
        <w:t>he broader ordering of the material in the book, whereby a further chapter about Nebuchadnezzar follows the story in chap. 3 (as the story in chap. 2 followed directly on chap. 2) encourages this understanding. But</w:t>
      </w:r>
      <w:r w:rsidR="00AE39DA">
        <w:rPr>
          <w:rFonts w:eastAsia="Times New Roman" w:cs="Times New Roman"/>
        </w:rPr>
        <w:t xml:space="preserve"> MT </w:t>
      </w:r>
      <w:r w:rsidR="00266B6D" w:rsidRPr="00B740B4">
        <w:rPr>
          <w:rFonts w:eastAsia="Times New Roman" w:cs="Times New Roman"/>
        </w:rPr>
        <w:t>locates the chapter break a</w:t>
      </w:r>
      <w:r w:rsidR="00922BB9">
        <w:rPr>
          <w:rFonts w:eastAsia="Times New Roman" w:cs="Times New Roman"/>
        </w:rPr>
        <w:t>fter 3:30; it provides a petucha</w:t>
      </w:r>
      <w:r w:rsidR="00266B6D" w:rsidRPr="00B740B4">
        <w:rPr>
          <w:rFonts w:eastAsia="Times New Roman" w:cs="Times New Roman"/>
        </w:rPr>
        <w:t>h or chapter break at that point and not even a section break after 4:3</w:t>
      </w:r>
      <w:r w:rsidR="0009556A" w:rsidRPr="00B740B4">
        <w:rPr>
          <w:rFonts w:eastAsia="Times New Roman" w:cs="Times New Roman"/>
        </w:rPr>
        <w:t xml:space="preserve">. </w:t>
      </w:r>
      <w:r w:rsidR="00916414">
        <w:rPr>
          <w:rFonts w:eastAsia="Times New Roman" w:cs="Times New Roman"/>
        </w:rPr>
        <w:t>So “t</w:t>
      </w:r>
      <w:r w:rsidR="00916414" w:rsidRPr="00916414">
        <w:rPr>
          <w:rFonts w:eastAsia="Times New Roman" w:cs="Times New Roman"/>
        </w:rPr>
        <w:t>his chapter division… is not of masoretic origin, nor from any oth</w:t>
      </w:r>
      <w:r w:rsidR="00AE39DA">
        <w:rPr>
          <w:rFonts w:eastAsia="Times New Roman" w:cs="Times New Roman"/>
        </w:rPr>
        <w:t>er Jewish source, but was intro</w:t>
      </w:r>
      <w:r w:rsidR="00916414" w:rsidRPr="00916414">
        <w:rPr>
          <w:rFonts w:eastAsia="Times New Roman" w:cs="Times New Roman"/>
        </w:rPr>
        <w:t>d</w:t>
      </w:r>
      <w:r w:rsidR="00916414">
        <w:rPr>
          <w:rFonts w:eastAsia="Times New Roman" w:cs="Times New Roman"/>
        </w:rPr>
        <w:t>uced by gentile Bible scholars.”</w:t>
      </w:r>
      <w:r w:rsidR="00916414" w:rsidRPr="00916414">
        <w:rPr>
          <w:rFonts w:eastAsia="Times New Roman" w:cs="Times New Roman"/>
          <w:vertAlign w:val="superscript"/>
        </w:rPr>
        <w:footnoteReference w:id="727"/>
      </w:r>
      <w:r w:rsidR="00916414" w:rsidRPr="00916414">
        <w:rPr>
          <w:rFonts w:eastAsia="Times New Roman" w:cs="Times New Roman"/>
        </w:rPr>
        <w:t xml:space="preserve"> </w:t>
      </w:r>
      <w:r w:rsidR="00AE39DA">
        <w:rPr>
          <w:rFonts w:eastAsia="Times New Roman" w:cs="Times New Roman"/>
        </w:rPr>
        <w:t>The c</w:t>
      </w:r>
      <w:r w:rsidR="00CE0B9A" w:rsidRPr="00B740B4">
        <w:rPr>
          <w:rFonts w:eastAsia="Times New Roman" w:cs="Times New Roman"/>
        </w:rPr>
        <w:t>hapter division</w:t>
      </w:r>
      <w:r w:rsidR="00266B6D" w:rsidRPr="00B740B4">
        <w:rPr>
          <w:rFonts w:eastAsia="Times New Roman" w:cs="Times New Roman"/>
        </w:rPr>
        <w:t>s</w:t>
      </w:r>
      <w:r w:rsidR="00486A45" w:rsidRPr="00B740B4">
        <w:rPr>
          <w:rFonts w:eastAsia="Times New Roman" w:cs="Times New Roman"/>
        </w:rPr>
        <w:t xml:space="preserve"> </w:t>
      </w:r>
      <w:r w:rsidR="00AE39DA">
        <w:rPr>
          <w:rFonts w:eastAsia="Times New Roman" w:cs="Times New Roman"/>
        </w:rPr>
        <w:t xml:space="preserve">in modern </w:t>
      </w:r>
      <w:r w:rsidR="00AE39DA">
        <w:rPr>
          <w:rFonts w:eastAsia="Times New Roman" w:cs="Times New Roman"/>
        </w:rPr>
        <w:lastRenderedPageBreak/>
        <w:t xml:space="preserve">Hebrew Bibles </w:t>
      </w:r>
      <w:r w:rsidR="00266B6D" w:rsidRPr="00B740B4">
        <w:rPr>
          <w:rFonts w:eastAsia="Times New Roman" w:cs="Times New Roman"/>
        </w:rPr>
        <w:t>apparently go</w:t>
      </w:r>
      <w:r w:rsidR="00486A45" w:rsidRPr="00B740B4">
        <w:rPr>
          <w:rFonts w:eastAsia="Times New Roman" w:cs="Times New Roman"/>
        </w:rPr>
        <w:t xml:space="preserve"> back to the introduction of chapter divisions </w:t>
      </w:r>
      <w:r w:rsidR="00266B6D" w:rsidRPr="00B740B4">
        <w:rPr>
          <w:rFonts w:eastAsia="Times New Roman" w:cs="Times New Roman"/>
        </w:rPr>
        <w:t>in</w:t>
      </w:r>
      <w:r w:rsidR="00486A45" w:rsidRPr="00B740B4">
        <w:rPr>
          <w:rFonts w:eastAsia="Times New Roman" w:cs="Times New Roman"/>
        </w:rPr>
        <w:t>to</w:t>
      </w:r>
      <w:r w:rsidR="00CE0B9A" w:rsidRPr="00B740B4">
        <w:rPr>
          <w:rFonts w:eastAsia="Times New Roman" w:cs="Times New Roman"/>
        </w:rPr>
        <w:t xml:space="preserve"> </w:t>
      </w:r>
      <w:r w:rsidR="00A34924" w:rsidRPr="00B740B4">
        <w:rPr>
          <w:rFonts w:eastAsia="Times New Roman" w:cs="Times New Roman"/>
        </w:rPr>
        <w:t>the Vulgate</w:t>
      </w:r>
      <w:r w:rsidR="00266B6D" w:rsidRPr="00B740B4">
        <w:rPr>
          <w:rFonts w:eastAsia="Times New Roman" w:cs="Times New Roman"/>
        </w:rPr>
        <w:t xml:space="preserve"> </w:t>
      </w:r>
      <w:r w:rsidR="00A34924" w:rsidRPr="00B740B4">
        <w:rPr>
          <w:rFonts w:eastAsia="Times New Roman" w:cs="Times New Roman"/>
        </w:rPr>
        <w:t>in the medieval period</w:t>
      </w:r>
      <w:r w:rsidR="00AE39DA">
        <w:rPr>
          <w:rFonts w:eastAsia="Times New Roman" w:cs="Times New Roman"/>
        </w:rPr>
        <w:t>; w</w:t>
      </w:r>
      <w:r w:rsidR="00A34924" w:rsidRPr="00B740B4">
        <w:rPr>
          <w:rFonts w:eastAsia="Times New Roman" w:cs="Times New Roman"/>
        </w:rPr>
        <w:t>hereas t</w:t>
      </w:r>
      <w:r w:rsidR="00266B6D" w:rsidRPr="00B740B4">
        <w:rPr>
          <w:rFonts w:eastAsia="Times New Roman" w:cs="Times New Roman"/>
        </w:rPr>
        <w:t>his</w:t>
      </w:r>
      <w:r w:rsidR="00486A45" w:rsidRPr="00B740B4">
        <w:rPr>
          <w:rFonts w:eastAsia="Times New Roman" w:cs="Times New Roman"/>
        </w:rPr>
        <w:t xml:space="preserve"> work was </w:t>
      </w:r>
      <w:r w:rsidR="00CE0B9A" w:rsidRPr="00B740B4">
        <w:rPr>
          <w:rFonts w:eastAsia="Times New Roman" w:cs="Times New Roman"/>
        </w:rPr>
        <w:t>traditionally ascribed to S</w:t>
      </w:r>
      <w:r w:rsidR="00486A45" w:rsidRPr="00B740B4">
        <w:rPr>
          <w:rFonts w:eastAsia="Times New Roman" w:cs="Times New Roman"/>
        </w:rPr>
        <w:t xml:space="preserve">tephen Langton </w:t>
      </w:r>
      <w:r w:rsidR="00A859B3" w:rsidRPr="00B740B4">
        <w:rPr>
          <w:rFonts w:eastAsia="Times New Roman" w:cs="Times New Roman"/>
        </w:rPr>
        <w:t xml:space="preserve">in the thirteenth century, </w:t>
      </w:r>
      <w:r w:rsidR="00486A45" w:rsidRPr="00B740B4">
        <w:rPr>
          <w:rFonts w:eastAsia="Times New Roman" w:cs="Times New Roman"/>
        </w:rPr>
        <w:t>it se</w:t>
      </w:r>
      <w:r w:rsidR="00A64ACA" w:rsidRPr="00B740B4">
        <w:rPr>
          <w:rFonts w:eastAsia="Times New Roman" w:cs="Times New Roman"/>
        </w:rPr>
        <w:t xml:space="preserve">ems </w:t>
      </w:r>
      <w:r w:rsidR="00A34924" w:rsidRPr="00B740B4">
        <w:rPr>
          <w:rFonts w:eastAsia="Times New Roman" w:cs="Times New Roman"/>
        </w:rPr>
        <w:t xml:space="preserve">actually </w:t>
      </w:r>
      <w:r w:rsidR="00486A45" w:rsidRPr="00B740B4">
        <w:rPr>
          <w:rFonts w:eastAsia="Times New Roman" w:cs="Times New Roman"/>
        </w:rPr>
        <w:t>to have been developing before his day</w:t>
      </w:r>
      <w:r w:rsidR="00671E13" w:rsidRPr="00B740B4">
        <w:rPr>
          <w:rFonts w:eastAsia="Times New Roman" w:cs="Times New Roman"/>
        </w:rPr>
        <w:t>.</w:t>
      </w:r>
      <w:r w:rsidR="00A64ACA" w:rsidRPr="00B740B4">
        <w:rPr>
          <w:rFonts w:eastAsia="Times New Roman" w:cs="Times New Roman"/>
        </w:rPr>
        <w:t xml:space="preserve"> </w:t>
      </w:r>
      <w:r w:rsidR="00671E13" w:rsidRPr="00B740B4">
        <w:rPr>
          <w:rFonts w:eastAsia="Times New Roman" w:cs="Times New Roman"/>
        </w:rPr>
        <w:t xml:space="preserve">But in his century </w:t>
      </w:r>
      <w:r w:rsidR="00A64ACA" w:rsidRPr="00B740B4">
        <w:rPr>
          <w:rFonts w:eastAsia="Times New Roman" w:cs="Times New Roman"/>
        </w:rPr>
        <w:t>“</w:t>
      </w:r>
      <w:r w:rsidR="00671E13" w:rsidRPr="00B740B4">
        <w:rPr>
          <w:rFonts w:eastAsia="Times New Roman" w:cs="Times New Roman"/>
        </w:rPr>
        <w:t>t</w:t>
      </w:r>
      <w:r w:rsidR="00A64ACA" w:rsidRPr="00B740B4">
        <w:rPr>
          <w:rFonts w:eastAsia="Times New Roman" w:cs="Times New Roman"/>
        </w:rPr>
        <w:t>he</w:t>
      </w:r>
      <w:r w:rsidR="00671E13" w:rsidRPr="00B740B4">
        <w:rPr>
          <w:rFonts w:eastAsia="Times New Roman" w:cs="Times New Roman"/>
        </w:rPr>
        <w:t xml:space="preserve"> Paris Bibles made the ‘Langtonian</w:t>
      </w:r>
      <w:r w:rsidR="00AE39DA">
        <w:rPr>
          <w:rFonts w:eastAsia="Times New Roman" w:cs="Times New Roman"/>
        </w:rPr>
        <w:t>’ chapter division the standard.” T</w:t>
      </w:r>
      <w:r w:rsidR="00671E13" w:rsidRPr="00B740B4">
        <w:rPr>
          <w:rFonts w:eastAsia="Times New Roman" w:cs="Times New Roman"/>
        </w:rPr>
        <w:t>hey thu</w:t>
      </w:r>
      <w:r w:rsidR="00AE39DA">
        <w:rPr>
          <w:rFonts w:eastAsia="Times New Roman" w:cs="Times New Roman"/>
        </w:rPr>
        <w:t>s appear in the Gutenberg Bible,</w:t>
      </w:r>
      <w:r w:rsidR="00486A45" w:rsidRPr="00B740B4">
        <w:rPr>
          <w:rStyle w:val="FootnoteReference"/>
          <w:rFonts w:eastAsia="Times New Roman" w:cs="Times New Roman"/>
        </w:rPr>
        <w:footnoteReference w:id="728"/>
      </w:r>
      <w:r w:rsidR="00486A45" w:rsidRPr="00B740B4">
        <w:rPr>
          <w:rFonts w:eastAsia="Times New Roman" w:cs="Times New Roman"/>
        </w:rPr>
        <w:t xml:space="preserve"> </w:t>
      </w:r>
      <w:r w:rsidR="00AE39DA">
        <w:rPr>
          <w:rFonts w:eastAsia="Times New Roman" w:cs="Times New Roman"/>
        </w:rPr>
        <w:t>and they were also</w:t>
      </w:r>
      <w:r w:rsidR="00AE39DA" w:rsidRPr="00B740B4">
        <w:rPr>
          <w:rFonts w:eastAsia="Times New Roman" w:cs="Times New Roman"/>
        </w:rPr>
        <w:t xml:space="preserve"> taken over into printed Hebrew Bibles</w:t>
      </w:r>
      <w:r w:rsidR="00AE39DA">
        <w:rPr>
          <w:rFonts w:eastAsia="Times New Roman" w:cs="Times New Roman"/>
        </w:rPr>
        <w:t>.</w:t>
      </w:r>
      <w:r w:rsidR="00AE39DA" w:rsidRPr="00B740B4">
        <w:rPr>
          <w:rFonts w:eastAsia="Times New Roman" w:cs="Times New Roman"/>
        </w:rPr>
        <w:t xml:space="preserve"> </w:t>
      </w:r>
      <w:r w:rsidR="00266B6D" w:rsidRPr="00B740B4">
        <w:rPr>
          <w:rFonts w:eastAsia="Times New Roman" w:cs="Times New Roman"/>
        </w:rPr>
        <w:t>In these chapters in Daniel,</w:t>
      </w:r>
      <w:r w:rsidRPr="00B740B4">
        <w:rPr>
          <w:rFonts w:eastAsia="Times New Roman" w:cs="Times New Roman"/>
        </w:rPr>
        <w:t xml:space="preserve"> </w:t>
      </w:r>
      <w:r w:rsidR="00AE39DA">
        <w:rPr>
          <w:rFonts w:eastAsia="Times New Roman" w:cs="Times New Roman"/>
        </w:rPr>
        <w:t xml:space="preserve">however, </w:t>
      </w:r>
      <w:r w:rsidRPr="00B740B4">
        <w:rPr>
          <w:rFonts w:eastAsia="Times New Roman" w:cs="Times New Roman"/>
        </w:rPr>
        <w:t>it soon becomes clear</w:t>
      </w:r>
      <w:r w:rsidR="006010BB" w:rsidRPr="00B740B4">
        <w:rPr>
          <w:rFonts w:eastAsia="Times New Roman" w:cs="Times New Roman"/>
        </w:rPr>
        <w:t xml:space="preserve"> that </w:t>
      </w:r>
      <w:r w:rsidRPr="00B740B4">
        <w:rPr>
          <w:rFonts w:eastAsia="Times New Roman" w:cs="Times New Roman"/>
        </w:rPr>
        <w:t>4:1</w:t>
      </w:r>
      <w:r w:rsidR="00A34924" w:rsidRPr="00B740B4">
        <w:rPr>
          <w:rFonts w:eastAsia="Times New Roman" w:cs="Times New Roman"/>
        </w:rPr>
        <w:t>-3</w:t>
      </w:r>
      <w:r w:rsidR="006010BB" w:rsidRPr="00B740B4">
        <w:rPr>
          <w:rFonts w:eastAsia="Times New Roman" w:cs="Times New Roman"/>
        </w:rPr>
        <w:t xml:space="preserve"> begins a new unit</w:t>
      </w:r>
      <w:r w:rsidR="0077310A" w:rsidRPr="00B740B4">
        <w:rPr>
          <w:rFonts w:eastAsia="Times New Roman" w:cs="Times New Roman"/>
        </w:rPr>
        <w:t xml:space="preserve">. Thus </w:t>
      </w:r>
      <w:r w:rsidR="006010BB" w:rsidRPr="00B740B4">
        <w:rPr>
          <w:rFonts w:eastAsia="Times New Roman" w:cs="Times New Roman"/>
        </w:rPr>
        <w:t>Luther</w:t>
      </w:r>
      <w:r w:rsidR="0077310A" w:rsidRPr="00B740B4">
        <w:rPr>
          <w:rFonts w:eastAsia="Times New Roman" w:cs="Times New Roman"/>
        </w:rPr>
        <w:t xml:space="preserve"> abandoned the </w:t>
      </w:r>
      <w:r w:rsidR="00266B6D" w:rsidRPr="00B740B4">
        <w:rPr>
          <w:rFonts w:eastAsia="Times New Roman" w:cs="Times New Roman"/>
        </w:rPr>
        <w:t xml:space="preserve">“Langtonian” </w:t>
      </w:r>
      <w:r w:rsidR="0077310A" w:rsidRPr="00B740B4">
        <w:rPr>
          <w:rFonts w:eastAsia="Times New Roman" w:cs="Times New Roman"/>
        </w:rPr>
        <w:t>chapter</w:t>
      </w:r>
      <w:r w:rsidR="0081636C" w:rsidRPr="00B740B4">
        <w:rPr>
          <w:rFonts w:eastAsia="Times New Roman" w:cs="Times New Roman"/>
        </w:rPr>
        <w:t xml:space="preserve"> division </w:t>
      </w:r>
      <w:r w:rsidR="00266B6D" w:rsidRPr="00B740B4">
        <w:rPr>
          <w:rFonts w:eastAsia="Times New Roman" w:cs="Times New Roman"/>
        </w:rPr>
        <w:t xml:space="preserve">which </w:t>
      </w:r>
      <w:r w:rsidR="00A34924" w:rsidRPr="00B740B4">
        <w:rPr>
          <w:rFonts w:eastAsia="Times New Roman" w:cs="Times New Roman"/>
        </w:rPr>
        <w:t xml:space="preserve">he found </w:t>
      </w:r>
      <w:r w:rsidR="0081636C" w:rsidRPr="00B740B4">
        <w:rPr>
          <w:rFonts w:eastAsia="Times New Roman" w:cs="Times New Roman"/>
        </w:rPr>
        <w:t>in contemporary Bibles</w:t>
      </w:r>
      <w:r w:rsidR="0077310A" w:rsidRPr="00B740B4">
        <w:rPr>
          <w:rFonts w:eastAsia="Times New Roman" w:cs="Times New Roman"/>
        </w:rPr>
        <w:t xml:space="preserve"> and pushed the beginning of the new chapter </w:t>
      </w:r>
      <w:r w:rsidR="006010BB" w:rsidRPr="00B740B4">
        <w:rPr>
          <w:rFonts w:eastAsia="Times New Roman" w:cs="Times New Roman"/>
        </w:rPr>
        <w:t>division</w:t>
      </w:r>
      <w:r w:rsidR="0077310A" w:rsidRPr="00B740B4">
        <w:rPr>
          <w:rFonts w:eastAsia="Times New Roman" w:cs="Times New Roman"/>
        </w:rPr>
        <w:t xml:space="preserve"> back to where the Masoretes themselves</w:t>
      </w:r>
      <w:r w:rsidR="00266B6D" w:rsidRPr="00B740B4">
        <w:rPr>
          <w:rFonts w:eastAsia="Times New Roman" w:cs="Times New Roman"/>
        </w:rPr>
        <w:t xml:space="preserve"> had located it, and EVV follow</w:t>
      </w:r>
      <w:r w:rsidR="0077310A" w:rsidRPr="00B740B4">
        <w:rPr>
          <w:rFonts w:eastAsia="Times New Roman" w:cs="Times New Roman"/>
        </w:rPr>
        <w:t>.</w:t>
      </w:r>
      <w:r w:rsidR="00834318" w:rsidRPr="00B740B4">
        <w:rPr>
          <w:rStyle w:val="FootnoteReference"/>
          <w:rFonts w:eastAsia="Times New Roman" w:cs="Times New Roman"/>
        </w:rPr>
        <w:footnoteReference w:id="729"/>
      </w:r>
      <w:r w:rsidR="0077310A" w:rsidRPr="00B740B4">
        <w:rPr>
          <w:rFonts w:eastAsia="Times New Roman" w:cs="Times New Roman"/>
        </w:rPr>
        <w:t xml:space="preserve"> </w:t>
      </w:r>
    </w:p>
    <w:p w:rsidR="00266B6D" w:rsidRPr="00B740B4" w:rsidRDefault="00266B6D" w:rsidP="002D67D9">
      <w:pPr>
        <w:widowControl w:val="0"/>
        <w:rPr>
          <w:rFonts w:eastAsia="Times New Roman" w:cs="Times New Roman"/>
        </w:rPr>
      </w:pPr>
      <w:r w:rsidRPr="00B740B4">
        <w:rPr>
          <w:rFonts w:eastAsia="Times New Roman" w:cs="Times New Roman"/>
        </w:rPr>
        <w:t xml:space="preserve">In the context of the book as a whole, the end of chap. 3 marks the </w:t>
      </w:r>
      <w:r w:rsidR="00C93CC0" w:rsidRPr="00B740B4">
        <w:rPr>
          <w:rFonts w:eastAsia="Times New Roman" w:cs="Times New Roman"/>
        </w:rPr>
        <w:t>three friends</w:t>
      </w:r>
      <w:r w:rsidRPr="00B740B4">
        <w:rPr>
          <w:rFonts w:eastAsia="Times New Roman" w:cs="Times New Roman"/>
        </w:rPr>
        <w:t>’ final appearance. H</w:t>
      </w:r>
      <w:r w:rsidR="00C93CC0" w:rsidRPr="00B740B4">
        <w:rPr>
          <w:rFonts w:eastAsia="Times New Roman" w:cs="Times New Roman"/>
        </w:rPr>
        <w:t>enceforth the book entirely focuses on Da</w:t>
      </w:r>
      <w:r w:rsidR="006010BB" w:rsidRPr="00B740B4">
        <w:rPr>
          <w:rFonts w:eastAsia="Times New Roman" w:cs="Times New Roman"/>
        </w:rPr>
        <w:t>niel as its hero. Behind chap.</w:t>
      </w:r>
      <w:r w:rsidR="00C93CC0" w:rsidRPr="00B740B4">
        <w:rPr>
          <w:rFonts w:eastAsia="Times New Roman" w:cs="Times New Roman"/>
        </w:rPr>
        <w:t xml:space="preserve"> 3, Dan 4 </w:t>
      </w:r>
      <w:r w:rsidR="006010BB" w:rsidRPr="00B740B4">
        <w:rPr>
          <w:rFonts w:eastAsia="Times New Roman" w:cs="Times New Roman"/>
        </w:rPr>
        <w:t>does link in theme</w:t>
      </w:r>
      <w:r w:rsidR="00C93CC0" w:rsidRPr="00B740B4">
        <w:rPr>
          <w:rFonts w:eastAsia="Times New Roman" w:cs="Times New Roman"/>
        </w:rPr>
        <w:t xml:space="preserve"> with the earlier dream chapter, Dan 2. Daniel’s appear</w:t>
      </w:r>
      <w:r w:rsidRPr="00B740B4">
        <w:rPr>
          <w:rFonts w:eastAsia="Times New Roman" w:cs="Times New Roman"/>
        </w:rPr>
        <w:t>ing</w:t>
      </w:r>
      <w:r w:rsidR="006010BB" w:rsidRPr="00B740B4">
        <w:rPr>
          <w:rFonts w:eastAsia="Times New Roman" w:cs="Times New Roman"/>
        </w:rPr>
        <w:t xml:space="preserve"> last among the </w:t>
      </w:r>
      <w:r w:rsidR="00EB39D0" w:rsidRPr="00B740B4">
        <w:rPr>
          <w:rFonts w:eastAsia="Times New Roman" w:cs="Times New Roman"/>
        </w:rPr>
        <w:t>experts</w:t>
      </w:r>
      <w:r w:rsidR="00AE39DA">
        <w:rPr>
          <w:rFonts w:eastAsia="Times New Roman" w:cs="Times New Roman"/>
        </w:rPr>
        <w:t xml:space="preserve"> (v </w:t>
      </w:r>
      <w:r w:rsidR="006010BB" w:rsidRPr="00B740B4">
        <w:rPr>
          <w:rFonts w:eastAsia="Times New Roman" w:cs="Times New Roman"/>
        </w:rPr>
        <w:t>8</w:t>
      </w:r>
      <w:r w:rsidR="00C93CC0" w:rsidRPr="00B740B4">
        <w:rPr>
          <w:rFonts w:eastAsia="Times New Roman" w:cs="Times New Roman"/>
        </w:rPr>
        <w:t>) need</w:t>
      </w:r>
      <w:r w:rsidR="006010BB" w:rsidRPr="00B740B4">
        <w:rPr>
          <w:rFonts w:eastAsia="Times New Roman" w:cs="Times New Roman"/>
        </w:rPr>
        <w:t xml:space="preserve"> not be in tension with 2:48; it is not said that he is</w:t>
      </w:r>
      <w:r w:rsidR="00C93CC0" w:rsidRPr="00B740B4">
        <w:rPr>
          <w:rFonts w:eastAsia="Times New Roman" w:cs="Times New Roman"/>
        </w:rPr>
        <w:t xml:space="preserve"> summoned after the others, only </w:t>
      </w:r>
      <w:r w:rsidR="006010BB" w:rsidRPr="00B740B4">
        <w:rPr>
          <w:rFonts w:eastAsia="Times New Roman" w:cs="Times New Roman"/>
        </w:rPr>
        <w:t>that (dramatically) he</w:t>
      </w:r>
      <w:r w:rsidR="00C93CC0" w:rsidRPr="00B740B4">
        <w:rPr>
          <w:rFonts w:eastAsia="Times New Roman" w:cs="Times New Roman"/>
        </w:rPr>
        <w:t xml:space="preserve"> arrive</w:t>
      </w:r>
      <w:r w:rsidR="006010BB" w:rsidRPr="00B740B4">
        <w:rPr>
          <w:rFonts w:eastAsia="Times New Roman" w:cs="Times New Roman"/>
        </w:rPr>
        <w:t>s last</w:t>
      </w:r>
      <w:r w:rsidR="00AE39DA">
        <w:rPr>
          <w:rFonts w:eastAsia="Times New Roman" w:cs="Times New Roman"/>
        </w:rPr>
        <w:t>; perhaps he was with them but was</w:t>
      </w:r>
      <w:r w:rsidRPr="00B740B4">
        <w:rPr>
          <w:rFonts w:eastAsia="Times New Roman" w:cs="Times New Roman"/>
        </w:rPr>
        <w:t xml:space="preserve"> at the end of the line</w:t>
      </w:r>
      <w:r w:rsidR="006010BB" w:rsidRPr="00B740B4">
        <w:rPr>
          <w:rFonts w:eastAsia="Times New Roman" w:cs="Times New Roman"/>
        </w:rPr>
        <w:t>.</w:t>
      </w:r>
      <w:r w:rsidR="006010BB" w:rsidRPr="00B740B4">
        <w:rPr>
          <w:rStyle w:val="FootnoteReference"/>
          <w:rFonts w:eastAsia="Times New Roman" w:cs="Times New Roman"/>
        </w:rPr>
        <w:footnoteReference w:id="730"/>
      </w:r>
      <w:r w:rsidR="006010BB" w:rsidRPr="00B740B4">
        <w:rPr>
          <w:rFonts w:eastAsia="Times New Roman" w:cs="Times New Roman"/>
        </w:rPr>
        <w:t xml:space="preserve"> </w:t>
      </w:r>
    </w:p>
    <w:p w:rsidR="00133145" w:rsidRDefault="00266B6D" w:rsidP="000130CC">
      <w:pPr>
        <w:widowControl w:val="0"/>
        <w:rPr>
          <w:rFonts w:ascii="Times New Roman" w:eastAsia="Times New Roman" w:hAnsi="Times New Roman" w:cs="Times New Roman"/>
          <w:sz w:val="24"/>
          <w:szCs w:val="24"/>
        </w:rPr>
      </w:pPr>
      <w:r w:rsidRPr="00B740B4">
        <w:rPr>
          <w:rFonts w:eastAsia="Times New Roman" w:cs="Times New Roman"/>
        </w:rPr>
        <w:t>Chap. 4 also marks the last appearance of Nebuchadnezzar.</w:t>
      </w:r>
      <w:r w:rsidR="00C93CC0" w:rsidRPr="00B740B4">
        <w:rPr>
          <w:rFonts w:eastAsia="Times New Roman" w:cs="Times New Roman"/>
        </w:rPr>
        <w:t>There is no development in Nebuchadnezzar’s character through</w:t>
      </w:r>
      <w:r w:rsidRPr="00B740B4">
        <w:rPr>
          <w:rFonts w:eastAsia="Times New Roman" w:cs="Times New Roman"/>
        </w:rPr>
        <w:t xml:space="preserve"> chaps. 1–4; the chapters</w:t>
      </w:r>
      <w:r w:rsidR="006010BB" w:rsidRPr="00B740B4">
        <w:rPr>
          <w:rFonts w:eastAsia="Times New Roman" w:cs="Times New Roman"/>
        </w:rPr>
        <w:t xml:space="preserve"> do not recount</w:t>
      </w:r>
      <w:r w:rsidR="00C93CC0" w:rsidRPr="00B740B4">
        <w:rPr>
          <w:rFonts w:eastAsia="Times New Roman" w:cs="Times New Roman"/>
        </w:rPr>
        <w:t xml:space="preserve"> Nebuchadnezzar’s s</w:t>
      </w:r>
      <w:r w:rsidR="006010BB" w:rsidRPr="00B740B4">
        <w:rPr>
          <w:rFonts w:eastAsia="Times New Roman" w:cs="Times New Roman"/>
        </w:rPr>
        <w:t>piritual biography</w:t>
      </w:r>
      <w:r w:rsidR="00C93CC0" w:rsidRPr="00B740B4">
        <w:rPr>
          <w:rFonts w:eastAsia="Times New Roman" w:cs="Times New Roman"/>
        </w:rPr>
        <w:t xml:space="preserve">. </w:t>
      </w:r>
      <w:r w:rsidR="006010BB" w:rsidRPr="00B740B4">
        <w:rPr>
          <w:rFonts w:eastAsia="Times New Roman" w:cs="Times New Roman"/>
        </w:rPr>
        <w:t>Indeed, as chap. 3 pairs with chap. 6, chap. 4 has a closer relationship with chap.</w:t>
      </w:r>
      <w:r w:rsidR="00C93CC0" w:rsidRPr="00B740B4">
        <w:rPr>
          <w:rFonts w:eastAsia="Times New Roman" w:cs="Times New Roman"/>
        </w:rPr>
        <w:t xml:space="preserve"> 5, where Belshazzar will pay a more conclusive penalty for a more explicit blasphemy accompanied by a refusal to learn from Nebuchadnezzar’s experience.</w:t>
      </w:r>
      <w:r w:rsidRPr="00B740B4">
        <w:rPr>
          <w:rFonts w:eastAsia="Times New Roman" w:cs="Times New Roman"/>
        </w:rPr>
        <w:t xml:space="preserve"> In other words, chap. 4’s relationship with chap. 5 is more significant than </w:t>
      </w:r>
      <w:r w:rsidR="00D53144" w:rsidRPr="00B740B4">
        <w:rPr>
          <w:rFonts w:eastAsia="Times New Roman" w:cs="Times New Roman"/>
        </w:rPr>
        <w:t xml:space="preserve">its relationship with chaps. 1—3. </w:t>
      </w:r>
      <w:r w:rsidR="002D67D9" w:rsidRPr="00B740B4">
        <w:rPr>
          <w:rFonts w:eastAsia="Times New Roman" w:cs="Times New Roman"/>
        </w:rPr>
        <w:t>“</w:t>
      </w:r>
      <w:r w:rsidR="00133145" w:rsidRPr="00B740B4">
        <w:rPr>
          <w:rFonts w:eastAsia="Times New Roman" w:cs="Times New Roman"/>
        </w:rPr>
        <w:t>Daniel 4 is the positive ex</w:t>
      </w:r>
      <w:r w:rsidR="00D53144" w:rsidRPr="00B740B4">
        <w:rPr>
          <w:rFonts w:eastAsia="Times New Roman" w:cs="Times New Roman"/>
        </w:rPr>
        <w:t>ample of an earthly king who su</w:t>
      </w:r>
      <w:r w:rsidR="00133145" w:rsidRPr="00B740B4">
        <w:rPr>
          <w:rFonts w:eastAsia="Times New Roman" w:cs="Times New Roman"/>
        </w:rPr>
        <w:t>ff ers a great indignity and thereby comes to “know” that God has sovereignty over human kingship, whereupon the king has his earthly dominion restored to him. Daniel 5 is the negative example of an earthly king who has not learned the lesson, does not acknowledge God’s sovereignty, and thereby suffers the ultimate loss of not only his kingship but his life</w:t>
      </w:r>
      <w:r w:rsidR="00133145" w:rsidRPr="00B740B4">
        <w:rPr>
          <w:rFonts w:ascii="Times New Roman" w:eastAsia="Times New Roman" w:hAnsi="Times New Roman" w:cs="Times New Roman"/>
          <w:sz w:val="24"/>
          <w:szCs w:val="24"/>
        </w:rPr>
        <w:t>.</w:t>
      </w:r>
      <w:r w:rsidR="002D67D9" w:rsidRPr="00B740B4">
        <w:rPr>
          <w:rFonts w:ascii="Times New Roman" w:eastAsia="Times New Roman" w:hAnsi="Times New Roman" w:cs="Times New Roman"/>
          <w:sz w:val="24"/>
          <w:szCs w:val="24"/>
        </w:rPr>
        <w:t>”</w:t>
      </w:r>
      <w:r w:rsidR="002D67D9" w:rsidRPr="00B740B4">
        <w:rPr>
          <w:rStyle w:val="FootnoteReference"/>
          <w:rFonts w:ascii="Times New Roman" w:eastAsia="Times New Roman" w:hAnsi="Times New Roman" w:cs="Times New Roman"/>
          <w:sz w:val="24"/>
          <w:szCs w:val="24"/>
        </w:rPr>
        <w:footnoteReference w:id="731"/>
      </w:r>
      <w:r w:rsidR="00133145" w:rsidRPr="00B740B4">
        <w:rPr>
          <w:rFonts w:ascii="Times New Roman" w:eastAsia="Times New Roman" w:hAnsi="Times New Roman" w:cs="Times New Roman"/>
          <w:sz w:val="24"/>
          <w:szCs w:val="24"/>
        </w:rPr>
        <w:t xml:space="preserve"> </w:t>
      </w:r>
    </w:p>
    <w:p w:rsidR="00C93CC0" w:rsidRPr="00B740B4" w:rsidRDefault="00C93CC0" w:rsidP="009479B1">
      <w:pPr>
        <w:pStyle w:val="Heading2"/>
        <w:rPr>
          <w:rFonts w:eastAsia="Times New Roman"/>
        </w:rPr>
      </w:pPr>
      <w:r w:rsidRPr="00B740B4">
        <w:rPr>
          <w:rFonts w:eastAsia="Times New Roman"/>
        </w:rPr>
        <w:t>Comment</w:t>
      </w:r>
    </w:p>
    <w:p w:rsidR="00C93CC0" w:rsidRPr="00B740B4" w:rsidRDefault="00C2352D" w:rsidP="00C2352D">
      <w:pPr>
        <w:rPr>
          <w:rFonts w:eastAsia="Times New Roman"/>
          <w:noProof/>
        </w:rPr>
      </w:pPr>
      <w:r w:rsidRPr="00B740B4">
        <w:rPr>
          <w:rFonts w:eastAsia="Times New Roman"/>
          <w:b/>
          <w:noProof/>
        </w:rPr>
        <w:t xml:space="preserve">1—3. </w:t>
      </w:r>
      <w:r w:rsidR="00E84DD1" w:rsidRPr="00B740B4">
        <w:rPr>
          <w:rFonts w:eastAsia="Times New Roman"/>
          <w:noProof/>
        </w:rPr>
        <w:t xml:space="preserve">The testimony put on Nebuchadnezzar’s lips in Dan 4 is </w:t>
      </w:r>
      <w:r w:rsidR="00C93CC0" w:rsidRPr="00B740B4">
        <w:rPr>
          <w:rFonts w:eastAsia="Times New Roman"/>
          <w:noProof/>
        </w:rPr>
        <w:t xml:space="preserve">centrally concerned with the kingship </w:t>
      </w:r>
      <w:r w:rsidRPr="00B740B4">
        <w:rPr>
          <w:rFonts w:eastAsia="Times New Roman"/>
          <w:noProof/>
        </w:rPr>
        <w:t xml:space="preserve">or rule </w:t>
      </w:r>
      <w:r w:rsidR="00C93CC0" w:rsidRPr="00B740B4">
        <w:rPr>
          <w:rFonts w:eastAsia="Times New Roman"/>
          <w:noProof/>
        </w:rPr>
        <w:t xml:space="preserve">of Nebuchadnezzar and the kingship or rule of the </w:t>
      </w:r>
      <w:r w:rsidRPr="00B740B4">
        <w:rPr>
          <w:rFonts w:eastAsia="Times New Roman"/>
          <w:noProof/>
        </w:rPr>
        <w:t xml:space="preserve">One On High, </w:t>
      </w:r>
      <w:r w:rsidR="00E84DD1" w:rsidRPr="00B740B4">
        <w:rPr>
          <w:rFonts w:eastAsia="Times New Roman"/>
          <w:noProof/>
        </w:rPr>
        <w:t xml:space="preserve">the </w:t>
      </w:r>
      <w:r w:rsidR="00C93CC0" w:rsidRPr="00B740B4">
        <w:rPr>
          <w:rFonts w:eastAsia="Times New Roman"/>
          <w:noProof/>
        </w:rPr>
        <w:t>kingship or rule of [</w:t>
      </w:r>
      <w:r w:rsidRPr="00B740B4">
        <w:rPr>
          <w:rFonts w:eastAsia="Times New Roman"/>
          <w:noProof/>
        </w:rPr>
        <w:t>the King/</w:t>
      </w:r>
      <w:r w:rsidR="00C93CC0" w:rsidRPr="00B740B4">
        <w:rPr>
          <w:rFonts w:eastAsia="Times New Roman"/>
          <w:noProof/>
        </w:rPr>
        <w:t xml:space="preserve">Lord of] </w:t>
      </w:r>
      <w:r w:rsidRPr="00B740B4">
        <w:rPr>
          <w:rFonts w:eastAsia="Times New Roman"/>
          <w:noProof/>
        </w:rPr>
        <w:t>the h</w:t>
      </w:r>
      <w:r w:rsidR="00C93CC0" w:rsidRPr="00B740B4">
        <w:rPr>
          <w:rFonts w:eastAsia="Times New Roman"/>
          <w:noProof/>
        </w:rPr>
        <w:t>eaven</w:t>
      </w:r>
      <w:r w:rsidRPr="00B740B4">
        <w:rPr>
          <w:rFonts w:eastAsia="Times New Roman"/>
          <w:noProof/>
        </w:rPr>
        <w:t>s</w:t>
      </w:r>
      <w:r w:rsidR="00C93CC0" w:rsidRPr="00B740B4">
        <w:rPr>
          <w:rFonts w:eastAsia="Times New Roman"/>
          <w:noProof/>
        </w:rPr>
        <w:t xml:space="preserve"> </w:t>
      </w:r>
      <w:r w:rsidRPr="00B740B4">
        <w:rPr>
          <w:rFonts w:eastAsia="Times New Roman"/>
          <w:noProof/>
        </w:rPr>
        <w:t>(v</w:t>
      </w:r>
      <w:r w:rsidR="00AF422C">
        <w:rPr>
          <w:rFonts w:eastAsia="Times New Roman"/>
          <w:noProof/>
        </w:rPr>
        <w:t>v</w:t>
      </w:r>
      <w:r w:rsidRPr="00B740B4">
        <w:rPr>
          <w:rFonts w:eastAsia="Times New Roman"/>
          <w:noProof/>
        </w:rPr>
        <w:t xml:space="preserve"> </w:t>
      </w:r>
      <w:r w:rsidR="00F417D7" w:rsidRPr="00B740B4">
        <w:rPr>
          <w:rFonts w:eastAsia="Times New Roman"/>
          <w:noProof/>
        </w:rPr>
        <w:t xml:space="preserve">2, </w:t>
      </w:r>
      <w:r w:rsidR="00C93CC0" w:rsidRPr="00B740B4">
        <w:rPr>
          <w:rFonts w:eastAsia="Times New Roman"/>
          <w:noProof/>
        </w:rPr>
        <w:t>17, 18, 22, 24,</w:t>
      </w:r>
      <w:r w:rsidRPr="00B740B4">
        <w:rPr>
          <w:rFonts w:eastAsia="Times New Roman"/>
          <w:noProof/>
        </w:rPr>
        <w:t xml:space="preserve"> 25, 26, 30, 31, 32, 34, 36, 37</w:t>
      </w:r>
      <w:r w:rsidR="00C93CC0" w:rsidRPr="00B740B4">
        <w:rPr>
          <w:rFonts w:eastAsia="Times New Roman"/>
          <w:noProof/>
        </w:rPr>
        <w:t xml:space="preserve">; </w:t>
      </w:r>
      <w:r w:rsidRPr="00B740B4">
        <w:rPr>
          <w:rFonts w:eastAsia="Times New Roman"/>
          <w:noProof/>
        </w:rPr>
        <w:t xml:space="preserve">cf. </w:t>
      </w:r>
      <w:r w:rsidR="00C93CC0" w:rsidRPr="00B740B4">
        <w:rPr>
          <w:rFonts w:eastAsia="Times New Roman"/>
          <w:noProof/>
        </w:rPr>
        <w:t xml:space="preserve">5:18–23). </w:t>
      </w:r>
      <w:r w:rsidR="001B2A12" w:rsidRPr="00B740B4">
        <w:rPr>
          <w:rFonts w:eastAsia="Times New Roman"/>
          <w:noProof/>
        </w:rPr>
        <w:t xml:space="preserve">“The </w:t>
      </w:r>
      <w:r w:rsidR="00F417D7" w:rsidRPr="00B740B4">
        <w:rPr>
          <w:rFonts w:eastAsia="Times New Roman"/>
          <w:noProof/>
        </w:rPr>
        <w:t>One on High” was Nebuchadnezzar’</w:t>
      </w:r>
      <w:r w:rsidR="00D02E45" w:rsidRPr="00B740B4">
        <w:rPr>
          <w:rFonts w:eastAsia="Times New Roman"/>
          <w:noProof/>
        </w:rPr>
        <w:t>s title</w:t>
      </w:r>
      <w:r w:rsidR="001B2A12" w:rsidRPr="00B740B4">
        <w:rPr>
          <w:rFonts w:eastAsia="Times New Roman"/>
          <w:noProof/>
        </w:rPr>
        <w:t xml:space="preserve"> for God in 3:26 and here he u</w:t>
      </w:r>
      <w:r w:rsidR="00D02E45" w:rsidRPr="00B740B4">
        <w:rPr>
          <w:rFonts w:eastAsia="Times New Roman"/>
          <w:noProof/>
        </w:rPr>
        <w:t>se</w:t>
      </w:r>
      <w:r w:rsidR="001B2A12" w:rsidRPr="00B740B4">
        <w:rPr>
          <w:rFonts w:eastAsia="Times New Roman"/>
          <w:noProof/>
        </w:rPr>
        <w:t>s</w:t>
      </w:r>
      <w:r w:rsidR="00D02E45" w:rsidRPr="00B740B4">
        <w:rPr>
          <w:rFonts w:eastAsia="Times New Roman"/>
          <w:noProof/>
        </w:rPr>
        <w:t xml:space="preserve"> it again in both his opening and his closing act of acclamation. </w:t>
      </w:r>
      <w:r w:rsidR="00C93CC0" w:rsidRPr="00B740B4">
        <w:rPr>
          <w:rFonts w:eastAsia="Times New Roman"/>
          <w:noProof/>
        </w:rPr>
        <w:t>Nebuchadnezzar does not stand for ordinary humanity being judged for ordinary hu</w:t>
      </w:r>
      <w:r w:rsidRPr="00B740B4">
        <w:rPr>
          <w:rFonts w:eastAsia="Times New Roman"/>
          <w:noProof/>
        </w:rPr>
        <w:t>man pride. Nor does the chapter</w:t>
      </w:r>
      <w:r w:rsidR="00C93CC0" w:rsidRPr="00B740B4">
        <w:rPr>
          <w:rFonts w:eastAsia="Times New Roman"/>
          <w:noProof/>
        </w:rPr>
        <w:t xml:space="preserve"> stress</w:t>
      </w:r>
      <w:r w:rsidR="001B2A12" w:rsidRPr="00B740B4">
        <w:rPr>
          <w:rFonts w:eastAsia="Times New Roman"/>
          <w:noProof/>
        </w:rPr>
        <w:t xml:space="preserve"> the fact that he is a Gentile and </w:t>
      </w:r>
      <w:r w:rsidR="00C93CC0" w:rsidRPr="00B740B4">
        <w:rPr>
          <w:rFonts w:eastAsia="Times New Roman"/>
          <w:noProof/>
        </w:rPr>
        <w:t>Daniel a Jew, or picture Nebuchadnezzar turning from paganism to faith in the God of Israel</w:t>
      </w:r>
      <w:r w:rsidR="00321CD1" w:rsidRPr="00B740B4">
        <w:rPr>
          <w:rFonts w:eastAsia="Times New Roman"/>
          <w:noProof/>
        </w:rPr>
        <w:t xml:space="preserve">. </w:t>
      </w:r>
      <w:r w:rsidR="00482476">
        <w:rPr>
          <w:rFonts w:eastAsia="Times New Roman"/>
          <w:noProof/>
        </w:rPr>
        <w:t xml:space="preserve">But </w:t>
      </w:r>
      <w:r w:rsidR="00E84DD1" w:rsidRPr="00B740B4">
        <w:rPr>
          <w:rFonts w:eastAsia="Times New Roman"/>
          <w:noProof/>
        </w:rPr>
        <w:t xml:space="preserve">Nebuchadnezzar’s ghost writer </w:t>
      </w:r>
      <w:r w:rsidR="00482476">
        <w:rPr>
          <w:rFonts w:eastAsia="Times New Roman"/>
          <w:noProof/>
        </w:rPr>
        <w:t>does have</w:t>
      </w:r>
      <w:r w:rsidR="00E84DD1" w:rsidRPr="00B740B4">
        <w:rPr>
          <w:rFonts w:eastAsia="Times New Roman"/>
          <w:noProof/>
        </w:rPr>
        <w:t xml:space="preserve"> him giving testimony in good Jewish fashion to the “signs and wonders” that the God On High has done (cf. Exod 7:3; Deut</w:t>
      </w:r>
      <w:r w:rsidR="0070421F" w:rsidRPr="00B740B4">
        <w:rPr>
          <w:rFonts w:eastAsia="Times New Roman"/>
          <w:noProof/>
        </w:rPr>
        <w:t xml:space="preserve"> 4:34;</w:t>
      </w:r>
      <w:r w:rsidR="00E84DD1" w:rsidRPr="00B740B4">
        <w:rPr>
          <w:rFonts w:eastAsia="Times New Roman"/>
          <w:noProof/>
        </w:rPr>
        <w:t xml:space="preserve"> 6:22; </w:t>
      </w:r>
      <w:r w:rsidR="0070421F" w:rsidRPr="00B740B4">
        <w:rPr>
          <w:rFonts w:eastAsia="Times New Roman"/>
          <w:noProof/>
        </w:rPr>
        <w:t>7:19; 26:8</w:t>
      </w:r>
      <w:r w:rsidR="00E84DD1" w:rsidRPr="00B740B4">
        <w:rPr>
          <w:rFonts w:eastAsia="Times New Roman"/>
          <w:noProof/>
        </w:rPr>
        <w:t>;</w:t>
      </w:r>
      <w:r w:rsidR="0070421F" w:rsidRPr="00B740B4">
        <w:rPr>
          <w:rFonts w:eastAsia="Times New Roman"/>
          <w:noProof/>
        </w:rPr>
        <w:t xml:space="preserve"> 29:2-3; 34:11; Neh 9:10; Ps 105:27; 135:9; Jer 32:20-21;</w:t>
      </w:r>
      <w:r w:rsidR="00E84DD1" w:rsidRPr="00B740B4">
        <w:rPr>
          <w:rFonts w:eastAsia="Times New Roman"/>
          <w:noProof/>
        </w:rPr>
        <w:t xml:space="preserve"> also Darius the Mede’s testimony in Dan 6:27 [28]).</w:t>
      </w:r>
      <w:r w:rsidR="00E84DD1" w:rsidRPr="00B740B4">
        <w:rPr>
          <w:rStyle w:val="FootnoteReference"/>
          <w:rFonts w:eastAsia="Times New Roman"/>
          <w:noProof/>
        </w:rPr>
        <w:footnoteReference w:id="732"/>
      </w:r>
    </w:p>
    <w:p w:rsidR="00C93CC0" w:rsidRPr="00B740B4" w:rsidRDefault="00C2352D" w:rsidP="006010BB">
      <w:pPr>
        <w:widowControl w:val="0"/>
        <w:rPr>
          <w:rFonts w:eastAsia="Times New Roman" w:cs="Times New Roman"/>
        </w:rPr>
      </w:pPr>
      <w:r w:rsidRPr="00B740B4">
        <w:rPr>
          <w:rFonts w:eastAsia="Times New Roman" w:cs="Times New Roman"/>
          <w:b/>
        </w:rPr>
        <w:t>4–10a.</w:t>
      </w:r>
      <w:r w:rsidRPr="00B740B4">
        <w:rPr>
          <w:rFonts w:eastAsia="Times New Roman" w:cs="Times New Roman"/>
        </w:rPr>
        <w:t xml:space="preserve"> Troubled by another</w:t>
      </w:r>
      <w:r w:rsidR="00C93CC0" w:rsidRPr="00B740B4">
        <w:rPr>
          <w:rFonts w:eastAsia="Times New Roman" w:cs="Times New Roman"/>
        </w:rPr>
        <w:t xml:space="preserve"> dream, Nebuchadnezzar recognizes Daniel as one in</w:t>
      </w:r>
      <w:r w:rsidRPr="00B740B4">
        <w:rPr>
          <w:rFonts w:eastAsia="Times New Roman" w:cs="Times New Roman"/>
        </w:rPr>
        <w:t xml:space="preserve"> whom God’s spirit dwells (v 8</w:t>
      </w:r>
      <w:r w:rsidR="00C93CC0" w:rsidRPr="00B740B4">
        <w:rPr>
          <w:rFonts w:eastAsia="Times New Roman" w:cs="Times New Roman"/>
        </w:rPr>
        <w:t>). In the OT the presence of God’s spirit often implies the activity of God in his dynamic power, giving life and freedom to hi</w:t>
      </w:r>
      <w:r w:rsidRPr="00B740B4">
        <w:rPr>
          <w:rFonts w:eastAsia="Times New Roman" w:cs="Times New Roman"/>
        </w:rPr>
        <w:t>s people and to the world; the a</w:t>
      </w:r>
      <w:r w:rsidR="00C93CC0" w:rsidRPr="00B740B4">
        <w:rPr>
          <w:rFonts w:eastAsia="Times New Roman" w:cs="Times New Roman"/>
        </w:rPr>
        <w:t xml:space="preserve">ffect of this </w:t>
      </w:r>
      <w:r w:rsidR="001B2A12" w:rsidRPr="00B740B4">
        <w:rPr>
          <w:rFonts w:eastAsia="Times New Roman" w:cs="Times New Roman"/>
        </w:rPr>
        <w:t xml:space="preserve">presence </w:t>
      </w:r>
      <w:r w:rsidR="00C93CC0" w:rsidRPr="00B740B4">
        <w:rPr>
          <w:rFonts w:eastAsia="Times New Roman" w:cs="Times New Roman"/>
        </w:rPr>
        <w:t>on human beings is to make them behave in remarkable ways and perfo</w:t>
      </w:r>
      <w:r w:rsidR="001B2A12" w:rsidRPr="00B740B4">
        <w:rPr>
          <w:rFonts w:eastAsia="Times New Roman" w:cs="Times New Roman"/>
        </w:rPr>
        <w:t>rm extraordinary deeds. Someone</w:t>
      </w:r>
      <w:r w:rsidR="00C93CC0" w:rsidRPr="00B740B4">
        <w:rPr>
          <w:rFonts w:eastAsia="Times New Roman" w:cs="Times New Roman"/>
        </w:rPr>
        <w:t xml:space="preserve"> who </w:t>
      </w:r>
      <w:r w:rsidR="00C93CC0" w:rsidRPr="00B740B4">
        <w:rPr>
          <w:rFonts w:eastAsia="Times New Roman" w:cs="Times New Roman"/>
        </w:rPr>
        <w:lastRenderedPageBreak/>
        <w:t>receives out-of-the-ordinary insight</w:t>
      </w:r>
      <w:r w:rsidRPr="00B740B4">
        <w:rPr>
          <w:rFonts w:eastAsia="Times New Roman" w:cs="Times New Roman"/>
        </w:rPr>
        <w:t>s or revelations does so by the</w:t>
      </w:r>
      <w:r w:rsidR="00C93CC0" w:rsidRPr="00B740B4">
        <w:rPr>
          <w:rFonts w:eastAsia="Times New Roman" w:cs="Times New Roman"/>
        </w:rPr>
        <w:t xml:space="preserve"> work of the divine spirit (Gen 41:38; Num 24:2; 2 Sam 23:2; 2 Chr 15:1; 20:14; 24:20). </w:t>
      </w:r>
      <w:r w:rsidR="001B2A12" w:rsidRPr="00B740B4">
        <w:rPr>
          <w:rFonts w:eastAsia="Times New Roman" w:cs="Times New Roman"/>
        </w:rPr>
        <w:t xml:space="preserve">Remarkable words </w:t>
      </w:r>
      <w:r w:rsidR="00C93CC0" w:rsidRPr="00B740B4">
        <w:rPr>
          <w:rFonts w:eastAsia="Times New Roman" w:cs="Times New Roman"/>
        </w:rPr>
        <w:t>suggest the breat</w:t>
      </w:r>
      <w:r w:rsidR="001B2A12" w:rsidRPr="00B740B4">
        <w:rPr>
          <w:rFonts w:eastAsia="Times New Roman" w:cs="Times New Roman"/>
        </w:rPr>
        <w:t>h of God himself, w</w:t>
      </w:r>
      <w:r w:rsidR="00C93CC0" w:rsidRPr="00B740B4">
        <w:rPr>
          <w:rFonts w:eastAsia="Times New Roman" w:cs="Times New Roman"/>
        </w:rPr>
        <w:t xml:space="preserve">hether or not they reflect an ecstatic experience (see Job </w:t>
      </w:r>
      <w:r w:rsidR="001B2A12" w:rsidRPr="00B740B4">
        <w:rPr>
          <w:rFonts w:eastAsia="Times New Roman" w:cs="Times New Roman"/>
        </w:rPr>
        <w:t>32:8, 18; contrast 15:2!). V</w:t>
      </w:r>
      <w:r w:rsidR="00482476">
        <w:rPr>
          <w:rFonts w:eastAsia="Times New Roman" w:cs="Times New Roman"/>
        </w:rPr>
        <w:t xml:space="preserve"> 8 does not</w:t>
      </w:r>
      <w:r w:rsidRPr="00B740B4">
        <w:rPr>
          <w:rFonts w:eastAsia="Times New Roman" w:cs="Times New Roman"/>
        </w:rPr>
        <w:t xml:space="preserve"> imply </w:t>
      </w:r>
      <w:r w:rsidR="00C93CC0" w:rsidRPr="00B740B4">
        <w:rPr>
          <w:rFonts w:eastAsia="Times New Roman" w:cs="Times New Roman"/>
        </w:rPr>
        <w:t>that all</w:t>
      </w:r>
      <w:r w:rsidR="00482476">
        <w:rPr>
          <w:rFonts w:eastAsia="Times New Roman" w:cs="Times New Roman"/>
        </w:rPr>
        <w:t xml:space="preserve"> words of insight </w:t>
      </w:r>
      <w:r w:rsidR="00C93CC0" w:rsidRPr="00B740B4">
        <w:rPr>
          <w:rFonts w:eastAsia="Times New Roman" w:cs="Times New Roman"/>
        </w:rPr>
        <w:t xml:space="preserve">indicate </w:t>
      </w:r>
      <w:r w:rsidR="001B2A12" w:rsidRPr="00B740B4">
        <w:rPr>
          <w:rFonts w:eastAsia="Times New Roman" w:cs="Times New Roman"/>
        </w:rPr>
        <w:t>the activity of God’s spirit. Nebuchadnezzar</w:t>
      </w:r>
      <w:r w:rsidR="00C93CC0" w:rsidRPr="00B740B4">
        <w:rPr>
          <w:rFonts w:eastAsia="Times New Roman" w:cs="Times New Roman"/>
        </w:rPr>
        <w:t xml:space="preserve"> is referring to knowledge of an extraordinary and inexplicable kind: such insight reflects the spirit of prophecy.</w:t>
      </w:r>
      <w:r w:rsidRPr="00B740B4">
        <w:rPr>
          <w:rStyle w:val="FootnoteReference"/>
          <w:rFonts w:eastAsia="Times New Roman" w:cs="Times New Roman"/>
        </w:rPr>
        <w:footnoteReference w:id="733"/>
      </w:r>
      <w:r w:rsidR="001B2A12" w:rsidRPr="00B740B4">
        <w:rPr>
          <w:rFonts w:eastAsia="Times New Roman" w:cs="Times New Roman"/>
        </w:rPr>
        <w:t xml:space="preserve"> This conviction has </w:t>
      </w:r>
      <w:r w:rsidR="00C93CC0" w:rsidRPr="00B740B4">
        <w:rPr>
          <w:rFonts w:eastAsia="Times New Roman" w:cs="Times New Roman"/>
        </w:rPr>
        <w:t>been exp</w:t>
      </w:r>
      <w:r w:rsidR="00D71959" w:rsidRPr="00B740B4">
        <w:rPr>
          <w:rFonts w:eastAsia="Times New Roman" w:cs="Times New Roman"/>
        </w:rPr>
        <w:t xml:space="preserve">ressed without using the </w:t>
      </w:r>
      <w:r w:rsidR="00C93CC0" w:rsidRPr="00B740B4">
        <w:rPr>
          <w:rFonts w:eastAsia="Times New Roman" w:cs="Times New Roman"/>
        </w:rPr>
        <w:t xml:space="preserve">word </w:t>
      </w:r>
      <w:r w:rsidR="00C93CC0" w:rsidRPr="00B740B4">
        <w:rPr>
          <w:rFonts w:eastAsia="Times New Roman" w:cs="Times New Roman"/>
          <w:i/>
        </w:rPr>
        <w:t>spirit</w:t>
      </w:r>
      <w:r w:rsidR="001B2A12" w:rsidRPr="00B740B4">
        <w:rPr>
          <w:rFonts w:eastAsia="Times New Roman" w:cs="Times New Roman"/>
        </w:rPr>
        <w:t>, in 2:11. Reference to God’s spirit</w:t>
      </w:r>
      <w:r w:rsidR="00C93CC0" w:rsidRPr="00B740B4">
        <w:rPr>
          <w:rFonts w:eastAsia="Times New Roman" w:cs="Times New Roman"/>
        </w:rPr>
        <w:t xml:space="preserve"> reinforces the suggestion of a real </w:t>
      </w:r>
      <w:r w:rsidR="001B2A12" w:rsidRPr="00B740B4">
        <w:rPr>
          <w:rFonts w:eastAsia="Times New Roman" w:cs="Times New Roman"/>
        </w:rPr>
        <w:t xml:space="preserve">dynamic </w:t>
      </w:r>
      <w:r w:rsidR="00C93CC0" w:rsidRPr="00B740B4">
        <w:rPr>
          <w:rFonts w:eastAsia="Times New Roman" w:cs="Times New Roman"/>
        </w:rPr>
        <w:t>presence of God that contrasts with the spurious pre</w:t>
      </w:r>
      <w:r w:rsidR="00D71959" w:rsidRPr="00B740B4">
        <w:rPr>
          <w:rFonts w:eastAsia="Times New Roman" w:cs="Times New Roman"/>
        </w:rPr>
        <w:t>sence that the statue of chap.</w:t>
      </w:r>
      <w:r w:rsidR="00C93CC0" w:rsidRPr="00B740B4">
        <w:rPr>
          <w:rFonts w:eastAsia="Times New Roman" w:cs="Times New Roman"/>
        </w:rPr>
        <w:t xml:space="preserve"> 3 </w:t>
      </w:r>
      <w:r w:rsidR="00D71959" w:rsidRPr="00B740B4">
        <w:rPr>
          <w:rFonts w:eastAsia="Times New Roman" w:cs="Times New Roman"/>
        </w:rPr>
        <w:t xml:space="preserve">might have </w:t>
      </w:r>
      <w:r w:rsidR="001B2A12" w:rsidRPr="00B740B4">
        <w:rPr>
          <w:rFonts w:eastAsia="Times New Roman" w:cs="Times New Roman"/>
        </w:rPr>
        <w:t>claimed to imply</w:t>
      </w:r>
      <w:r w:rsidR="00C93CC0" w:rsidRPr="00B740B4">
        <w:rPr>
          <w:rFonts w:eastAsia="Times New Roman" w:cs="Times New Roman"/>
        </w:rPr>
        <w:t xml:space="preserve">. </w:t>
      </w:r>
      <w:r w:rsidR="00482476">
        <w:rPr>
          <w:rFonts w:eastAsia="Times New Roman" w:cs="Times New Roman"/>
        </w:rPr>
        <w:t>References in Daniel</w:t>
      </w:r>
      <w:r w:rsidR="00C93CC0" w:rsidRPr="00B740B4">
        <w:rPr>
          <w:rFonts w:eastAsia="Times New Roman" w:cs="Times New Roman"/>
        </w:rPr>
        <w:t xml:space="preserve"> to the human spirit on its own are negative: it is disturbed by di</w:t>
      </w:r>
      <w:r w:rsidR="00D71959" w:rsidRPr="00B740B4">
        <w:rPr>
          <w:rFonts w:eastAsia="Times New Roman" w:cs="Times New Roman"/>
        </w:rPr>
        <w:t>vine revelations (2:1, 3; 7:15) and</w:t>
      </w:r>
      <w:r w:rsidR="00C93CC0" w:rsidRPr="00B740B4">
        <w:rPr>
          <w:rFonts w:eastAsia="Times New Roman" w:cs="Times New Roman"/>
        </w:rPr>
        <w:t xml:space="preserve"> insensitive to divine p</w:t>
      </w:r>
      <w:r w:rsidR="00D71959" w:rsidRPr="00B740B4">
        <w:rPr>
          <w:rFonts w:eastAsia="Times New Roman" w:cs="Times New Roman"/>
        </w:rPr>
        <w:t xml:space="preserve">rompting (5:20). Daniel </w:t>
      </w:r>
      <w:r w:rsidR="00C93CC0" w:rsidRPr="00B740B4">
        <w:rPr>
          <w:rFonts w:eastAsia="Times New Roman" w:cs="Times New Roman"/>
        </w:rPr>
        <w:t>comes to be someone of</w:t>
      </w:r>
      <w:r w:rsidR="00E37500" w:rsidRPr="00B740B4">
        <w:rPr>
          <w:rFonts w:eastAsia="Times New Roman" w:cs="Times New Roman"/>
        </w:rPr>
        <w:t xml:space="preserve"> extraordinary spirit (5:12; 6:3</w:t>
      </w:r>
      <w:r w:rsidR="00D71959" w:rsidRPr="00B740B4">
        <w:rPr>
          <w:rFonts w:eastAsia="Times New Roman" w:cs="Times New Roman"/>
        </w:rPr>
        <w:t xml:space="preserve"> [4</w:t>
      </w:r>
      <w:r w:rsidR="00C93CC0" w:rsidRPr="00B740B4">
        <w:rPr>
          <w:rFonts w:eastAsia="Times New Roman" w:cs="Times New Roman"/>
        </w:rPr>
        <w:t xml:space="preserve">]) </w:t>
      </w:r>
      <w:r w:rsidR="001B2A12" w:rsidRPr="00B740B4">
        <w:rPr>
          <w:rFonts w:eastAsia="Times New Roman" w:cs="Times New Roman"/>
        </w:rPr>
        <w:t xml:space="preserve">only </w:t>
      </w:r>
      <w:r w:rsidR="00C93CC0" w:rsidRPr="00B740B4">
        <w:rPr>
          <w:rFonts w:eastAsia="Times New Roman" w:cs="Times New Roman"/>
        </w:rPr>
        <w:t>through the acti</w:t>
      </w:r>
      <w:r w:rsidR="00D71959" w:rsidRPr="00B740B4">
        <w:rPr>
          <w:rFonts w:eastAsia="Times New Roman" w:cs="Times New Roman"/>
        </w:rPr>
        <w:t>vity of the divine spirit (4:8, 9, 18</w:t>
      </w:r>
      <w:r w:rsidR="00C93CC0" w:rsidRPr="00B740B4">
        <w:rPr>
          <w:rFonts w:eastAsia="Times New Roman" w:cs="Times New Roman"/>
        </w:rPr>
        <w:t>; 5:11, 14</w:t>
      </w:r>
      <w:r w:rsidR="00D71959" w:rsidRPr="00B740B4">
        <w:rPr>
          <w:rFonts w:eastAsia="Times New Roman" w:cs="Times New Roman"/>
        </w:rPr>
        <w:t>).</w:t>
      </w:r>
      <w:r w:rsidR="00D71959" w:rsidRPr="00B740B4">
        <w:rPr>
          <w:rStyle w:val="FootnoteReference"/>
          <w:rFonts w:eastAsia="Times New Roman" w:cs="Times New Roman"/>
        </w:rPr>
        <w:footnoteReference w:id="734"/>
      </w:r>
    </w:p>
    <w:p w:rsidR="00C93CC0" w:rsidRPr="00B740B4" w:rsidRDefault="00FA4265" w:rsidP="006010BB">
      <w:pPr>
        <w:widowControl w:val="0"/>
        <w:rPr>
          <w:rFonts w:eastAsia="Times New Roman" w:cs="Times New Roman"/>
        </w:rPr>
      </w:pPr>
      <w:r w:rsidRPr="00B740B4">
        <w:rPr>
          <w:rFonts w:eastAsia="Times New Roman" w:cs="Times New Roman"/>
          <w:b/>
        </w:rPr>
        <w:t>10b–12</w:t>
      </w:r>
      <w:r w:rsidR="00D71959" w:rsidRPr="00B740B4">
        <w:rPr>
          <w:rFonts w:eastAsia="Times New Roman" w:cs="Times New Roman"/>
        </w:rPr>
        <w:t xml:space="preserve"> The portrayal of the tree </w:t>
      </w:r>
      <w:r w:rsidR="001B2A12" w:rsidRPr="00B740B4">
        <w:rPr>
          <w:rFonts w:eastAsia="Times New Roman" w:cs="Times New Roman"/>
        </w:rPr>
        <w:t>has a background in</w:t>
      </w:r>
      <w:r w:rsidR="00C93CC0" w:rsidRPr="00B740B4">
        <w:rPr>
          <w:rFonts w:eastAsia="Times New Roman" w:cs="Times New Roman"/>
        </w:rPr>
        <w:t xml:space="preserve"> OT texts</w:t>
      </w:r>
      <w:r w:rsidR="00B30D5B" w:rsidRPr="00B740B4">
        <w:rPr>
          <w:rFonts w:eastAsia="Times New Roman" w:cs="Times New Roman"/>
        </w:rPr>
        <w:t xml:space="preserve"> (see </w:t>
      </w:r>
      <w:r w:rsidR="00B30D5B" w:rsidRPr="00B740B4">
        <w:rPr>
          <w:rFonts w:eastAsia="Times New Roman" w:cs="Times New Roman"/>
          <w:i/>
        </w:rPr>
        <w:t>Form</w:t>
      </w:r>
      <w:r w:rsidR="00B30D5B" w:rsidRPr="00B740B4">
        <w:rPr>
          <w:rFonts w:eastAsia="Times New Roman" w:cs="Times New Roman"/>
        </w:rPr>
        <w:t>)</w:t>
      </w:r>
      <w:r w:rsidR="00C93CC0" w:rsidRPr="00B740B4">
        <w:rPr>
          <w:rFonts w:eastAsia="Times New Roman" w:cs="Times New Roman"/>
        </w:rPr>
        <w:t xml:space="preserve">, but a more general background </w:t>
      </w:r>
      <w:r w:rsidR="00D4586C" w:rsidRPr="00B740B4">
        <w:rPr>
          <w:rFonts w:eastAsia="Times New Roman" w:cs="Times New Roman"/>
        </w:rPr>
        <w:t xml:space="preserve">in the OT and </w:t>
      </w:r>
      <w:r w:rsidR="00C93CC0" w:rsidRPr="00B740B4">
        <w:rPr>
          <w:rFonts w:eastAsia="Times New Roman" w:cs="Times New Roman"/>
        </w:rPr>
        <w:t>elsewher</w:t>
      </w:r>
      <w:r w:rsidR="00B30D5B" w:rsidRPr="00B740B4">
        <w:rPr>
          <w:rFonts w:eastAsia="Times New Roman" w:cs="Times New Roman"/>
        </w:rPr>
        <w:t>e</w:t>
      </w:r>
      <w:r w:rsidR="00C93CC0" w:rsidRPr="00B740B4">
        <w:rPr>
          <w:rFonts w:eastAsia="Times New Roman" w:cs="Times New Roman"/>
        </w:rPr>
        <w:t xml:space="preserve">. A lofty, pre-eminent, verdant, protective, fruitful, long-lived tree is a common symbol for the living, transcendent, life-giving, sustaining Cosmos or Reality or Deity itself. A sacred tree at the center of the earth symbolically links </w:t>
      </w:r>
      <w:r w:rsidR="005C7340" w:rsidRPr="00B740B4">
        <w:rPr>
          <w:rFonts w:eastAsia="Times New Roman" w:cs="Times New Roman"/>
        </w:rPr>
        <w:t xml:space="preserve">the </w:t>
      </w:r>
      <w:r w:rsidR="00C93CC0" w:rsidRPr="00B740B4">
        <w:rPr>
          <w:rFonts w:eastAsia="Times New Roman" w:cs="Times New Roman"/>
        </w:rPr>
        <w:t xml:space="preserve">earth and </w:t>
      </w:r>
      <w:r w:rsidR="005C7340" w:rsidRPr="00B740B4">
        <w:rPr>
          <w:rFonts w:eastAsia="Times New Roman" w:cs="Times New Roman"/>
        </w:rPr>
        <w:t xml:space="preserve">the </w:t>
      </w:r>
      <w:r w:rsidR="00C93CC0" w:rsidRPr="00B740B4">
        <w:rPr>
          <w:rFonts w:eastAsia="Times New Roman" w:cs="Times New Roman"/>
        </w:rPr>
        <w:t>heaven</w:t>
      </w:r>
      <w:r w:rsidR="005C7340" w:rsidRPr="00B740B4">
        <w:rPr>
          <w:rFonts w:eastAsia="Times New Roman" w:cs="Times New Roman"/>
        </w:rPr>
        <w:t>s</w:t>
      </w:r>
      <w:r w:rsidR="00C93CC0" w:rsidRPr="00B740B4">
        <w:rPr>
          <w:rFonts w:eastAsia="Times New Roman" w:cs="Times New Roman"/>
        </w:rPr>
        <w:t>; a tree of life grows in God’s garden; world history can be symbolized as a tree.</w:t>
      </w:r>
      <w:r w:rsidR="00D71959" w:rsidRPr="00B740B4">
        <w:rPr>
          <w:rStyle w:val="FootnoteReference"/>
          <w:rFonts w:eastAsia="Times New Roman" w:cs="Times New Roman"/>
        </w:rPr>
        <w:footnoteReference w:id="735"/>
      </w:r>
      <w:r w:rsidR="00C93CC0" w:rsidRPr="00B740B4">
        <w:rPr>
          <w:rFonts w:eastAsia="Times New Roman" w:cs="Times New Roman"/>
        </w:rPr>
        <w:t xml:space="preserve"> The image can be applied to humanity in general (Ps 1)</w:t>
      </w:r>
      <w:r w:rsidR="00D4586C" w:rsidRPr="00B740B4">
        <w:rPr>
          <w:rFonts w:eastAsia="Times New Roman" w:cs="Times New Roman"/>
        </w:rPr>
        <w:t xml:space="preserve"> or to one’s own nation—Babylon</w:t>
      </w:r>
      <w:r w:rsidR="008F7B6E" w:rsidRPr="00B740B4">
        <w:rPr>
          <w:rStyle w:val="FootnoteReference"/>
          <w:rFonts w:eastAsia="Times New Roman" w:cs="Times New Roman"/>
        </w:rPr>
        <w:footnoteReference w:id="736"/>
      </w:r>
      <w:r w:rsidR="00C93CC0" w:rsidRPr="00B740B4">
        <w:rPr>
          <w:rFonts w:eastAsia="Times New Roman" w:cs="Times New Roman"/>
        </w:rPr>
        <w:t xml:space="preserve"> </w:t>
      </w:r>
      <w:r w:rsidR="008F7B6E" w:rsidRPr="00B740B4">
        <w:rPr>
          <w:rFonts w:eastAsia="Times New Roman" w:cs="Times New Roman"/>
        </w:rPr>
        <w:t xml:space="preserve">or </w:t>
      </w:r>
      <w:r w:rsidR="00C93CC0" w:rsidRPr="00B740B4">
        <w:rPr>
          <w:rFonts w:eastAsia="Times New Roman" w:cs="Times New Roman"/>
        </w:rPr>
        <w:t>Israel (Isa 4:2; 5:1–7). It is a natural symbol for the king, who mediates God’s life, provision, and protection to his people; he is tree</w:t>
      </w:r>
      <w:r w:rsidR="00D4586C" w:rsidRPr="00B740B4">
        <w:rPr>
          <w:rFonts w:eastAsia="Times New Roman" w:cs="Times New Roman"/>
        </w:rPr>
        <w:t>-</w:t>
      </w:r>
      <w:r w:rsidR="00C93CC0" w:rsidRPr="00B740B4">
        <w:rPr>
          <w:rFonts w:eastAsia="Times New Roman" w:cs="Times New Roman"/>
        </w:rPr>
        <w:t>like to them (Isa 11:1; 53:2; Herodotus</w:t>
      </w:r>
      <w:r w:rsidR="00B24F98">
        <w:rPr>
          <w:rFonts w:eastAsia="Times New Roman" w:cs="Times New Roman"/>
        </w:rPr>
        <w:t xml:space="preserve">, </w:t>
      </w:r>
      <w:r w:rsidR="00B24F98">
        <w:rPr>
          <w:rFonts w:eastAsia="Times New Roman" w:cs="Times New Roman"/>
          <w:i/>
        </w:rPr>
        <w:t>Histories</w:t>
      </w:r>
      <w:r w:rsidR="00C93CC0" w:rsidRPr="00B740B4">
        <w:rPr>
          <w:rFonts w:eastAsia="Times New Roman" w:cs="Times New Roman"/>
        </w:rPr>
        <w:t xml:space="preserve"> 1.108; 7.19).</w:t>
      </w:r>
      <w:r w:rsidR="008F7B6E" w:rsidRPr="00B740B4">
        <w:rPr>
          <w:rStyle w:val="FootnoteReference"/>
          <w:rFonts w:eastAsia="Times New Roman" w:cs="Times New Roman"/>
        </w:rPr>
        <w:footnoteReference w:id="737"/>
      </w:r>
      <w:r w:rsidR="00C93CC0" w:rsidRPr="00B740B4">
        <w:rPr>
          <w:rFonts w:eastAsia="Times New Roman" w:cs="Times New Roman"/>
        </w:rPr>
        <w:t xml:space="preserve"> </w:t>
      </w:r>
    </w:p>
    <w:p w:rsidR="00C93CC0" w:rsidRPr="00B740B4" w:rsidRDefault="00C93CC0" w:rsidP="006010BB">
      <w:pPr>
        <w:widowControl w:val="0"/>
        <w:rPr>
          <w:rFonts w:eastAsia="Times New Roman" w:cs="Times New Roman"/>
        </w:rPr>
      </w:pPr>
      <w:r w:rsidRPr="00B740B4">
        <w:rPr>
          <w:rFonts w:eastAsia="Times New Roman" w:cs="Times New Roman"/>
        </w:rPr>
        <w:t xml:space="preserve">The symbol is reworked in Dan 4, as metaphor rather than myth. </w:t>
      </w:r>
      <w:r w:rsidR="00FA4265" w:rsidRPr="00B740B4">
        <w:rPr>
          <w:rFonts w:eastAsia="Times New Roman" w:cs="Times New Roman"/>
        </w:rPr>
        <w:t>The obvious interpretation</w:t>
      </w:r>
      <w:r w:rsidRPr="00B740B4">
        <w:rPr>
          <w:rFonts w:eastAsia="Times New Roman" w:cs="Times New Roman"/>
        </w:rPr>
        <w:t xml:space="preserve"> is to refer it to the royal dynasty, which will be cut down (the present king will be removed) but will survive as a stump with the potential for renewed growth (a new king will arise);</w:t>
      </w:r>
      <w:r w:rsidR="00FA4265" w:rsidRPr="00B740B4">
        <w:rPr>
          <w:rFonts w:eastAsia="Times New Roman" w:cs="Times New Roman"/>
        </w:rPr>
        <w:t xml:space="preserve"> compare</w:t>
      </w:r>
      <w:r w:rsidRPr="00B740B4">
        <w:rPr>
          <w:rFonts w:eastAsia="Times New Roman" w:cs="Times New Roman"/>
        </w:rPr>
        <w:t xml:space="preserve"> Isa 6:13; 11:1; also Job 14:7–9, which notes that what can be true of a tree cannot be true of an individual man. Da</w:t>
      </w:r>
      <w:r w:rsidR="00FA4265" w:rsidRPr="00B740B4">
        <w:rPr>
          <w:rFonts w:eastAsia="Times New Roman" w:cs="Times New Roman"/>
        </w:rPr>
        <w:t>niel applies the dream</w:t>
      </w:r>
      <w:r w:rsidRPr="00B740B4">
        <w:rPr>
          <w:rFonts w:eastAsia="Times New Roman" w:cs="Times New Roman"/>
        </w:rPr>
        <w:t xml:space="preserve"> to Nebuchadnezzar personally</w:t>
      </w:r>
      <w:r w:rsidR="00482476">
        <w:rPr>
          <w:rFonts w:eastAsia="Times New Roman" w:cs="Times New Roman"/>
        </w:rPr>
        <w:t xml:space="preserve"> ra</w:t>
      </w:r>
      <w:r w:rsidR="00D4586C" w:rsidRPr="00B740B4">
        <w:rPr>
          <w:rFonts w:eastAsia="Times New Roman" w:cs="Times New Roman"/>
        </w:rPr>
        <w:t>ther than to the dynasty</w:t>
      </w:r>
      <w:r w:rsidRPr="00B740B4">
        <w:rPr>
          <w:rFonts w:eastAsia="Times New Roman" w:cs="Times New Roman"/>
        </w:rPr>
        <w:t>. On the king’s authority over the anim</w:t>
      </w:r>
      <w:r w:rsidR="00FA4265" w:rsidRPr="00B740B4">
        <w:rPr>
          <w:rFonts w:eastAsia="Times New Roman" w:cs="Times New Roman"/>
        </w:rPr>
        <w:t>al creation (v 12</w:t>
      </w:r>
      <w:r w:rsidRPr="00B740B4">
        <w:rPr>
          <w:rFonts w:eastAsia="Times New Roman" w:cs="Times New Roman"/>
        </w:rPr>
        <w:t>), see on 2:37–45.</w:t>
      </w:r>
    </w:p>
    <w:p w:rsidR="00D4586C" w:rsidRPr="00B740B4" w:rsidRDefault="00FA4265" w:rsidP="006010BB">
      <w:pPr>
        <w:widowControl w:val="0"/>
        <w:rPr>
          <w:rFonts w:eastAsia="Times New Roman" w:cs="Times New Roman"/>
        </w:rPr>
      </w:pPr>
      <w:r w:rsidRPr="00B740B4">
        <w:rPr>
          <w:rFonts w:eastAsia="Times New Roman" w:cs="Times New Roman"/>
          <w:b/>
        </w:rPr>
        <w:t>13–18</w:t>
      </w:r>
      <w:r w:rsidR="00C93CC0" w:rsidRPr="00B740B4">
        <w:rPr>
          <w:rFonts w:eastAsia="Times New Roman" w:cs="Times New Roman"/>
        </w:rPr>
        <w:t xml:space="preserve"> </w:t>
      </w:r>
      <w:r w:rsidRPr="00B740B4">
        <w:rPr>
          <w:rFonts w:eastAsia="Times New Roman" w:cs="Times New Roman"/>
        </w:rPr>
        <w:t>In Daniel “s</w:t>
      </w:r>
      <w:r w:rsidR="00C93CC0" w:rsidRPr="00B740B4">
        <w:rPr>
          <w:rFonts w:eastAsia="Times New Roman" w:cs="Times New Roman"/>
        </w:rPr>
        <w:t xml:space="preserve">upernatural </w:t>
      </w:r>
      <w:r w:rsidRPr="00B740B4">
        <w:rPr>
          <w:rFonts w:eastAsia="Times New Roman" w:cs="Times New Roman"/>
        </w:rPr>
        <w:t>lookouts</w:t>
      </w:r>
      <w:r w:rsidR="00C93CC0" w:rsidRPr="00B740B4">
        <w:rPr>
          <w:rFonts w:eastAsia="Times New Roman" w:cs="Times New Roman"/>
        </w:rPr>
        <w:t>” is one of a number of expressio</w:t>
      </w:r>
      <w:r w:rsidRPr="00B740B4">
        <w:rPr>
          <w:rFonts w:eastAsia="Times New Roman" w:cs="Times New Roman"/>
        </w:rPr>
        <w:t>ns for heavenly beings</w:t>
      </w:r>
      <w:r w:rsidR="00C93CC0" w:rsidRPr="00B740B4">
        <w:rPr>
          <w:rFonts w:eastAsia="Times New Roman" w:cs="Times New Roman"/>
        </w:rPr>
        <w:t>; for others see 3:28; 7:16; 10:13.</w:t>
      </w:r>
      <w:r w:rsidR="006B4147" w:rsidRPr="00B740B4">
        <w:rPr>
          <w:rStyle w:val="FootnoteReference"/>
          <w:rFonts w:eastAsia="Times New Roman" w:cs="Times New Roman"/>
        </w:rPr>
        <w:footnoteReference w:id="738"/>
      </w:r>
      <w:r w:rsidR="00C93CC0" w:rsidRPr="00B740B4">
        <w:rPr>
          <w:rFonts w:eastAsia="Times New Roman" w:cs="Times New Roman"/>
        </w:rPr>
        <w:t xml:space="preserve"> These terms utilize the arrangements of a human court to picture God’s management of the affairs of </w:t>
      </w:r>
      <w:r w:rsidR="007864E5" w:rsidRPr="00B740B4">
        <w:rPr>
          <w:rFonts w:eastAsia="Times New Roman" w:cs="Times New Roman"/>
        </w:rPr>
        <w:t xml:space="preserve">the </w:t>
      </w:r>
      <w:r w:rsidR="00C93CC0" w:rsidRPr="00B740B4">
        <w:rPr>
          <w:rFonts w:eastAsia="Times New Roman" w:cs="Times New Roman"/>
        </w:rPr>
        <w:t>heaven</w:t>
      </w:r>
      <w:r w:rsidR="007864E5" w:rsidRPr="00B740B4">
        <w:rPr>
          <w:rFonts w:eastAsia="Times New Roman" w:cs="Times New Roman"/>
        </w:rPr>
        <w:t>s</w:t>
      </w:r>
      <w:r w:rsidR="00C93CC0" w:rsidRPr="00B740B4">
        <w:rPr>
          <w:rFonts w:eastAsia="Times New Roman" w:cs="Times New Roman"/>
        </w:rPr>
        <w:t xml:space="preserve"> and </w:t>
      </w:r>
      <w:r w:rsidR="007864E5" w:rsidRPr="00B740B4">
        <w:rPr>
          <w:rFonts w:eastAsia="Times New Roman" w:cs="Times New Roman"/>
        </w:rPr>
        <w:t xml:space="preserve">the </w:t>
      </w:r>
      <w:r w:rsidR="00C93CC0" w:rsidRPr="00B740B4">
        <w:rPr>
          <w:rFonts w:eastAsia="Times New Roman" w:cs="Times New Roman"/>
        </w:rPr>
        <w:t>earth</w:t>
      </w:r>
      <w:r w:rsidRPr="00B740B4">
        <w:rPr>
          <w:rFonts w:eastAsia="Times New Roman" w:cs="Times New Roman"/>
        </w:rPr>
        <w:t xml:space="preserve">, or </w:t>
      </w:r>
      <w:r w:rsidR="005F4304">
        <w:rPr>
          <w:rFonts w:eastAsia="Times New Roman" w:cs="Times New Roman"/>
        </w:rPr>
        <w:t xml:space="preserve">they </w:t>
      </w:r>
      <w:r w:rsidRPr="00B740B4">
        <w:rPr>
          <w:rFonts w:eastAsia="Times New Roman" w:cs="Times New Roman"/>
        </w:rPr>
        <w:t xml:space="preserve">presuppose that God’s management of the affairs of the heavens and </w:t>
      </w:r>
      <w:r w:rsidR="005F4304">
        <w:rPr>
          <w:rFonts w:eastAsia="Times New Roman" w:cs="Times New Roman"/>
        </w:rPr>
        <w:t xml:space="preserve">the </w:t>
      </w:r>
      <w:r w:rsidRPr="00B740B4">
        <w:rPr>
          <w:rFonts w:eastAsia="Times New Roman" w:cs="Times New Roman"/>
        </w:rPr>
        <w:t>earth are reflected in th</w:t>
      </w:r>
      <w:r w:rsidR="005F4304">
        <w:rPr>
          <w:rFonts w:eastAsia="Times New Roman" w:cs="Times New Roman"/>
        </w:rPr>
        <w:t xml:space="preserve">e arrangements of a human </w:t>
      </w:r>
      <w:r w:rsidRPr="00B740B4">
        <w:rPr>
          <w:rFonts w:eastAsia="Times New Roman" w:cs="Times New Roman"/>
        </w:rPr>
        <w:t>court</w:t>
      </w:r>
      <w:r w:rsidR="00C93CC0" w:rsidRPr="00B740B4">
        <w:rPr>
          <w:rFonts w:eastAsia="Times New Roman" w:cs="Times New Roman"/>
        </w:rPr>
        <w:t xml:space="preserve">. An earthly </w:t>
      </w:r>
      <w:r w:rsidRPr="00B740B4">
        <w:rPr>
          <w:rFonts w:eastAsia="Times New Roman" w:cs="Times New Roman"/>
        </w:rPr>
        <w:t>king had lookouts</w:t>
      </w:r>
      <w:r w:rsidR="00C93CC0" w:rsidRPr="00B740B4">
        <w:rPr>
          <w:rFonts w:eastAsia="Times New Roman" w:cs="Times New Roman"/>
        </w:rPr>
        <w:t xml:space="preserve"> who were the eyes and ears whereby he controlled and provided for his realm (see n. 3:2.c). </w:t>
      </w:r>
    </w:p>
    <w:p w:rsidR="00D4586C" w:rsidRPr="00B740B4" w:rsidRDefault="00D4586C" w:rsidP="006010BB">
      <w:pPr>
        <w:widowControl w:val="0"/>
        <w:rPr>
          <w:rFonts w:eastAsia="Times New Roman" w:cs="Times New Roman"/>
        </w:rPr>
      </w:pPr>
    </w:p>
    <w:p w:rsidR="00D4586C" w:rsidRPr="00B740B4" w:rsidRDefault="00D4586C" w:rsidP="00D4586C">
      <w:pPr>
        <w:pStyle w:val="Quote"/>
        <w:rPr>
          <w:rFonts w:eastAsia="Times New Roman"/>
          <w:color w:val="auto"/>
        </w:rPr>
      </w:pPr>
      <w:r w:rsidRPr="00B740B4">
        <w:rPr>
          <w:rFonts w:eastAsia="Times New Roman"/>
          <w:color w:val="auto"/>
        </w:rPr>
        <w:t xml:space="preserve">There is nothing mortal that is faster than the system the Persians have devised for sending messages. Apparently, they have horses and men posted at intervals along the route, the same number in total as the overall length in days of journey, with a fresh horse and rider for every day of travel. Whatever the conditions—it may be snowing, raining, blazing hot, or dark—they </w:t>
      </w:r>
      <w:r w:rsidRPr="00B740B4">
        <w:rPr>
          <w:rFonts w:eastAsia="Times New Roman"/>
          <w:color w:val="auto"/>
        </w:rPr>
        <w:lastRenderedPageBreak/>
        <w:t xml:space="preserve">never fail to complete their assigned journey in the fastest possible time. (Herodotus, </w:t>
      </w:r>
      <w:r w:rsidRPr="00B740B4">
        <w:rPr>
          <w:rFonts w:eastAsia="Times New Roman"/>
          <w:i/>
          <w:color w:val="auto"/>
        </w:rPr>
        <w:t xml:space="preserve">Histories </w:t>
      </w:r>
      <w:r w:rsidRPr="00B740B4">
        <w:rPr>
          <w:rFonts w:eastAsia="Times New Roman"/>
          <w:color w:val="auto"/>
        </w:rPr>
        <w:t>8.98).</w:t>
      </w:r>
    </w:p>
    <w:p w:rsidR="00D4586C" w:rsidRPr="00B740B4" w:rsidRDefault="00D4586C" w:rsidP="006010BB">
      <w:pPr>
        <w:widowControl w:val="0"/>
        <w:rPr>
          <w:rFonts w:eastAsia="Times New Roman" w:cs="Times New Roman"/>
        </w:rPr>
      </w:pPr>
    </w:p>
    <w:p w:rsidR="00C93CC0" w:rsidRPr="00B740B4" w:rsidRDefault="00C93CC0" w:rsidP="006010BB">
      <w:pPr>
        <w:widowControl w:val="0"/>
        <w:rPr>
          <w:rFonts w:eastAsia="Times New Roman" w:cs="Times New Roman"/>
        </w:rPr>
      </w:pPr>
      <w:r w:rsidRPr="00B740B4">
        <w:rPr>
          <w:rFonts w:eastAsia="Times New Roman" w:cs="Times New Roman"/>
        </w:rPr>
        <w:t>The heavenly king gove</w:t>
      </w:r>
      <w:r w:rsidR="00B453A3" w:rsidRPr="00B740B4">
        <w:rPr>
          <w:rFonts w:eastAsia="Times New Roman" w:cs="Times New Roman"/>
        </w:rPr>
        <w:t xml:space="preserve">rns his realm by similar means. Such </w:t>
      </w:r>
      <w:r w:rsidRPr="00B740B4">
        <w:rPr>
          <w:rFonts w:eastAsia="Times New Roman" w:cs="Times New Roman"/>
        </w:rPr>
        <w:t>members of the Council of Yahweh</w:t>
      </w:r>
      <w:r w:rsidR="00D4586C" w:rsidRPr="00B740B4">
        <w:rPr>
          <w:rFonts w:eastAsia="Times New Roman" w:cs="Times New Roman"/>
        </w:rPr>
        <w:t>, his cabinet</w:t>
      </w:r>
      <w:r w:rsidRPr="00B740B4">
        <w:rPr>
          <w:rFonts w:eastAsia="Times New Roman" w:cs="Times New Roman"/>
        </w:rPr>
        <w:t xml:space="preserve"> (</w:t>
      </w:r>
      <w:r w:rsidR="00FA4265" w:rsidRPr="00B740B4">
        <w:rPr>
          <w:rFonts w:eastAsia="Times New Roman" w:cs="Times New Roman"/>
        </w:rPr>
        <w:t>1 Kgs 22:19–22; Job 1–2; Ps 89:5–7 [6–8</w:t>
      </w:r>
      <w:r w:rsidR="00B453A3" w:rsidRPr="00B740B4">
        <w:rPr>
          <w:rFonts w:eastAsia="Times New Roman" w:cs="Times New Roman"/>
        </w:rPr>
        <w:t xml:space="preserve">]; Jer 23:18) </w:t>
      </w:r>
      <w:r w:rsidRPr="00B740B4">
        <w:rPr>
          <w:rFonts w:eastAsia="Times New Roman" w:cs="Times New Roman"/>
        </w:rPr>
        <w:t>act as his eyes (2 Chr 16:9; Zech 4:10; cf. 1:</w:t>
      </w:r>
      <w:r w:rsidR="00D4586C" w:rsidRPr="00B740B4">
        <w:rPr>
          <w:rFonts w:eastAsia="Times New Roman" w:cs="Times New Roman"/>
        </w:rPr>
        <w:t>9), keeping him informed on affairs in</w:t>
      </w:r>
      <w:r w:rsidRPr="00B740B4">
        <w:rPr>
          <w:rFonts w:eastAsia="Times New Roman" w:cs="Times New Roman"/>
        </w:rPr>
        <w:t xml:space="preserve"> his realm and seeing that his will is put into effect throughout it. For “</w:t>
      </w:r>
      <w:r w:rsidR="00FA4265" w:rsidRPr="00B740B4">
        <w:rPr>
          <w:rFonts w:eastAsia="Times New Roman" w:cs="Times New Roman"/>
        </w:rPr>
        <w:t>lookouts</w:t>
      </w:r>
      <w:r w:rsidRPr="00B740B4">
        <w:rPr>
          <w:rFonts w:eastAsia="Times New Roman" w:cs="Times New Roman"/>
        </w:rPr>
        <w:t>” in particular, per</w:t>
      </w:r>
      <w:r w:rsidR="00FA4265" w:rsidRPr="00B740B4">
        <w:rPr>
          <w:rFonts w:eastAsia="Times New Roman" w:cs="Times New Roman"/>
        </w:rPr>
        <w:t>haps compare</w:t>
      </w:r>
      <w:r w:rsidR="00B453A3" w:rsidRPr="00B740B4">
        <w:rPr>
          <w:rFonts w:eastAsia="Times New Roman" w:cs="Times New Roman"/>
        </w:rPr>
        <w:t xml:space="preserve"> Isa 62:6. Of course a</w:t>
      </w:r>
      <w:r w:rsidRPr="00B740B4">
        <w:rPr>
          <w:rFonts w:eastAsia="Times New Roman" w:cs="Times New Roman"/>
        </w:rPr>
        <w:t>n ea</w:t>
      </w:r>
      <w:r w:rsidR="00B453A3" w:rsidRPr="00B740B4">
        <w:rPr>
          <w:rFonts w:eastAsia="Times New Roman" w:cs="Times New Roman"/>
        </w:rPr>
        <w:t xml:space="preserve">rthly king’s agents </w:t>
      </w:r>
      <w:r w:rsidRPr="00B740B4">
        <w:rPr>
          <w:rFonts w:eastAsia="Times New Roman" w:cs="Times New Roman"/>
        </w:rPr>
        <w:t>might rebel, and so might God’s</w:t>
      </w:r>
      <w:r w:rsidR="00B453A3" w:rsidRPr="00B740B4">
        <w:rPr>
          <w:rFonts w:eastAsia="Times New Roman" w:cs="Times New Roman"/>
        </w:rPr>
        <w:t xml:space="preserve"> agents</w:t>
      </w:r>
      <w:r w:rsidRPr="00B740B4">
        <w:rPr>
          <w:rFonts w:eastAsia="Times New Roman" w:cs="Times New Roman"/>
        </w:rPr>
        <w:t>; “</w:t>
      </w:r>
      <w:r w:rsidR="00FA4265" w:rsidRPr="00B740B4">
        <w:rPr>
          <w:rFonts w:eastAsia="Times New Roman" w:cs="Times New Roman"/>
        </w:rPr>
        <w:t>lookouts</w:t>
      </w:r>
      <w:r w:rsidRPr="00B740B4">
        <w:rPr>
          <w:rFonts w:eastAsia="Times New Roman" w:cs="Times New Roman"/>
        </w:rPr>
        <w:t>” became a term for such rebels (</w:t>
      </w:r>
      <w:r w:rsidRPr="00B740B4">
        <w:rPr>
          <w:rFonts w:eastAsia="Times New Roman" w:cs="Times New Roman"/>
          <w:i/>
        </w:rPr>
        <w:t>1 Enoch</w:t>
      </w:r>
      <w:r w:rsidRPr="00B740B4">
        <w:rPr>
          <w:rFonts w:eastAsia="Times New Roman" w:cs="Times New Roman"/>
        </w:rPr>
        <w:t xml:space="preserve"> 1.5; 10.9, 15; 12.4; 13.10; contrast 12.2,</w:t>
      </w:r>
      <w:r w:rsidR="00B453A3" w:rsidRPr="00B740B4">
        <w:rPr>
          <w:rFonts w:eastAsia="Times New Roman" w:cs="Times New Roman"/>
        </w:rPr>
        <w:t xml:space="preserve"> 3); compare</w:t>
      </w:r>
      <w:r w:rsidRPr="00B740B4">
        <w:rPr>
          <w:rFonts w:eastAsia="Times New Roman" w:cs="Times New Roman"/>
        </w:rPr>
        <w:t xml:space="preserve"> the “gods” in Ps 82.</w:t>
      </w:r>
      <w:r w:rsidR="007901CB" w:rsidRPr="00B740B4">
        <w:rPr>
          <w:rStyle w:val="FootnoteReference"/>
          <w:rFonts w:eastAsia="Times New Roman" w:cs="Times New Roman"/>
        </w:rPr>
        <w:footnoteReference w:id="739"/>
      </w:r>
    </w:p>
    <w:p w:rsidR="007E4AE5" w:rsidRPr="00B740B4" w:rsidRDefault="00C93CC0" w:rsidP="007E4AE5">
      <w:pPr>
        <w:widowControl w:val="0"/>
        <w:rPr>
          <w:rFonts w:eastAsia="Times New Roman" w:cs="Times New Roman"/>
        </w:rPr>
      </w:pPr>
      <w:r w:rsidRPr="00B740B4">
        <w:rPr>
          <w:rFonts w:eastAsia="Times New Roman" w:cs="Times New Roman"/>
        </w:rPr>
        <w:t>S</w:t>
      </w:r>
      <w:r w:rsidR="00B453A3" w:rsidRPr="00B740B4">
        <w:rPr>
          <w:rFonts w:eastAsia="Times New Roman" w:cs="Times New Roman"/>
        </w:rPr>
        <w:t>uch s</w:t>
      </w:r>
      <w:r w:rsidRPr="00B740B4">
        <w:rPr>
          <w:rFonts w:eastAsia="Times New Roman" w:cs="Times New Roman"/>
        </w:rPr>
        <w:t>u</w:t>
      </w:r>
      <w:r w:rsidR="00B453A3" w:rsidRPr="00B740B4">
        <w:rPr>
          <w:rFonts w:eastAsia="Times New Roman" w:cs="Times New Roman"/>
        </w:rPr>
        <w:t>pernatural figures</w:t>
      </w:r>
      <w:r w:rsidRPr="00B740B4">
        <w:rPr>
          <w:rFonts w:eastAsia="Times New Roman" w:cs="Times New Roman"/>
        </w:rPr>
        <w:t xml:space="preserve"> also feature in Canaanite, Babylonian, and Persian religion</w:t>
      </w:r>
      <w:r w:rsidR="00B453A3" w:rsidRPr="00B740B4">
        <w:rPr>
          <w:rFonts w:eastAsia="Times New Roman" w:cs="Times New Roman"/>
        </w:rPr>
        <w:t>;</w:t>
      </w:r>
      <w:r w:rsidR="00B453A3" w:rsidRPr="00B740B4">
        <w:rPr>
          <w:rFonts w:eastAsia="Times New Roman" w:cs="Times New Roman"/>
          <w:vertAlign w:val="superscript"/>
        </w:rPr>
        <w:footnoteReference w:id="740"/>
      </w:r>
      <w:r w:rsidR="00B453A3" w:rsidRPr="00B740B4">
        <w:rPr>
          <w:rFonts w:eastAsia="Times New Roman" w:cs="Times New Roman"/>
        </w:rPr>
        <w:t xml:space="preserve"> t</w:t>
      </w:r>
      <w:r w:rsidRPr="00B740B4">
        <w:rPr>
          <w:rFonts w:eastAsia="Times New Roman" w:cs="Times New Roman"/>
        </w:rPr>
        <w:t>he Babylonian</w:t>
      </w:r>
      <w:r w:rsidR="00B453A3" w:rsidRPr="00B740B4">
        <w:rPr>
          <w:rFonts w:eastAsia="Times New Roman" w:cs="Times New Roman"/>
        </w:rPr>
        <w:t>s</w:t>
      </w:r>
      <w:r w:rsidRPr="00B740B4">
        <w:rPr>
          <w:rFonts w:eastAsia="Times New Roman" w:cs="Times New Roman"/>
        </w:rPr>
        <w:t xml:space="preserve"> </w:t>
      </w:r>
      <w:r w:rsidR="00B453A3" w:rsidRPr="00B740B4">
        <w:rPr>
          <w:rFonts w:eastAsia="Times New Roman" w:cs="Times New Roman"/>
        </w:rPr>
        <w:t xml:space="preserve">in particular </w:t>
      </w:r>
      <w:r w:rsidRPr="00B740B4">
        <w:rPr>
          <w:rFonts w:eastAsia="Times New Roman" w:cs="Times New Roman"/>
        </w:rPr>
        <w:t xml:space="preserve">personified night watches who, </w:t>
      </w:r>
      <w:r w:rsidR="005F4304">
        <w:rPr>
          <w:rFonts w:eastAsia="Times New Roman" w:cs="Times New Roman"/>
        </w:rPr>
        <w:t>vigilant</w:t>
      </w:r>
      <w:r w:rsidR="005F4304" w:rsidRPr="00B740B4">
        <w:rPr>
          <w:rFonts w:eastAsia="Times New Roman" w:cs="Times New Roman"/>
        </w:rPr>
        <w:t xml:space="preserve"> </w:t>
      </w:r>
      <w:r w:rsidRPr="00B740B4">
        <w:rPr>
          <w:rFonts w:eastAsia="Times New Roman" w:cs="Times New Roman"/>
        </w:rPr>
        <w:t>and never sleeping, are resp</w:t>
      </w:r>
      <w:r w:rsidR="00B453A3" w:rsidRPr="00B740B4">
        <w:rPr>
          <w:rFonts w:eastAsia="Times New Roman" w:cs="Times New Roman"/>
        </w:rPr>
        <w:t>onsible for destinies on earth (</w:t>
      </w:r>
      <w:r w:rsidRPr="00B740B4">
        <w:rPr>
          <w:rFonts w:eastAsia="Times New Roman" w:cs="Times New Roman"/>
          <w:i/>
        </w:rPr>
        <w:t>CAD</w:t>
      </w:r>
      <w:r w:rsidR="00B453A3" w:rsidRPr="00B740B4">
        <w:rPr>
          <w:rFonts w:eastAsia="Times New Roman" w:cs="Times New Roman"/>
        </w:rPr>
        <w:t xml:space="preserve"> E: 326</w:t>
      </w:r>
      <w:r w:rsidRPr="00B740B4">
        <w:rPr>
          <w:rFonts w:eastAsia="Times New Roman" w:cs="Times New Roman"/>
        </w:rPr>
        <w:t>). Nebuchadnezzar might then be using a pagan expression, which</w:t>
      </w:r>
      <w:r w:rsidR="00B453A3" w:rsidRPr="00B740B4">
        <w:rPr>
          <w:rFonts w:eastAsia="Times New Roman" w:cs="Times New Roman"/>
        </w:rPr>
        <w:t xml:space="preserve"> Daniel later “corrects” (v 23); “lookout</w:t>
      </w:r>
      <w:r w:rsidRPr="00B740B4">
        <w:rPr>
          <w:rFonts w:eastAsia="Times New Roman" w:cs="Times New Roman"/>
        </w:rPr>
        <w:t xml:space="preserve">” is a description of God himself in Ps 121:3–4; as </w:t>
      </w:r>
      <w:r w:rsidRPr="00B740B4">
        <w:rPr>
          <w:rFonts w:ascii="Arial" w:eastAsia="Times New Roman" w:hAnsi="Arial" w:cs="Arial"/>
        </w:rPr>
        <w:t>קדוש</w:t>
      </w:r>
      <w:r w:rsidRPr="00B740B4">
        <w:rPr>
          <w:rFonts w:eastAsia="Times New Roman" w:cs="Times New Roman"/>
        </w:rPr>
        <w:t xml:space="preserve"> </w:t>
      </w:r>
      <w:r w:rsidRPr="00B740B4">
        <w:rPr>
          <w:rFonts w:ascii="Calibri" w:eastAsia="Times New Roman" w:hAnsi="Calibri" w:cs="Calibri"/>
        </w:rPr>
        <w:t>“</w:t>
      </w:r>
      <w:r w:rsidRPr="00B740B4">
        <w:rPr>
          <w:rFonts w:eastAsia="Times New Roman" w:cs="Times New Roman"/>
        </w:rPr>
        <w:t>holy/supernatural</w:t>
      </w:r>
      <w:r w:rsidRPr="00B740B4">
        <w:rPr>
          <w:rFonts w:ascii="Calibri" w:eastAsia="Times New Roman" w:hAnsi="Calibri" w:cs="Calibri"/>
        </w:rPr>
        <w:t>”</w:t>
      </w:r>
      <w:r w:rsidR="00B453A3" w:rsidRPr="00B740B4">
        <w:rPr>
          <w:rFonts w:eastAsia="Times New Roman" w:cs="Times New Roman"/>
        </w:rPr>
        <w:t xml:space="preserve"> often is</w:t>
      </w:r>
      <w:r w:rsidRPr="00B740B4">
        <w:rPr>
          <w:rFonts w:eastAsia="Times New Roman" w:cs="Times New Roman"/>
        </w:rPr>
        <w:t>. Yet Daniel refers elsewhere to God</w:t>
      </w:r>
      <w:r w:rsidRPr="00B740B4">
        <w:rPr>
          <w:rFonts w:ascii="Calibri" w:eastAsia="Times New Roman" w:hAnsi="Calibri" w:cs="Calibri"/>
        </w:rPr>
        <w:t>’</w:t>
      </w:r>
      <w:r w:rsidRPr="00B740B4">
        <w:rPr>
          <w:rFonts w:eastAsia="Times New Roman" w:cs="Times New Roman"/>
        </w:rPr>
        <w:t>s heavenly agents without implying that they rival God himself, and the rest of Nebuchadnezzar</w:t>
      </w:r>
      <w:r w:rsidRPr="00B740B4">
        <w:rPr>
          <w:rFonts w:ascii="Calibri" w:eastAsia="Times New Roman" w:hAnsi="Calibri" w:cs="Calibri"/>
        </w:rPr>
        <w:t>’</w:t>
      </w:r>
      <w:r w:rsidR="00B453A3" w:rsidRPr="00B740B4">
        <w:rPr>
          <w:rFonts w:eastAsia="Times New Roman" w:cs="Times New Roman"/>
        </w:rPr>
        <w:t>s statement (v 17b</w:t>
      </w:r>
      <w:r w:rsidRPr="00B740B4">
        <w:rPr>
          <w:rFonts w:eastAsia="Times New Roman" w:cs="Times New Roman"/>
        </w:rPr>
        <w:t xml:space="preserve">) seems </w:t>
      </w:r>
      <w:r w:rsidRPr="00B740B4">
        <w:rPr>
          <w:rFonts w:ascii="Calibri" w:eastAsia="Times New Roman" w:hAnsi="Calibri" w:cs="Calibri"/>
        </w:rPr>
        <w:t>“</w:t>
      </w:r>
      <w:r w:rsidRPr="00B740B4">
        <w:rPr>
          <w:rFonts w:eastAsia="Times New Roman" w:cs="Times New Roman"/>
        </w:rPr>
        <w:t>o</w:t>
      </w:r>
      <w:r w:rsidR="00B453A3" w:rsidRPr="00B740B4">
        <w:rPr>
          <w:rFonts w:eastAsia="Times New Roman" w:cs="Times New Roman"/>
        </w:rPr>
        <w:t>rthodox” enough (see also v 35</w:t>
      </w:r>
      <w:r w:rsidRPr="00B740B4">
        <w:rPr>
          <w:rFonts w:eastAsia="Times New Roman" w:cs="Times New Roman"/>
        </w:rPr>
        <w:t xml:space="preserve"> and </w:t>
      </w:r>
      <w:r w:rsidRPr="00B740B4">
        <w:rPr>
          <w:rFonts w:eastAsia="Times New Roman" w:cs="Times New Roman"/>
          <w:i/>
        </w:rPr>
        <w:t>Explanation</w:t>
      </w:r>
      <w:r w:rsidR="00B453A3" w:rsidRPr="00B740B4">
        <w:rPr>
          <w:rFonts w:eastAsia="Times New Roman" w:cs="Times New Roman"/>
          <w:i/>
        </w:rPr>
        <w:t xml:space="preserve"> </w:t>
      </w:r>
      <w:r w:rsidR="00B453A3" w:rsidRPr="00B740B4">
        <w:rPr>
          <w:rFonts w:eastAsia="Times New Roman" w:cs="Times New Roman"/>
        </w:rPr>
        <w:t>below</w:t>
      </w:r>
      <w:r w:rsidRPr="00B740B4">
        <w:rPr>
          <w:rFonts w:eastAsia="Times New Roman" w:cs="Times New Roman"/>
        </w:rPr>
        <w:t>). Nor need one infer that this way of picturing God acting is alien to that whi</w:t>
      </w:r>
      <w:r w:rsidR="00B453A3" w:rsidRPr="00B740B4">
        <w:rPr>
          <w:rFonts w:eastAsia="Times New Roman" w:cs="Times New Roman"/>
        </w:rPr>
        <w:t>ch generally appears in the OT</w:t>
      </w:r>
      <w:r w:rsidRPr="00B740B4">
        <w:rPr>
          <w:rFonts w:eastAsia="Times New Roman" w:cs="Times New Roman"/>
        </w:rPr>
        <w:t>.</w:t>
      </w:r>
      <w:r w:rsidR="00B453A3" w:rsidRPr="00B740B4">
        <w:rPr>
          <w:rStyle w:val="FootnoteReference"/>
          <w:rFonts w:eastAsia="Times New Roman" w:cs="Times New Roman"/>
        </w:rPr>
        <w:footnoteReference w:id="741"/>
      </w:r>
      <w:r w:rsidR="00D4586C" w:rsidRPr="00B740B4">
        <w:rPr>
          <w:rFonts w:eastAsia="Times New Roman" w:cs="Times New Roman"/>
        </w:rPr>
        <w:t xml:space="preserve"> It </w:t>
      </w:r>
      <w:r w:rsidRPr="00B740B4">
        <w:rPr>
          <w:rFonts w:eastAsia="Times New Roman" w:cs="Times New Roman"/>
        </w:rPr>
        <w:t>emphasize</w:t>
      </w:r>
      <w:r w:rsidR="00D4586C" w:rsidRPr="00B740B4">
        <w:rPr>
          <w:rFonts w:eastAsia="Times New Roman" w:cs="Times New Roman"/>
        </w:rPr>
        <w:t>s</w:t>
      </w:r>
      <w:r w:rsidRPr="00B740B4">
        <w:rPr>
          <w:rFonts w:eastAsia="Times New Roman" w:cs="Times New Roman"/>
        </w:rPr>
        <w:t xml:space="preserve"> the </w:t>
      </w:r>
      <w:r w:rsidRPr="00B740B4">
        <w:rPr>
          <w:rFonts w:eastAsia="Times New Roman" w:cs="Times New Roman"/>
          <w:i/>
        </w:rPr>
        <w:t>means</w:t>
      </w:r>
      <w:r w:rsidRPr="00B740B4">
        <w:rPr>
          <w:rFonts w:eastAsia="Times New Roman" w:cs="Times New Roman"/>
        </w:rPr>
        <w:t xml:space="preserve"> of God’s governing the world and</w:t>
      </w:r>
      <w:r w:rsidR="00B453A3" w:rsidRPr="00B740B4">
        <w:rPr>
          <w:rFonts w:eastAsia="Times New Roman" w:cs="Times New Roman"/>
        </w:rPr>
        <w:t xml:space="preserve"> not his direct agency, but it</w:t>
      </w:r>
      <w:r w:rsidRPr="00B740B4">
        <w:rPr>
          <w:rFonts w:eastAsia="Times New Roman" w:cs="Times New Roman"/>
        </w:rPr>
        <w:t xml:space="preserve"> need not </w:t>
      </w:r>
      <w:r w:rsidR="00B453A3" w:rsidRPr="00B740B4">
        <w:rPr>
          <w:rFonts w:eastAsia="Times New Roman" w:cs="Times New Roman"/>
        </w:rPr>
        <w:t xml:space="preserve">thereby </w:t>
      </w:r>
      <w:r w:rsidRPr="00B740B4">
        <w:rPr>
          <w:rFonts w:eastAsia="Times New Roman" w:cs="Times New Roman"/>
        </w:rPr>
        <w:t xml:space="preserve">imply that God is remote and inaccessible. The Isaiah who emphasizes God’s transcendence (Isa 6:1) also assumes God’s direct involvement in Israelite and international affairs; the Gospels and Acts that stress God’s presence with humanity in Christ and in the Spirit also portray the involvement of angels </w:t>
      </w:r>
      <w:r w:rsidR="00B453A3" w:rsidRPr="00B740B4">
        <w:rPr>
          <w:rFonts w:eastAsia="Times New Roman" w:cs="Times New Roman"/>
        </w:rPr>
        <w:t>in the story of Jesus</w:t>
      </w:r>
      <w:r w:rsidRPr="00B740B4">
        <w:rPr>
          <w:rFonts w:eastAsia="Times New Roman" w:cs="Times New Roman"/>
        </w:rPr>
        <w:t xml:space="preserve"> an</w:t>
      </w:r>
      <w:r w:rsidR="007E4AE5" w:rsidRPr="00B740B4">
        <w:rPr>
          <w:rFonts w:eastAsia="Times New Roman" w:cs="Times New Roman"/>
        </w:rPr>
        <w:t>d the beginnings of the church.</w:t>
      </w:r>
    </w:p>
    <w:p w:rsidR="00F624FB" w:rsidRPr="00B740B4" w:rsidRDefault="00C93CC0" w:rsidP="006010BB">
      <w:pPr>
        <w:widowControl w:val="0"/>
        <w:rPr>
          <w:rFonts w:eastAsia="Times New Roman" w:cs="Times New Roman"/>
        </w:rPr>
      </w:pPr>
      <w:r w:rsidRPr="00B740B4">
        <w:rPr>
          <w:rFonts w:eastAsia="Times New Roman" w:cs="Times New Roman"/>
        </w:rPr>
        <w:t>The proclamation’s addressees are not specified (cf</w:t>
      </w:r>
      <w:r w:rsidR="00B453A3" w:rsidRPr="00B740B4">
        <w:rPr>
          <w:rFonts w:eastAsia="Times New Roman" w:cs="Times New Roman"/>
        </w:rPr>
        <w:t>. Isa 40:1); the plurals (v 14) are</w:t>
      </w:r>
      <w:r w:rsidRPr="00B740B4">
        <w:rPr>
          <w:rFonts w:eastAsia="Times New Roman" w:cs="Times New Roman"/>
        </w:rPr>
        <w:t xml:space="preserve"> impersonal and </w:t>
      </w:r>
      <w:r w:rsidR="00B453A3" w:rsidRPr="00B740B4">
        <w:rPr>
          <w:rFonts w:eastAsia="Times New Roman" w:cs="Times New Roman"/>
        </w:rPr>
        <w:t xml:space="preserve">are </w:t>
      </w:r>
      <w:r w:rsidRPr="00B740B4">
        <w:rPr>
          <w:rFonts w:eastAsia="Times New Roman" w:cs="Times New Roman"/>
        </w:rPr>
        <w:t>syntactically, though not rhetorically, equiva</w:t>
      </w:r>
      <w:r w:rsidR="00B453A3" w:rsidRPr="00B740B4">
        <w:rPr>
          <w:rFonts w:eastAsia="Times New Roman" w:cs="Times New Roman"/>
        </w:rPr>
        <w:t>lent to passives (cf. vv 15–16; Lk</w:t>
      </w:r>
      <w:r w:rsidRPr="00B740B4">
        <w:rPr>
          <w:rFonts w:eastAsia="Times New Roman" w:cs="Times New Roman"/>
        </w:rPr>
        <w:t xml:space="preserve"> 12:20). The point is the certainty that God’s destructive </w:t>
      </w:r>
      <w:r w:rsidR="005F4304">
        <w:rPr>
          <w:rFonts w:eastAsia="Times New Roman" w:cs="Times New Roman"/>
        </w:rPr>
        <w:t>purpose will be fulfilled. When t</w:t>
      </w:r>
      <w:r w:rsidR="00EB6B62" w:rsidRPr="00B740B4">
        <w:rPr>
          <w:rFonts w:eastAsia="Times New Roman" w:cs="Times New Roman"/>
        </w:rPr>
        <w:t>he lookout’s</w:t>
      </w:r>
      <w:r w:rsidRPr="00B740B4">
        <w:rPr>
          <w:rFonts w:eastAsia="Times New Roman" w:cs="Times New Roman"/>
        </w:rPr>
        <w:t xml:space="preserve"> message describes someone being reduced to animal</w:t>
      </w:r>
      <w:r w:rsidR="005F4304">
        <w:rPr>
          <w:rFonts w:eastAsia="Times New Roman" w:cs="Times New Roman"/>
        </w:rPr>
        <w:t>-like existence, the implication is not that he is going insane. It i</w:t>
      </w:r>
      <w:r w:rsidR="00F624FB" w:rsidRPr="00B740B4">
        <w:rPr>
          <w:rFonts w:eastAsia="Times New Roman" w:cs="Times New Roman"/>
        </w:rPr>
        <w:t>s rather than God is going to turn him from a creature with one set of instincts to a creature with a different set. What is natural for him is going to change.</w:t>
      </w:r>
    </w:p>
    <w:p w:rsidR="00C93CC0" w:rsidRPr="00B740B4" w:rsidRDefault="00EB6B62" w:rsidP="006010BB">
      <w:pPr>
        <w:widowControl w:val="0"/>
        <w:rPr>
          <w:rFonts w:eastAsia="Times New Roman" w:cs="Times New Roman"/>
        </w:rPr>
      </w:pPr>
      <w:r w:rsidRPr="00B740B4">
        <w:rPr>
          <w:rFonts w:eastAsia="Times New Roman" w:cs="Times New Roman"/>
        </w:rPr>
        <w:t xml:space="preserve">Restraint by a </w:t>
      </w:r>
      <w:r w:rsidR="00C93CC0" w:rsidRPr="00B740B4">
        <w:rPr>
          <w:rFonts w:eastAsia="Times New Roman" w:cs="Times New Roman"/>
        </w:rPr>
        <w:t>metal ring is more likely part of that description</w:t>
      </w:r>
      <w:r w:rsidR="00D4586C" w:rsidRPr="00B740B4">
        <w:rPr>
          <w:rFonts w:eastAsia="Times New Roman" w:cs="Times New Roman"/>
        </w:rPr>
        <w:t xml:space="preserve"> (Jerome </w:t>
      </w:r>
      <w:r w:rsidR="005F4304">
        <w:rPr>
          <w:rFonts w:eastAsia="Times New Roman" w:cs="Times New Roman"/>
        </w:rPr>
        <w:t>does compare</w:t>
      </w:r>
      <w:r w:rsidR="00D4586C" w:rsidRPr="00B740B4">
        <w:rPr>
          <w:rFonts w:eastAsia="Times New Roman" w:cs="Times New Roman"/>
        </w:rPr>
        <w:t xml:space="preserve"> it with the chaining of someone who is mad</w:t>
      </w:r>
      <w:r w:rsidRPr="00B740B4">
        <w:rPr>
          <w:rFonts w:eastAsia="Times New Roman" w:cs="Times New Roman"/>
        </w:rPr>
        <w:t>)</w:t>
      </w:r>
      <w:r w:rsidRPr="00B740B4">
        <w:rPr>
          <w:rStyle w:val="FootnoteReference"/>
          <w:rFonts w:eastAsia="Times New Roman" w:cs="Times New Roman"/>
        </w:rPr>
        <w:footnoteReference w:id="742"/>
      </w:r>
      <w:r w:rsidRPr="00B740B4">
        <w:rPr>
          <w:rFonts w:eastAsia="Times New Roman" w:cs="Times New Roman"/>
        </w:rPr>
        <w:t xml:space="preserve"> </w:t>
      </w:r>
      <w:r w:rsidR="00C93CC0" w:rsidRPr="00B740B4">
        <w:rPr>
          <w:rFonts w:eastAsia="Times New Roman" w:cs="Times New Roman"/>
        </w:rPr>
        <w:t>than an aspect of tree culture, whether designed to keep the tree from disintegrating altogether or to keep it from branchin</w:t>
      </w:r>
      <w:r w:rsidR="005F4304">
        <w:rPr>
          <w:rFonts w:eastAsia="Times New Roman" w:cs="Times New Roman"/>
        </w:rPr>
        <w:t xml:space="preserve">g anew. It </w:t>
      </w:r>
      <w:r w:rsidR="00C93CC0" w:rsidRPr="00B740B4">
        <w:rPr>
          <w:rFonts w:eastAsia="Times New Roman" w:cs="Times New Roman"/>
        </w:rPr>
        <w:t>suggests a reversal of the treatment Nebuchadnezzar had given Israel (Jer 28:14; 39:7; 52:11; cf. Deut 28:48; also Jer 1:18; Mic 4:13; Ps 107:16). To live i</w:t>
      </w:r>
      <w:r w:rsidRPr="00B740B4">
        <w:rPr>
          <w:rFonts w:eastAsia="Times New Roman" w:cs="Times New Roman"/>
        </w:rPr>
        <w:t>n the open, tethered, feeding on</w:t>
      </w:r>
      <w:r w:rsidR="00C93CC0" w:rsidRPr="00B740B4">
        <w:rPr>
          <w:rFonts w:eastAsia="Times New Roman" w:cs="Times New Roman"/>
        </w:rPr>
        <w:t xml:space="preserve"> natural vegetation, </w:t>
      </w:r>
      <w:r w:rsidRPr="00B740B4">
        <w:rPr>
          <w:rFonts w:eastAsia="Times New Roman" w:cs="Times New Roman"/>
        </w:rPr>
        <w:t xml:space="preserve">and </w:t>
      </w:r>
      <w:r w:rsidR="00C93CC0" w:rsidRPr="00B740B4">
        <w:rPr>
          <w:rFonts w:eastAsia="Times New Roman" w:cs="Times New Roman"/>
        </w:rPr>
        <w:t>exposed to the elements, is natural and not unple</w:t>
      </w:r>
      <w:r w:rsidRPr="00B740B4">
        <w:rPr>
          <w:rFonts w:eastAsia="Times New Roman" w:cs="Times New Roman"/>
        </w:rPr>
        <w:t>asant for animals, but alien to</w:t>
      </w:r>
      <w:r w:rsidR="00C93CC0" w:rsidRPr="00B740B4">
        <w:rPr>
          <w:rFonts w:eastAsia="Times New Roman" w:cs="Times New Roman"/>
        </w:rPr>
        <w:t xml:space="preserve"> human beings.</w:t>
      </w:r>
      <w:r w:rsidR="00AE1480" w:rsidRPr="00B740B4">
        <w:rPr>
          <w:rFonts w:eastAsia="Times New Roman" w:cs="Times New Roman"/>
        </w:rPr>
        <w:t xml:space="preserve"> The curses in a vassal treaty made by</w:t>
      </w:r>
      <w:r w:rsidR="00B91976" w:rsidRPr="00B740B4">
        <w:rPr>
          <w:rFonts w:eastAsia="Times New Roman" w:cs="Times New Roman"/>
        </w:rPr>
        <w:t xml:space="preserve"> Esarhaddon</w:t>
      </w:r>
      <w:r w:rsidR="00AE1480" w:rsidRPr="00B740B4">
        <w:rPr>
          <w:rFonts w:eastAsia="Times New Roman" w:cs="Times New Roman"/>
        </w:rPr>
        <w:t>, the seventh-century Assyrian king,</w:t>
      </w:r>
      <w:r w:rsidR="00B91976" w:rsidRPr="00B740B4">
        <w:rPr>
          <w:rFonts w:eastAsia="Times New Roman" w:cs="Times New Roman"/>
        </w:rPr>
        <w:t xml:space="preserve"> include the prospect of wandering i</w:t>
      </w:r>
      <w:r w:rsidR="00AE1480" w:rsidRPr="00B740B4">
        <w:rPr>
          <w:rFonts w:eastAsia="Times New Roman" w:cs="Times New Roman"/>
        </w:rPr>
        <w:t>n the countryside like a wild donkey or</w:t>
      </w:r>
      <w:r w:rsidR="00B91976" w:rsidRPr="00B740B4">
        <w:rPr>
          <w:rFonts w:eastAsia="Times New Roman" w:cs="Times New Roman"/>
        </w:rPr>
        <w:t xml:space="preserve"> a gazelle.</w:t>
      </w:r>
      <w:r w:rsidR="00B91976" w:rsidRPr="00B740B4">
        <w:rPr>
          <w:rStyle w:val="FootnoteReference"/>
          <w:rFonts w:eastAsia="Times New Roman" w:cs="Times New Roman"/>
        </w:rPr>
        <w:footnoteReference w:id="743"/>
      </w:r>
    </w:p>
    <w:p w:rsidR="00C93CC0" w:rsidRPr="00B740B4" w:rsidRDefault="00C93CC0" w:rsidP="006010BB">
      <w:pPr>
        <w:widowControl w:val="0"/>
        <w:rPr>
          <w:rFonts w:eastAsia="Times New Roman" w:cs="Times New Roman"/>
        </w:rPr>
      </w:pPr>
      <w:r w:rsidRPr="00B740B4">
        <w:rPr>
          <w:rFonts w:eastAsia="Times New Roman" w:cs="Times New Roman"/>
        </w:rPr>
        <w:t>Talk of God’s being able to do as he wishes (</w:t>
      </w:r>
      <w:r w:rsidRPr="00B740B4">
        <w:rPr>
          <w:rFonts w:ascii="Arial" w:eastAsia="Times New Roman" w:hAnsi="Arial" w:cs="Arial"/>
        </w:rPr>
        <w:t>יצבא</w:t>
      </w:r>
      <w:r w:rsidR="00EB6B62" w:rsidRPr="00B740B4">
        <w:rPr>
          <w:rFonts w:eastAsia="Times New Roman" w:cs="Times New Roman"/>
        </w:rPr>
        <w:t>, v 17</w:t>
      </w:r>
      <w:r w:rsidRPr="00B740B4">
        <w:rPr>
          <w:rFonts w:eastAsia="Times New Roman" w:cs="Times New Roman"/>
        </w:rPr>
        <w:t>) or acting according to his wish (</w:t>
      </w:r>
      <w:r w:rsidRPr="00B740B4">
        <w:rPr>
          <w:rFonts w:ascii="Arial" w:eastAsia="Times New Roman" w:hAnsi="Arial" w:cs="Arial"/>
        </w:rPr>
        <w:t>מצביה</w:t>
      </w:r>
      <w:r w:rsidR="00EB6B62" w:rsidRPr="00B740B4">
        <w:rPr>
          <w:rFonts w:eastAsia="Times New Roman" w:cs="Times New Roman"/>
        </w:rPr>
        <w:t>, v 35</w:t>
      </w:r>
      <w:r w:rsidRPr="00B740B4">
        <w:rPr>
          <w:rFonts w:eastAsia="Times New Roman" w:cs="Times New Roman"/>
        </w:rPr>
        <w:t>) reflects the formulae of legal transactions</w:t>
      </w:r>
      <w:r w:rsidR="00EB6B62" w:rsidRPr="00B740B4">
        <w:rPr>
          <w:rStyle w:val="FootnoteReference"/>
          <w:rFonts w:eastAsia="Times New Roman" w:cs="Times New Roman"/>
        </w:rPr>
        <w:footnoteReference w:id="744"/>
      </w:r>
      <w:r w:rsidRPr="00B740B4">
        <w:rPr>
          <w:rFonts w:eastAsia="Times New Roman" w:cs="Times New Roman"/>
        </w:rPr>
        <w:t xml:space="preserve"> and is thus another aspect of the portrayal of God’s way of acting </w:t>
      </w:r>
      <w:r w:rsidR="005F4304">
        <w:rPr>
          <w:rFonts w:eastAsia="Times New Roman" w:cs="Times New Roman"/>
        </w:rPr>
        <w:t>by analogy with</w:t>
      </w:r>
      <w:r w:rsidRPr="00B740B4">
        <w:rPr>
          <w:rFonts w:eastAsia="Times New Roman" w:cs="Times New Roman"/>
        </w:rPr>
        <w:t xml:space="preserve"> that of the human king.</w:t>
      </w:r>
    </w:p>
    <w:p w:rsidR="00E42707" w:rsidRPr="00B740B4" w:rsidRDefault="007864E5" w:rsidP="00E42707">
      <w:pPr>
        <w:widowControl w:val="0"/>
        <w:rPr>
          <w:rFonts w:eastAsia="Times New Roman" w:cs="Times New Roman"/>
        </w:rPr>
      </w:pPr>
      <w:r w:rsidRPr="00B740B4">
        <w:rPr>
          <w:rFonts w:eastAsia="Times New Roman" w:cs="Times New Roman"/>
          <w:b/>
        </w:rPr>
        <w:t>19–27</w:t>
      </w:r>
      <w:r w:rsidR="00C93CC0" w:rsidRPr="00B740B4">
        <w:rPr>
          <w:rFonts w:eastAsia="Times New Roman" w:cs="Times New Roman"/>
        </w:rPr>
        <w:t xml:space="preserve"> Daniel’s interpretation of the dream presupposes Babylon’s position as </w:t>
      </w:r>
      <w:r w:rsidR="00C93CC0" w:rsidRPr="00B740B4">
        <w:rPr>
          <w:rFonts w:eastAsia="Times New Roman" w:cs="Times New Roman"/>
          <w:i/>
        </w:rPr>
        <w:t>the</w:t>
      </w:r>
      <w:r w:rsidRPr="00B740B4">
        <w:rPr>
          <w:rFonts w:eastAsia="Times New Roman" w:cs="Times New Roman"/>
        </w:rPr>
        <w:t xml:space="preserve"> world power of the day, as did</w:t>
      </w:r>
      <w:r w:rsidR="00E42707" w:rsidRPr="00B740B4">
        <w:rPr>
          <w:rFonts w:eastAsia="Times New Roman" w:cs="Times New Roman"/>
        </w:rPr>
        <w:t xml:space="preserve"> 2:37–38.</w:t>
      </w:r>
      <w:r w:rsidR="00C93CC0" w:rsidRPr="00B740B4">
        <w:rPr>
          <w:rFonts w:eastAsia="Times New Roman" w:cs="Times New Roman"/>
        </w:rPr>
        <w:t xml:space="preserve"> </w:t>
      </w:r>
      <w:r w:rsidR="002F40E3" w:rsidRPr="00B740B4">
        <w:rPr>
          <w:rFonts w:eastAsia="Times New Roman" w:cs="Times New Roman"/>
        </w:rPr>
        <w:t xml:space="preserve">Psalm 79 spells out the results of such a world power’s typical behavior in </w:t>
      </w:r>
      <w:r w:rsidR="002F40E3" w:rsidRPr="00B740B4">
        <w:rPr>
          <w:rFonts w:eastAsia="Times New Roman" w:cs="Times New Roman"/>
        </w:rPr>
        <w:lastRenderedPageBreak/>
        <w:t>relation to the people of Judah.</w:t>
      </w:r>
      <w:r w:rsidR="002F40E3" w:rsidRPr="00B740B4">
        <w:rPr>
          <w:rFonts w:eastAsia="Times New Roman" w:cs="Times New Roman"/>
          <w:vertAlign w:val="superscript"/>
        </w:rPr>
        <w:footnoteReference w:id="745"/>
      </w:r>
      <w:r w:rsidR="002F40E3" w:rsidRPr="00B740B4">
        <w:rPr>
          <w:rFonts w:eastAsia="Times New Roman" w:cs="Times New Roman"/>
        </w:rPr>
        <w:t xml:space="preserve"> </w:t>
      </w:r>
      <w:r w:rsidR="002B0549" w:rsidRPr="00B740B4">
        <w:rPr>
          <w:rFonts w:eastAsia="Times New Roman" w:cs="Times New Roman"/>
        </w:rPr>
        <w:t xml:space="preserve">Interpreters such as Rashi </w:t>
      </w:r>
      <w:r w:rsidR="002F40E3" w:rsidRPr="00B740B4">
        <w:rPr>
          <w:rFonts w:eastAsia="Times New Roman" w:cs="Times New Roman"/>
        </w:rPr>
        <w:t xml:space="preserve">then </w:t>
      </w:r>
      <w:r w:rsidR="002B0549" w:rsidRPr="00B740B4">
        <w:rPr>
          <w:rFonts w:eastAsia="Times New Roman" w:cs="Times New Roman"/>
        </w:rPr>
        <w:t>note that Daniel’s wish can seem puzzling because Nebuchadnezzar’s oppone</w:t>
      </w:r>
      <w:r w:rsidR="002F40E3" w:rsidRPr="00B740B4">
        <w:rPr>
          <w:rFonts w:eastAsia="Times New Roman" w:cs="Times New Roman"/>
        </w:rPr>
        <w:t>nts would then</w:t>
      </w:r>
      <w:r w:rsidR="0064547B" w:rsidRPr="00B740B4">
        <w:rPr>
          <w:rFonts w:eastAsia="Times New Roman" w:cs="Times New Roman"/>
        </w:rPr>
        <w:t xml:space="preserve"> be the Jews</w:t>
      </w:r>
      <w:r w:rsidR="002B0549" w:rsidRPr="00B740B4">
        <w:rPr>
          <w:rFonts w:eastAsia="Times New Roman" w:cs="Times New Roman"/>
        </w:rPr>
        <w:t>.</w:t>
      </w:r>
      <w:r w:rsidR="005F4304">
        <w:rPr>
          <w:rFonts w:eastAsia="Times New Roman" w:cs="Times New Roman"/>
        </w:rPr>
        <w:t xml:space="preserve"> Such</w:t>
      </w:r>
      <w:r w:rsidR="00321CD1" w:rsidRPr="00B740B4">
        <w:rPr>
          <w:rFonts w:eastAsia="Times New Roman" w:cs="Times New Roman"/>
        </w:rPr>
        <w:t xml:space="preserve"> commentators </w:t>
      </w:r>
      <w:r w:rsidR="00E42707" w:rsidRPr="00B740B4">
        <w:rPr>
          <w:rFonts w:eastAsia="Times New Roman" w:cs="Times New Roman"/>
        </w:rPr>
        <w:t xml:space="preserve">commonly </w:t>
      </w:r>
      <w:r w:rsidR="00321CD1" w:rsidRPr="00B740B4">
        <w:rPr>
          <w:rFonts w:eastAsia="Times New Roman" w:cs="Times New Roman"/>
        </w:rPr>
        <w:t xml:space="preserve">think in terms of Nebuchadnezzar’s being in charge of </w:t>
      </w:r>
      <w:r w:rsidR="00321CD1" w:rsidRPr="00B740B4">
        <w:rPr>
          <w:rFonts w:eastAsia="Times New Roman" w:cs="Times New Roman"/>
          <w:i/>
        </w:rPr>
        <w:t>Israel</w:t>
      </w:r>
      <w:r w:rsidR="00321CD1" w:rsidRPr="00B740B4">
        <w:rPr>
          <w:rFonts w:eastAsia="Times New Roman" w:cs="Times New Roman"/>
        </w:rPr>
        <w:t xml:space="preserve"> (v 12), of his oppression of </w:t>
      </w:r>
      <w:r w:rsidR="00321CD1" w:rsidRPr="00B740B4">
        <w:rPr>
          <w:rFonts w:eastAsia="Times New Roman" w:cs="Times New Roman"/>
          <w:i/>
        </w:rPr>
        <w:t>them</w:t>
      </w:r>
      <w:r w:rsidR="00321CD1" w:rsidRPr="00B740B4">
        <w:rPr>
          <w:rFonts w:eastAsia="Times New Roman" w:cs="Times New Roman"/>
        </w:rPr>
        <w:t xml:space="preserve"> (v 27), and of his empire’s destruction as the means of the </w:t>
      </w:r>
      <w:r w:rsidR="00321CD1" w:rsidRPr="00B740B4">
        <w:rPr>
          <w:rFonts w:eastAsia="Times New Roman" w:cs="Times New Roman"/>
          <w:i/>
        </w:rPr>
        <w:t>exiles</w:t>
      </w:r>
      <w:r w:rsidR="00321CD1" w:rsidRPr="00B740B4">
        <w:rPr>
          <w:rFonts w:eastAsia="Times New Roman" w:cs="Times New Roman"/>
        </w:rPr>
        <w:t xml:space="preserve"> being able to escape his rule (v 14).</w:t>
      </w:r>
      <w:r w:rsidR="00E42707" w:rsidRPr="00B740B4">
        <w:rPr>
          <w:rFonts w:eastAsia="Times New Roman" w:cs="Times New Roman"/>
        </w:rPr>
        <w:t xml:space="preserve"> But </w:t>
      </w:r>
      <w:r w:rsidR="000631A7">
        <w:rPr>
          <w:rFonts w:eastAsia="Times New Roman" w:cs="Times New Roman"/>
        </w:rPr>
        <w:t>Rashi and Ibn Ezra note</w:t>
      </w:r>
      <w:r w:rsidR="00E42707" w:rsidRPr="00B740B4">
        <w:rPr>
          <w:rFonts w:eastAsia="Times New Roman" w:cs="Times New Roman"/>
        </w:rPr>
        <w:t xml:space="preserve"> that Daniel’s wish actually it is a</w:t>
      </w:r>
      <w:r w:rsidR="0064547B" w:rsidRPr="00B740B4">
        <w:rPr>
          <w:rFonts w:eastAsia="Times New Roman" w:cs="Times New Roman"/>
        </w:rPr>
        <w:t xml:space="preserve"> figure of speech.</w:t>
      </w:r>
      <w:r w:rsidR="00E42707" w:rsidRPr="00B740B4">
        <w:rPr>
          <w:rFonts w:eastAsia="Times New Roman" w:cs="Times New Roman"/>
          <w:vertAlign w:val="superscript"/>
        </w:rPr>
        <w:footnoteReference w:id="746"/>
      </w:r>
    </w:p>
    <w:p w:rsidR="00F8125A" w:rsidRDefault="00C93CC0" w:rsidP="00F8125A">
      <w:pPr>
        <w:widowControl w:val="0"/>
        <w:rPr>
          <w:rFonts w:eastAsia="Times New Roman" w:cs="Times New Roman"/>
        </w:rPr>
      </w:pPr>
      <w:r w:rsidRPr="00B740B4">
        <w:rPr>
          <w:rFonts w:eastAsia="Times New Roman" w:cs="Times New Roman"/>
        </w:rPr>
        <w:t>In isolation, “</w:t>
      </w:r>
      <w:r w:rsidR="007864E5" w:rsidRPr="00B740B4">
        <w:rPr>
          <w:rFonts w:eastAsia="Times New Roman" w:cs="Times New Roman"/>
        </w:rPr>
        <w:t xml:space="preserve">the </w:t>
      </w:r>
      <w:r w:rsidRPr="00B740B4">
        <w:rPr>
          <w:rFonts w:eastAsia="Times New Roman" w:cs="Times New Roman"/>
        </w:rPr>
        <w:t>heaven</w:t>
      </w:r>
      <w:r w:rsidR="005F4304">
        <w:rPr>
          <w:rFonts w:eastAsia="Times New Roman" w:cs="Times New Roman"/>
        </w:rPr>
        <w:t>s” (v 26; the word occurs</w:t>
      </w:r>
      <w:r w:rsidR="007864E5" w:rsidRPr="00B740B4">
        <w:rPr>
          <w:rFonts w:eastAsia="Times New Roman" w:cs="Times New Roman"/>
        </w:rPr>
        <w:t xml:space="preserve"> only in the plural</w:t>
      </w:r>
      <w:r w:rsidRPr="00B740B4">
        <w:rPr>
          <w:rFonts w:eastAsia="Times New Roman" w:cs="Times New Roman"/>
        </w:rPr>
        <w:t xml:space="preserve">) might denote the supernatural </w:t>
      </w:r>
      <w:r w:rsidR="00FA4265" w:rsidRPr="00B740B4">
        <w:rPr>
          <w:rFonts w:eastAsia="Times New Roman" w:cs="Times New Roman"/>
        </w:rPr>
        <w:t>lookouts</w:t>
      </w:r>
      <w:r w:rsidR="00845F73" w:rsidRPr="00B740B4">
        <w:rPr>
          <w:rFonts w:eastAsia="Times New Roman" w:cs="Times New Roman"/>
        </w:rPr>
        <w:t xml:space="preserve"> (v 17</w:t>
      </w:r>
      <w:r w:rsidRPr="00B740B4">
        <w:rPr>
          <w:rFonts w:eastAsia="Times New Roman" w:cs="Times New Roman"/>
        </w:rPr>
        <w:t xml:space="preserve">). After the assertions about the rule of the </w:t>
      </w:r>
      <w:r w:rsidR="00155FA8" w:rsidRPr="00B740B4">
        <w:rPr>
          <w:rFonts w:eastAsia="Times New Roman" w:cs="Times New Roman"/>
        </w:rPr>
        <w:t>One On High</w:t>
      </w:r>
      <w:r w:rsidR="00845F73" w:rsidRPr="00B740B4">
        <w:rPr>
          <w:rFonts w:eastAsia="Times New Roman" w:cs="Times New Roman"/>
        </w:rPr>
        <w:t xml:space="preserve"> in vv 24–25</w:t>
      </w:r>
      <w:r w:rsidRPr="00B740B4">
        <w:rPr>
          <w:rFonts w:eastAsia="Times New Roman" w:cs="Times New Roman"/>
        </w:rPr>
        <w:t>, however, more likely it is a surrogate for God himself. The two ideas (“God as king” and “</w:t>
      </w:r>
      <w:r w:rsidR="00845F73" w:rsidRPr="00B740B4">
        <w:rPr>
          <w:rFonts w:eastAsia="Times New Roman" w:cs="Times New Roman"/>
        </w:rPr>
        <w:t xml:space="preserve">the </w:t>
      </w:r>
      <w:r w:rsidRPr="00B740B4">
        <w:rPr>
          <w:rFonts w:eastAsia="Times New Roman" w:cs="Times New Roman"/>
        </w:rPr>
        <w:t>heaven</w:t>
      </w:r>
      <w:r w:rsidR="00845F73" w:rsidRPr="00B740B4">
        <w:rPr>
          <w:rFonts w:eastAsia="Times New Roman" w:cs="Times New Roman"/>
        </w:rPr>
        <w:t>s</w:t>
      </w:r>
      <w:r w:rsidRPr="00B740B4">
        <w:rPr>
          <w:rFonts w:eastAsia="Times New Roman" w:cs="Times New Roman"/>
        </w:rPr>
        <w:t>”) are brought togeth</w:t>
      </w:r>
      <w:r w:rsidR="00845F73" w:rsidRPr="00B740B4">
        <w:rPr>
          <w:rFonts w:eastAsia="Times New Roman" w:cs="Times New Roman"/>
        </w:rPr>
        <w:t>er at the climax of the chapter (v 37).</w:t>
      </w:r>
      <w:r w:rsidR="00845F73" w:rsidRPr="00B740B4">
        <w:rPr>
          <w:rStyle w:val="FootnoteReference"/>
          <w:rFonts w:eastAsia="Times New Roman" w:cs="Times New Roman"/>
        </w:rPr>
        <w:footnoteReference w:id="747"/>
      </w:r>
      <w:r w:rsidRPr="00B740B4">
        <w:rPr>
          <w:rFonts w:eastAsia="Times New Roman" w:cs="Times New Roman"/>
        </w:rPr>
        <w:t xml:space="preserve"> As a surrog</w:t>
      </w:r>
      <w:r w:rsidR="00845F73" w:rsidRPr="00B740B4">
        <w:rPr>
          <w:rFonts w:eastAsia="Times New Roman" w:cs="Times New Roman"/>
        </w:rPr>
        <w:t xml:space="preserve">ate, it is unique in the OT; elsewhere, see </w:t>
      </w:r>
      <w:r w:rsidRPr="00B740B4">
        <w:rPr>
          <w:rFonts w:eastAsia="Times New Roman" w:cs="Times New Roman"/>
        </w:rPr>
        <w:t xml:space="preserve"> I Mac</w:t>
      </w:r>
      <w:r w:rsidR="00845F73" w:rsidRPr="00B740B4">
        <w:rPr>
          <w:rFonts w:eastAsia="Times New Roman" w:cs="Times New Roman"/>
        </w:rPr>
        <w:t xml:space="preserve">c 3:18–19; 4:10; 2 Macc 7:11; m. </w:t>
      </w:r>
      <w:r w:rsidRPr="00B740B4">
        <w:rPr>
          <w:rFonts w:eastAsia="MS Mincho" w:cs="Times New Roman"/>
          <w:i/>
        </w:rPr>
        <w:t>Abot</w:t>
      </w:r>
      <w:r w:rsidRPr="00B740B4">
        <w:rPr>
          <w:rFonts w:eastAsia="Times New Roman" w:cs="Times New Roman"/>
        </w:rPr>
        <w:t xml:space="preserve"> 1:3, 11; 2:12; 4:4, 11, 12; Matt 21:25; Luke 15:18; John 3:27; and the phrase “</w:t>
      </w:r>
      <w:r w:rsidR="00845F73" w:rsidRPr="00B740B4">
        <w:rPr>
          <w:rFonts w:eastAsia="Times New Roman" w:cs="Times New Roman"/>
        </w:rPr>
        <w:t>the reign</w:t>
      </w:r>
      <w:r w:rsidRPr="00B740B4">
        <w:rPr>
          <w:rFonts w:eastAsia="Times New Roman" w:cs="Times New Roman"/>
        </w:rPr>
        <w:t xml:space="preserve"> of </w:t>
      </w:r>
      <w:r w:rsidR="00845F73" w:rsidRPr="00B740B4">
        <w:rPr>
          <w:rFonts w:eastAsia="Times New Roman" w:cs="Times New Roman"/>
        </w:rPr>
        <w:t xml:space="preserve">the </w:t>
      </w:r>
      <w:r w:rsidRPr="00B740B4">
        <w:rPr>
          <w:rFonts w:eastAsia="Times New Roman" w:cs="Times New Roman"/>
        </w:rPr>
        <w:t>heaven</w:t>
      </w:r>
      <w:r w:rsidR="00845F73" w:rsidRPr="00B740B4">
        <w:rPr>
          <w:rFonts w:eastAsia="Times New Roman" w:cs="Times New Roman"/>
        </w:rPr>
        <w:t>s</w:t>
      </w:r>
      <w:r w:rsidRPr="00B740B4">
        <w:rPr>
          <w:rFonts w:eastAsia="Times New Roman" w:cs="Times New Roman"/>
        </w:rPr>
        <w:t>” in Matthew.</w:t>
      </w:r>
      <w:r w:rsidR="00845F73" w:rsidRPr="00B740B4">
        <w:rPr>
          <w:rStyle w:val="FootnoteReference"/>
          <w:rFonts w:eastAsia="Times New Roman" w:cs="Times New Roman"/>
        </w:rPr>
        <w:footnoteReference w:id="748"/>
      </w:r>
      <w:r w:rsidRPr="00B740B4">
        <w:rPr>
          <w:rFonts w:eastAsia="Times New Roman" w:cs="Times New Roman"/>
        </w:rPr>
        <w:t xml:space="preserve"> More significant th</w:t>
      </w:r>
      <w:r w:rsidR="005F4304">
        <w:rPr>
          <w:rFonts w:eastAsia="Times New Roman" w:cs="Times New Roman"/>
        </w:rPr>
        <w:t>an these later parallels</w:t>
      </w:r>
      <w:r w:rsidRPr="00B740B4">
        <w:rPr>
          <w:rFonts w:eastAsia="Times New Roman" w:cs="Times New Roman"/>
        </w:rPr>
        <w:t xml:space="preserve"> is the utilization of the term </w:t>
      </w:r>
      <w:r w:rsidRPr="00B740B4">
        <w:rPr>
          <w:rFonts w:ascii="Arial" w:eastAsia="Times New Roman" w:hAnsi="Arial" w:cs="Arial"/>
        </w:rPr>
        <w:t>שמין</w:t>
      </w:r>
      <w:r w:rsidR="00845F73" w:rsidRPr="00B740B4">
        <w:rPr>
          <w:rFonts w:eastAsia="Times New Roman" w:cs="Times New Roman"/>
        </w:rPr>
        <w:t xml:space="preserve"> throughout chap.</w:t>
      </w:r>
      <w:r w:rsidRPr="00B740B4">
        <w:rPr>
          <w:rFonts w:eastAsia="Times New Roman" w:cs="Times New Roman"/>
        </w:rPr>
        <w:t xml:space="preserve"> 4 (see </w:t>
      </w:r>
      <w:r w:rsidRPr="00B740B4">
        <w:rPr>
          <w:rFonts w:eastAsia="Times New Roman" w:cs="Times New Roman"/>
          <w:i/>
        </w:rPr>
        <w:t>Structure</w:t>
      </w:r>
      <w:r w:rsidRPr="00B740B4">
        <w:rPr>
          <w:rFonts w:eastAsia="Times New Roman" w:cs="Times New Roman"/>
        </w:rPr>
        <w:t xml:space="preserve">). Nebuchadnezzar is like a tree reaching from </w:t>
      </w:r>
      <w:r w:rsidR="007864E5" w:rsidRPr="00B740B4">
        <w:rPr>
          <w:rFonts w:eastAsia="Times New Roman" w:cs="Times New Roman"/>
        </w:rPr>
        <w:t xml:space="preserve">the </w:t>
      </w:r>
      <w:r w:rsidRPr="00B740B4">
        <w:rPr>
          <w:rFonts w:eastAsia="Times New Roman" w:cs="Times New Roman"/>
        </w:rPr>
        <w:t xml:space="preserve">earth to </w:t>
      </w:r>
      <w:r w:rsidR="007864E5" w:rsidRPr="00B740B4">
        <w:rPr>
          <w:rFonts w:eastAsia="Times New Roman" w:cs="Times New Roman"/>
        </w:rPr>
        <w:t xml:space="preserve">the heavens </w:t>
      </w:r>
      <w:r w:rsidR="00845F73" w:rsidRPr="00B740B4">
        <w:rPr>
          <w:rFonts w:eastAsia="Times New Roman" w:cs="Times New Roman"/>
        </w:rPr>
        <w:t>(vv 11, 20, 22</w:t>
      </w:r>
      <w:r w:rsidRPr="00B740B4">
        <w:rPr>
          <w:rFonts w:eastAsia="Times New Roman" w:cs="Times New Roman"/>
        </w:rPr>
        <w:t xml:space="preserve">) and protecting the birds, which themselves defy the separation between </w:t>
      </w:r>
      <w:r w:rsidR="007864E5" w:rsidRPr="00B740B4">
        <w:rPr>
          <w:rFonts w:eastAsia="Times New Roman" w:cs="Times New Roman"/>
        </w:rPr>
        <w:t xml:space="preserve">the </w:t>
      </w:r>
      <w:r w:rsidRPr="00B740B4">
        <w:rPr>
          <w:rFonts w:eastAsia="Times New Roman" w:cs="Times New Roman"/>
        </w:rPr>
        <w:t xml:space="preserve">earth and </w:t>
      </w:r>
      <w:r w:rsidR="007864E5" w:rsidRPr="00B740B4">
        <w:rPr>
          <w:rFonts w:eastAsia="Times New Roman" w:cs="Times New Roman"/>
        </w:rPr>
        <w:t xml:space="preserve">the heavens </w:t>
      </w:r>
      <w:r w:rsidR="00845F73" w:rsidRPr="00B740B4">
        <w:rPr>
          <w:rFonts w:eastAsia="Times New Roman" w:cs="Times New Roman"/>
        </w:rPr>
        <w:t>(vv 12, 21</w:t>
      </w:r>
      <w:r w:rsidRPr="00B740B4">
        <w:rPr>
          <w:rFonts w:eastAsia="Times New Roman" w:cs="Times New Roman"/>
        </w:rPr>
        <w:t xml:space="preserve">); yet he is subject to judgment from </w:t>
      </w:r>
      <w:r w:rsidR="007864E5" w:rsidRPr="00B740B4">
        <w:rPr>
          <w:rFonts w:eastAsia="Times New Roman" w:cs="Times New Roman"/>
        </w:rPr>
        <w:t xml:space="preserve">the heavens </w:t>
      </w:r>
      <w:r w:rsidR="00845F73" w:rsidRPr="00B740B4">
        <w:rPr>
          <w:rFonts w:eastAsia="Times New Roman" w:cs="Times New Roman"/>
        </w:rPr>
        <w:t>(vv 13, 23, 31</w:t>
      </w:r>
      <w:r w:rsidRPr="00B740B4">
        <w:rPr>
          <w:rFonts w:eastAsia="Times New Roman" w:cs="Times New Roman"/>
        </w:rPr>
        <w:t>). The heaven</w:t>
      </w:r>
      <w:r w:rsidR="007864E5" w:rsidRPr="00B740B4">
        <w:rPr>
          <w:rFonts w:eastAsia="Times New Roman" w:cs="Times New Roman"/>
        </w:rPr>
        <w:t>s</w:t>
      </w:r>
      <w:r w:rsidRPr="00B740B4">
        <w:rPr>
          <w:rFonts w:eastAsia="Times New Roman" w:cs="Times New Roman"/>
        </w:rPr>
        <w:t xml:space="preserve"> to which he reached will supply his humble needs as it supplies those of the rest</w:t>
      </w:r>
      <w:r w:rsidR="00845F73" w:rsidRPr="00B740B4">
        <w:rPr>
          <w:rFonts w:eastAsia="Times New Roman" w:cs="Times New Roman"/>
        </w:rPr>
        <w:t xml:space="preserve"> of creation (vv </w:t>
      </w:r>
      <w:r w:rsidRPr="00B740B4">
        <w:rPr>
          <w:rFonts w:eastAsia="Times New Roman" w:cs="Times New Roman"/>
        </w:rPr>
        <w:t>15, 22,</w:t>
      </w:r>
      <w:r w:rsidR="00845F73" w:rsidRPr="00B740B4">
        <w:rPr>
          <w:rFonts w:eastAsia="Times New Roman" w:cs="Times New Roman"/>
        </w:rPr>
        <w:t xml:space="preserve"> 25, 33</w:t>
      </w:r>
      <w:r w:rsidRPr="00B740B4">
        <w:rPr>
          <w:rFonts w:eastAsia="Times New Roman" w:cs="Times New Roman"/>
        </w:rPr>
        <w:t>;</w:t>
      </w:r>
      <w:r w:rsidR="005F4304">
        <w:rPr>
          <w:rFonts w:eastAsia="Times New Roman" w:cs="Times New Roman"/>
        </w:rPr>
        <w:t xml:space="preserve"> 5:21). In the end he must</w:t>
      </w:r>
      <w:r w:rsidRPr="00B740B4">
        <w:rPr>
          <w:rFonts w:eastAsia="Times New Roman" w:cs="Times New Roman"/>
        </w:rPr>
        <w:t xml:space="preserve"> look to </w:t>
      </w:r>
      <w:r w:rsidR="007864E5" w:rsidRPr="00B740B4">
        <w:rPr>
          <w:rFonts w:eastAsia="Times New Roman" w:cs="Times New Roman"/>
        </w:rPr>
        <w:t xml:space="preserve">the heavens </w:t>
      </w:r>
      <w:r w:rsidRPr="00B740B4">
        <w:rPr>
          <w:rFonts w:eastAsia="Times New Roman" w:cs="Times New Roman"/>
        </w:rPr>
        <w:t>as the real source of help, rather than pr</w:t>
      </w:r>
      <w:r w:rsidR="00845F73" w:rsidRPr="00B740B4">
        <w:rPr>
          <w:rFonts w:eastAsia="Times New Roman" w:cs="Times New Roman"/>
        </w:rPr>
        <w:t xml:space="preserve">etending to </w:t>
      </w:r>
      <w:r w:rsidR="005F4304">
        <w:rPr>
          <w:rFonts w:eastAsia="Times New Roman" w:cs="Times New Roman"/>
        </w:rPr>
        <w:t>be self-sufficient; he must</w:t>
      </w:r>
      <w:r w:rsidR="007864E5" w:rsidRPr="00B740B4">
        <w:rPr>
          <w:rFonts w:eastAsia="Times New Roman" w:cs="Times New Roman"/>
        </w:rPr>
        <w:t xml:space="preserve"> acknowledge that the heavens rule</w:t>
      </w:r>
      <w:r w:rsidRPr="00B740B4">
        <w:rPr>
          <w:rFonts w:eastAsia="Times New Roman" w:cs="Times New Roman"/>
        </w:rPr>
        <w:t xml:space="preserve">, and as a king on earth </w:t>
      </w:r>
      <w:r w:rsidR="005F4304">
        <w:rPr>
          <w:rFonts w:eastAsia="Times New Roman" w:cs="Times New Roman"/>
        </w:rPr>
        <w:t>he must bow down to</w:t>
      </w:r>
      <w:r w:rsidRPr="00B740B4">
        <w:rPr>
          <w:rFonts w:eastAsia="Times New Roman" w:cs="Times New Roman"/>
        </w:rPr>
        <w:t xml:space="preserve"> the King of </w:t>
      </w:r>
      <w:r w:rsidR="007864E5" w:rsidRPr="00B740B4">
        <w:rPr>
          <w:rFonts w:eastAsia="Times New Roman" w:cs="Times New Roman"/>
        </w:rPr>
        <w:t xml:space="preserve">the heavens </w:t>
      </w:r>
      <w:r w:rsidRPr="00B740B4">
        <w:rPr>
          <w:rFonts w:eastAsia="Times New Roman" w:cs="Times New Roman"/>
        </w:rPr>
        <w:t xml:space="preserve">who rules in </w:t>
      </w:r>
      <w:r w:rsidR="007864E5" w:rsidRPr="00B740B4">
        <w:rPr>
          <w:rFonts w:eastAsia="Times New Roman" w:cs="Times New Roman"/>
        </w:rPr>
        <w:t xml:space="preserve">the heavens </w:t>
      </w:r>
      <w:r w:rsidRPr="00B740B4">
        <w:rPr>
          <w:rFonts w:eastAsia="Times New Roman" w:cs="Times New Roman"/>
        </w:rPr>
        <w:t xml:space="preserve">as on </w:t>
      </w:r>
      <w:r w:rsidR="007864E5" w:rsidRPr="00B740B4">
        <w:rPr>
          <w:rFonts w:eastAsia="Times New Roman" w:cs="Times New Roman"/>
        </w:rPr>
        <w:t xml:space="preserve">the </w:t>
      </w:r>
      <w:r w:rsidR="00845F73" w:rsidRPr="00B740B4">
        <w:rPr>
          <w:rFonts w:eastAsia="Times New Roman" w:cs="Times New Roman"/>
        </w:rPr>
        <w:t>earth (vv 26, 34, 35, 37</w:t>
      </w:r>
      <w:r w:rsidRPr="00B740B4">
        <w:rPr>
          <w:rFonts w:eastAsia="Times New Roman" w:cs="Times New Roman"/>
        </w:rPr>
        <w:t xml:space="preserve">; cf. “Lord of </w:t>
      </w:r>
      <w:r w:rsidR="007864E5" w:rsidRPr="00B740B4">
        <w:rPr>
          <w:rFonts w:eastAsia="Times New Roman" w:cs="Times New Roman"/>
        </w:rPr>
        <w:t xml:space="preserve">the </w:t>
      </w:r>
      <w:r w:rsidRPr="00B740B4">
        <w:rPr>
          <w:rFonts w:eastAsia="Times New Roman" w:cs="Times New Roman"/>
        </w:rPr>
        <w:t>heaven</w:t>
      </w:r>
      <w:r w:rsidR="007864E5" w:rsidRPr="00B740B4">
        <w:rPr>
          <w:rFonts w:eastAsia="Times New Roman" w:cs="Times New Roman"/>
        </w:rPr>
        <w:t>s</w:t>
      </w:r>
      <w:r w:rsidRPr="00B740B4">
        <w:rPr>
          <w:rFonts w:eastAsia="Times New Roman" w:cs="Times New Roman"/>
        </w:rPr>
        <w:t>,” 5:23).</w:t>
      </w:r>
      <w:r w:rsidR="0064547B" w:rsidRPr="00B740B4">
        <w:rPr>
          <w:rFonts w:eastAsia="Times New Roman" w:cs="Times New Roman"/>
        </w:rPr>
        <w:t xml:space="preserve"> The acknowledgment of which Daniel speaks has, in effect, already been made in 2:47 in r</w:t>
      </w:r>
      <w:r w:rsidR="00F5286D">
        <w:rPr>
          <w:rFonts w:eastAsia="Times New Roman" w:cs="Times New Roman"/>
        </w:rPr>
        <w:t>esponse to the revelation there; it Is another indication that the chapters do not build on one another in offering a portrayal of the king.</w:t>
      </w:r>
    </w:p>
    <w:p w:rsidR="0061012C" w:rsidRPr="00B740B4" w:rsidRDefault="0061012C" w:rsidP="00F8125A">
      <w:pPr>
        <w:widowControl w:val="0"/>
        <w:rPr>
          <w:rFonts w:eastAsia="Times New Roman" w:cs="Times New Roman"/>
        </w:rPr>
      </w:pPr>
      <w:r>
        <w:rPr>
          <w:rFonts w:eastAsia="Times New Roman" w:cs="Times New Roman"/>
        </w:rPr>
        <w:t>In the context of the Babylonian or Persian empire, it would not be surprising if the wrongdoing of which Daniel speaks included the accumulation of land, the accumulation of labor, and the imposition of burdensome taxes—as would have been the case in preexilic Judah.</w:t>
      </w:r>
      <w:r>
        <w:rPr>
          <w:rStyle w:val="FootnoteReference"/>
          <w:rFonts w:eastAsia="Times New Roman" w:cs="Times New Roman"/>
        </w:rPr>
        <w:footnoteReference w:id="749"/>
      </w:r>
      <w:r w:rsidR="00F8125A">
        <w:rPr>
          <w:rFonts w:eastAsia="Times New Roman" w:cs="Times New Roman"/>
        </w:rPr>
        <w:t xml:space="preserve"> </w:t>
      </w:r>
      <w:r w:rsidR="00482476">
        <w:rPr>
          <w:rFonts w:eastAsia="Times New Roman" w:cs="Times New Roman"/>
        </w:rPr>
        <w:t xml:space="preserve">In this chapter </w:t>
      </w:r>
      <w:r w:rsidR="00482476" w:rsidRPr="00684441">
        <w:rPr>
          <w:rFonts w:eastAsia="Times New Roman" w:cs="Times New Roman"/>
        </w:rPr>
        <w:t>Nebuchadnezzar is no longer</w:t>
      </w:r>
      <w:r w:rsidR="00482476">
        <w:rPr>
          <w:rFonts w:eastAsia="Times New Roman" w:cs="Times New Roman"/>
        </w:rPr>
        <w:t xml:space="preserve"> a “likeable rogue</w:t>
      </w:r>
      <w:r w:rsidR="00482476" w:rsidRPr="00684441">
        <w:rPr>
          <w:rFonts w:eastAsia="Times New Roman" w:cs="Times New Roman"/>
        </w:rPr>
        <w:t xml:space="preserve"> </w:t>
      </w:r>
      <w:r w:rsidR="00482476">
        <w:t>for whom Daniel has considerable respect.”</w:t>
      </w:r>
      <w:r w:rsidR="00482476">
        <w:rPr>
          <w:rStyle w:val="FootnoteReference"/>
        </w:rPr>
        <w:footnoteReference w:id="750"/>
      </w:r>
      <w:r w:rsidR="00482476">
        <w:t xml:space="preserve"> </w:t>
      </w:r>
      <w:r w:rsidR="00F8125A">
        <w:rPr>
          <w:rFonts w:eastAsia="Times New Roman" w:cs="Times New Roman"/>
        </w:rPr>
        <w:t xml:space="preserve">Yet </w:t>
      </w:r>
      <w:r w:rsidR="00F8125A" w:rsidRPr="00F8125A">
        <w:rPr>
          <w:rFonts w:eastAsiaTheme="minorHAnsi" w:cs="Times New Roman"/>
        </w:rPr>
        <w:t>"the empire is understood by the narrative as a potential place for mercy; Nebuchadnezzar is presented as a ruler who is capable of mercy to the</w:t>
      </w:r>
      <w:r w:rsidR="00F8125A">
        <w:rPr>
          <w:rFonts w:eastAsiaTheme="minorHAnsi" w:cs="Times New Roman"/>
        </w:rPr>
        <w:t xml:space="preserve"> </w:t>
      </w:r>
      <w:r w:rsidR="00F5286D">
        <w:rPr>
          <w:rFonts w:eastAsiaTheme="minorHAnsi" w:cs="Times New Roman"/>
        </w:rPr>
        <w:t>oppressed.”</w:t>
      </w:r>
      <w:r w:rsidR="00F8125A" w:rsidRPr="00F8125A">
        <w:rPr>
          <w:rFonts w:eastAsiaTheme="minorHAnsi" w:cs="Times New Roman"/>
        </w:rPr>
        <w:t xml:space="preserve"> Empires can be brought to a potential place of mercy when brought under God's sovereignty</w:t>
      </w:r>
      <w:r w:rsidR="00F8125A">
        <w:rPr>
          <w:rFonts w:ascii="Times New Roman" w:eastAsiaTheme="minorHAnsi" w:hAnsi="Times New Roman" w:cs="Times New Roman"/>
          <w:sz w:val="20"/>
          <w:szCs w:val="20"/>
        </w:rPr>
        <w:t>.</w:t>
      </w:r>
      <w:r w:rsidR="00F8125A">
        <w:rPr>
          <w:rStyle w:val="FootnoteReference"/>
          <w:rFonts w:ascii="Times New Roman" w:eastAsiaTheme="minorHAnsi" w:hAnsi="Times New Roman" w:cs="Times New Roman"/>
          <w:sz w:val="20"/>
          <w:szCs w:val="20"/>
        </w:rPr>
        <w:footnoteReference w:id="751"/>
      </w:r>
    </w:p>
    <w:p w:rsidR="0034481F" w:rsidRPr="00B740B4" w:rsidRDefault="00845F73" w:rsidP="006010BB">
      <w:pPr>
        <w:widowControl w:val="0"/>
        <w:rPr>
          <w:rFonts w:eastAsia="Times New Roman" w:cs="Times New Roman"/>
        </w:rPr>
      </w:pPr>
      <w:r w:rsidRPr="00B740B4">
        <w:rPr>
          <w:rFonts w:eastAsia="Times New Roman" w:cs="Times New Roman"/>
          <w:b/>
        </w:rPr>
        <w:t>28–33</w:t>
      </w:r>
      <w:r w:rsidR="00C93CC0" w:rsidRPr="00B740B4">
        <w:rPr>
          <w:rFonts w:eastAsia="Times New Roman" w:cs="Times New Roman"/>
        </w:rPr>
        <w:t xml:space="preserve"> The sense of achievement that Nebuchadnezzar here </w:t>
      </w:r>
      <w:r w:rsidR="00F5286D">
        <w:rPr>
          <w:rFonts w:eastAsia="Times New Roman" w:cs="Times New Roman"/>
        </w:rPr>
        <w:t>articulates</w:t>
      </w:r>
      <w:r w:rsidR="00F5286D" w:rsidRPr="00B740B4">
        <w:rPr>
          <w:rFonts w:eastAsia="Times New Roman" w:cs="Times New Roman"/>
        </w:rPr>
        <w:t xml:space="preserve"> </w:t>
      </w:r>
      <w:r w:rsidR="00C93CC0" w:rsidRPr="00B740B4">
        <w:rPr>
          <w:rFonts w:eastAsia="Times New Roman" w:cs="Times New Roman"/>
        </w:rPr>
        <w:t>is severely understated compared with that expressed in his successive building inscriptions in Babylon, which occupy 126</w:t>
      </w:r>
      <w:r w:rsidRPr="00B740B4">
        <w:rPr>
          <w:rFonts w:eastAsia="Times New Roman" w:cs="Times New Roman"/>
        </w:rPr>
        <w:t xml:space="preserve"> pages of text and translation in</w:t>
      </w:r>
      <w:r w:rsidR="00C93CC0" w:rsidRPr="00B740B4">
        <w:rPr>
          <w:rFonts w:eastAsia="Times New Roman" w:cs="Times New Roman"/>
        </w:rPr>
        <w:t xml:space="preserve"> Langdon’s edition of them</w:t>
      </w:r>
      <w:r w:rsidRPr="00B740B4">
        <w:rPr>
          <w:rFonts w:eastAsia="Times New Roman" w:cs="Times New Roman"/>
        </w:rPr>
        <w:t>.</w:t>
      </w:r>
      <w:r w:rsidRPr="00B740B4">
        <w:rPr>
          <w:rStyle w:val="FootnoteReference"/>
          <w:rFonts w:eastAsia="Times New Roman" w:cs="Times New Roman"/>
        </w:rPr>
        <w:footnoteReference w:id="752"/>
      </w:r>
      <w:r w:rsidR="00C93CC0" w:rsidRPr="00B740B4">
        <w:rPr>
          <w:rFonts w:eastAsia="Times New Roman" w:cs="Times New Roman"/>
        </w:rPr>
        <w:t xml:space="preserve"> The palace from which he surveyed Babylon was one of the citadels on the north side of the city. It had large courts, reception rooms, throne room, residences, and the famous hanging gardens, a vaulted, terraced structure with an elaborate water supply for its trees and plan</w:t>
      </w:r>
      <w:r w:rsidR="000E59BF" w:rsidRPr="00B740B4">
        <w:rPr>
          <w:rFonts w:eastAsia="Times New Roman" w:cs="Times New Roman"/>
        </w:rPr>
        <w:t xml:space="preserve">ts; it was </w:t>
      </w:r>
      <w:r w:rsidR="00C93CC0" w:rsidRPr="00B740B4">
        <w:rPr>
          <w:rFonts w:eastAsia="Times New Roman" w:cs="Times New Roman"/>
        </w:rPr>
        <w:t>apparently built by Nebuchadnezzar for his Median queen. From the palace he would see</w:t>
      </w:r>
      <w:r w:rsidRPr="00B740B4">
        <w:rPr>
          <w:rFonts w:eastAsia="Times New Roman" w:cs="Times New Roman"/>
        </w:rPr>
        <w:t xml:space="preserve"> in the distance the city’s 16-mile</w:t>
      </w:r>
      <w:r w:rsidR="00C93CC0" w:rsidRPr="00B740B4">
        <w:rPr>
          <w:rFonts w:eastAsia="Times New Roman" w:cs="Times New Roman"/>
        </w:rPr>
        <w:t xml:space="preserve"> outer double wall, which he had built. His palace stood just inside the double wall of the inner city, which was punctuated by eight gates and encircled an area </w:t>
      </w:r>
      <w:r w:rsidR="000E59BF" w:rsidRPr="00B740B4">
        <w:rPr>
          <w:rFonts w:eastAsia="Times New Roman" w:cs="Times New Roman"/>
        </w:rPr>
        <w:t>two mil</w:t>
      </w:r>
      <w:r w:rsidRPr="00B740B4">
        <w:rPr>
          <w:rFonts w:eastAsia="Times New Roman" w:cs="Times New Roman"/>
        </w:rPr>
        <w:t>es by a half-mile</w:t>
      </w:r>
      <w:r w:rsidR="00C93CC0" w:rsidRPr="00B740B4">
        <w:rPr>
          <w:rFonts w:eastAsia="Times New Roman" w:cs="Times New Roman"/>
        </w:rPr>
        <w:t xml:space="preserve">, with the Euphrates running through it. The palace adjoined a </w:t>
      </w:r>
      <w:r w:rsidR="00C93CC0" w:rsidRPr="00B740B4">
        <w:rPr>
          <w:rFonts w:eastAsia="Times New Roman" w:cs="Times New Roman"/>
        </w:rPr>
        <w:lastRenderedPageBreak/>
        <w:t xml:space="preserve">processional avenue that Nebuchadnezzar had paved with limestone and decorated with lion </w:t>
      </w:r>
      <w:r w:rsidR="000E59BF" w:rsidRPr="00B740B4">
        <w:rPr>
          <w:rFonts w:eastAsia="Times New Roman" w:cs="Times New Roman"/>
        </w:rPr>
        <w:t>figures, emblematic of Ishtar. T</w:t>
      </w:r>
      <w:r w:rsidR="00C93CC0" w:rsidRPr="00B740B4">
        <w:rPr>
          <w:rFonts w:eastAsia="Times New Roman" w:cs="Times New Roman"/>
        </w:rPr>
        <w:t>his avenue entered the city through the Ishtar Gate, which he had de</w:t>
      </w:r>
      <w:r w:rsidR="000E59BF" w:rsidRPr="00B740B4">
        <w:rPr>
          <w:rFonts w:eastAsia="Times New Roman" w:cs="Times New Roman"/>
        </w:rPr>
        <w:t>corated with dragons and bulls, emblems of Marduk and Bel</w:t>
      </w:r>
      <w:r w:rsidR="00C93CC0" w:rsidRPr="00B740B4">
        <w:rPr>
          <w:rFonts w:eastAsia="Times New Roman" w:cs="Times New Roman"/>
        </w:rPr>
        <w:t xml:space="preserve">. It continued south through the city to the most important sacred precincts, to whose beautifying and development Nebuchadnezzar had contributed, the ziggurat crowned by a temple of Marduk where the god’s statue resided. In Marduk’s temple there were also shrines to other gods, and in the city elsewhere temples of </w:t>
      </w:r>
      <w:r w:rsidR="0034481F" w:rsidRPr="00B740B4">
        <w:rPr>
          <w:rFonts w:eastAsia="Times New Roman" w:cs="Times New Roman"/>
        </w:rPr>
        <w:t xml:space="preserve">yet </w:t>
      </w:r>
      <w:r w:rsidR="00C93CC0" w:rsidRPr="00B740B4">
        <w:rPr>
          <w:rFonts w:eastAsia="Times New Roman" w:cs="Times New Roman"/>
        </w:rPr>
        <w:t>other Babylonian gods, restored or beautified by Nebuchadnezzar.</w:t>
      </w:r>
      <w:r w:rsidR="0034481F" w:rsidRPr="00B740B4">
        <w:rPr>
          <w:rStyle w:val="FootnoteReference"/>
          <w:rFonts w:eastAsia="Times New Roman" w:cs="Times New Roman"/>
        </w:rPr>
        <w:footnoteReference w:id="753"/>
      </w:r>
      <w:r w:rsidR="00C93CC0" w:rsidRPr="00B740B4">
        <w:rPr>
          <w:rFonts w:eastAsia="Times New Roman" w:cs="Times New Roman"/>
        </w:rPr>
        <w:t xml:space="preserve"> </w:t>
      </w:r>
      <w:r w:rsidR="008C72BE" w:rsidRPr="00B740B4">
        <w:rPr>
          <w:rFonts w:eastAsia="Times New Roman" w:cs="Times New Roman"/>
        </w:rPr>
        <w:t xml:space="preserve">“The magnificence of Babylon </w:t>
      </w:r>
      <w:r w:rsidR="008C72BE" w:rsidRPr="00B740B4">
        <w:t>became legendary throughout the ancient world” but “these building projects, although they served social, religious, and military purposes, were also material propaganda for the imperial power of the king…. The grandeur of the palaces, temples, and fortifications thus stands as a testament to the power of the god as manifested on earth through his chosen kng.”</w:t>
      </w:r>
      <w:r w:rsidR="008C72BE" w:rsidRPr="00B740B4">
        <w:rPr>
          <w:rStyle w:val="FootnoteReference"/>
        </w:rPr>
        <w:footnoteReference w:id="754"/>
      </w:r>
    </w:p>
    <w:p w:rsidR="00C93CC0" w:rsidRPr="00B740B4" w:rsidRDefault="00C93CC0" w:rsidP="006010BB">
      <w:pPr>
        <w:widowControl w:val="0"/>
        <w:rPr>
          <w:rFonts w:eastAsia="Times New Roman" w:cs="Times New Roman"/>
        </w:rPr>
      </w:pPr>
      <w:r w:rsidRPr="00B740B4">
        <w:rPr>
          <w:rFonts w:eastAsia="Times New Roman" w:cs="Times New Roman"/>
        </w:rPr>
        <w:t xml:space="preserve">The </w:t>
      </w:r>
      <w:r w:rsidR="0034481F" w:rsidRPr="00B740B4">
        <w:rPr>
          <w:rFonts w:eastAsia="Times New Roman" w:cs="Times New Roman"/>
          <w:i/>
        </w:rPr>
        <w:t>bat-qol</w:t>
      </w:r>
      <w:r w:rsidR="0034481F" w:rsidRPr="00B740B4">
        <w:rPr>
          <w:rFonts w:eastAsia="Times New Roman" w:cs="Times New Roman"/>
        </w:rPr>
        <w:t>,</w:t>
      </w:r>
      <w:r w:rsidR="0034481F" w:rsidRPr="00B740B4">
        <w:rPr>
          <w:rStyle w:val="FootnoteReference"/>
          <w:rFonts w:eastAsia="Times New Roman" w:cs="Times New Roman"/>
        </w:rPr>
        <w:footnoteReference w:id="755"/>
      </w:r>
      <w:r w:rsidR="0034481F" w:rsidRPr="00B740B4">
        <w:rPr>
          <w:rFonts w:eastAsia="Times New Roman" w:cs="Times New Roman"/>
        </w:rPr>
        <w:t xml:space="preserve"> </w:t>
      </w:r>
      <w:r w:rsidRPr="00B740B4">
        <w:rPr>
          <w:rFonts w:eastAsia="Times New Roman" w:cs="Times New Roman"/>
        </w:rPr>
        <w:t xml:space="preserve">the voice from </w:t>
      </w:r>
      <w:r w:rsidR="007864E5" w:rsidRPr="00B740B4">
        <w:rPr>
          <w:rFonts w:eastAsia="Times New Roman" w:cs="Times New Roman"/>
        </w:rPr>
        <w:t xml:space="preserve">the heavens </w:t>
      </w:r>
      <w:r w:rsidR="0034481F" w:rsidRPr="00B740B4">
        <w:rPr>
          <w:rFonts w:eastAsia="Times New Roman" w:cs="Times New Roman"/>
        </w:rPr>
        <w:t>with nothing to be seen (v 31</w:t>
      </w:r>
      <w:r w:rsidRPr="00B740B4">
        <w:rPr>
          <w:rFonts w:eastAsia="Times New Roman" w:cs="Times New Roman"/>
        </w:rPr>
        <w:t>), is a common Semitic and biblical motif (I</w:t>
      </w:r>
      <w:r w:rsidR="0034481F" w:rsidRPr="00B740B4">
        <w:rPr>
          <w:rFonts w:eastAsia="Times New Roman" w:cs="Times New Roman"/>
        </w:rPr>
        <w:t>sa 9:8 [7</w:t>
      </w:r>
      <w:r w:rsidRPr="00B740B4">
        <w:rPr>
          <w:rFonts w:eastAsia="Times New Roman" w:cs="Times New Roman"/>
        </w:rPr>
        <w:t xml:space="preserve">]; </w:t>
      </w:r>
      <w:r w:rsidRPr="00B740B4">
        <w:rPr>
          <w:rFonts w:eastAsia="Times New Roman" w:cs="Times New Roman"/>
          <w:i/>
        </w:rPr>
        <w:t>T. Levi</w:t>
      </w:r>
      <w:r w:rsidRPr="00B740B4">
        <w:rPr>
          <w:rFonts w:eastAsia="Times New Roman" w:cs="Times New Roman"/>
        </w:rPr>
        <w:t xml:space="preserve"> 18.6; Syriac Ahiqar 1.6; Mark 1:11; 9:7). </w:t>
      </w:r>
      <w:r w:rsidR="00F5286D">
        <w:rPr>
          <w:rFonts w:eastAsia="Times New Roman" w:cs="Times New Roman"/>
        </w:rPr>
        <w:t xml:space="preserve">While </w:t>
      </w:r>
      <w:r w:rsidRPr="00B740B4">
        <w:rPr>
          <w:rFonts w:eastAsia="Times New Roman" w:cs="Times New Roman"/>
        </w:rPr>
        <w:t>Nebuchadnezzar’s</w:t>
      </w:r>
      <w:r w:rsidR="0034481F" w:rsidRPr="00B740B4">
        <w:rPr>
          <w:rFonts w:eastAsia="Times New Roman" w:cs="Times New Roman"/>
        </w:rPr>
        <w:t xml:space="preserve"> subsequent behavior (vv 32–33</w:t>
      </w:r>
      <w:r w:rsidRPr="00B740B4">
        <w:rPr>
          <w:rFonts w:eastAsia="Times New Roman" w:cs="Times New Roman"/>
        </w:rPr>
        <w:t>) may resemble the symptoms of lycanthropy, a psychotic or depressive delusion,</w:t>
      </w:r>
      <w:r w:rsidR="0034481F" w:rsidRPr="00B740B4">
        <w:rPr>
          <w:rStyle w:val="FootnoteReference"/>
          <w:rFonts w:eastAsia="Times New Roman" w:cs="Times New Roman"/>
        </w:rPr>
        <w:footnoteReference w:id="756"/>
      </w:r>
      <w:r w:rsidR="00F5286D">
        <w:rPr>
          <w:rFonts w:eastAsia="Times New Roman" w:cs="Times New Roman"/>
        </w:rPr>
        <w:t xml:space="preserve"> </w:t>
      </w:r>
      <w:r w:rsidRPr="00B740B4">
        <w:rPr>
          <w:rFonts w:eastAsia="Times New Roman" w:cs="Times New Roman"/>
        </w:rPr>
        <w:t xml:space="preserve">it need not do so—anyone’s hair and nails will grow long in the wild, and anyway the </w:t>
      </w:r>
      <w:r w:rsidR="0034481F" w:rsidRPr="00B740B4">
        <w:rPr>
          <w:rFonts w:eastAsia="Times New Roman" w:cs="Times New Roman"/>
        </w:rPr>
        <w:t>chapter</w:t>
      </w:r>
      <w:r w:rsidRPr="00B740B4">
        <w:rPr>
          <w:rFonts w:eastAsia="Times New Roman" w:cs="Times New Roman"/>
        </w:rPr>
        <w:t xml:space="preserve"> i</w:t>
      </w:r>
      <w:r w:rsidR="000E59BF" w:rsidRPr="00B740B4">
        <w:rPr>
          <w:rFonts w:eastAsia="Times New Roman" w:cs="Times New Roman"/>
        </w:rPr>
        <w:t>tself is more concerned with the theological than ithe</w:t>
      </w:r>
      <w:r w:rsidRPr="00B740B4">
        <w:rPr>
          <w:rFonts w:eastAsia="Times New Roman" w:cs="Times New Roman"/>
        </w:rPr>
        <w:t xml:space="preserve"> medical significance</w:t>
      </w:r>
      <w:r w:rsidR="000E59BF" w:rsidRPr="00B740B4">
        <w:rPr>
          <w:rFonts w:eastAsia="Times New Roman" w:cs="Times New Roman"/>
        </w:rPr>
        <w:t xml:space="preserve"> of Nebuchadnezzar’s experience</w:t>
      </w:r>
      <w:r w:rsidRPr="00B740B4">
        <w:rPr>
          <w:rFonts w:eastAsia="Times New Roman" w:cs="Times New Roman"/>
        </w:rPr>
        <w:t>.</w:t>
      </w:r>
      <w:r w:rsidR="007547E7" w:rsidRPr="00B740B4">
        <w:rPr>
          <w:rFonts w:eastAsia="Times New Roman" w:cs="Times New Roman"/>
        </w:rPr>
        <w:t xml:space="preserve"> More significantly,</w:t>
      </w:r>
      <w:r w:rsidR="002C2711" w:rsidRPr="00B740B4">
        <w:rPr>
          <w:rFonts w:eastAsia="Times New Roman" w:cs="Times New Roman"/>
        </w:rPr>
        <w:t xml:space="preserve"> the </w:t>
      </w:r>
      <w:r w:rsidR="00812837" w:rsidRPr="00B740B4">
        <w:rPr>
          <w:rFonts w:eastAsia="Times New Roman" w:cs="Times New Roman"/>
        </w:rPr>
        <w:t>terms used to describe what h</w:t>
      </w:r>
      <w:r w:rsidR="000E59BF" w:rsidRPr="00B740B4">
        <w:rPr>
          <w:rFonts w:eastAsia="Times New Roman" w:cs="Times New Roman"/>
        </w:rPr>
        <w:t>appens to the king</w:t>
      </w:r>
      <w:r w:rsidR="007547E7" w:rsidRPr="00B740B4">
        <w:rPr>
          <w:rFonts w:eastAsia="Times New Roman" w:cs="Times New Roman"/>
        </w:rPr>
        <w:t xml:space="preserve"> correspond to images for spirits and demons in the ancient Near East, and in ancient Near Eastern texts the vicitms of such demons can begin to look like them.</w:t>
      </w:r>
      <w:r w:rsidR="002C4BE7" w:rsidRPr="00B740B4">
        <w:rPr>
          <w:rFonts w:eastAsia="Times New Roman" w:cs="Times New Roman"/>
        </w:rPr>
        <w:t xml:space="preserve"> Thus “</w:t>
      </w:r>
      <w:r w:rsidR="002C4BE7" w:rsidRPr="00B740B4">
        <w:t xml:space="preserve">Daniel 4 uses imagery of the underworld to convey to the reader the extreme affliction of its main character,” </w:t>
      </w:r>
      <w:r w:rsidR="007547E7" w:rsidRPr="00B740B4">
        <w:rPr>
          <w:rStyle w:val="FootnoteReference"/>
          <w:rFonts w:eastAsia="Times New Roman" w:cs="Times New Roman"/>
        </w:rPr>
        <w:footnoteReference w:id="757"/>
      </w:r>
      <w:r w:rsidR="002C4BE7" w:rsidRPr="00B740B4">
        <w:t xml:space="preserve"> though the absence of explici</w:t>
      </w:r>
      <w:r w:rsidR="000E59BF" w:rsidRPr="00B740B4">
        <w:t>t reference to demons in the OT</w:t>
      </w:r>
      <w:r w:rsidR="002C4BE7" w:rsidRPr="00B740B4">
        <w:t xml:space="preserve"> makes it hard to know whether readers were necessarily expected to think in demonic terms about the affliction.</w:t>
      </w:r>
      <w:r w:rsidR="00B10E9A" w:rsidRPr="00B740B4">
        <w:t xml:space="preserve"> In modern terms, it’s a kind of liminal experience as the king straddles the territory between human and animal before he can be reassimilated to the sphere of order.</w:t>
      </w:r>
      <w:r w:rsidR="00B10E9A" w:rsidRPr="00B740B4">
        <w:rPr>
          <w:rStyle w:val="FootnoteReference"/>
        </w:rPr>
        <w:footnoteReference w:id="758"/>
      </w:r>
    </w:p>
    <w:p w:rsidR="000E59BF" w:rsidRPr="00B740B4" w:rsidRDefault="00845F73" w:rsidP="006010BB">
      <w:pPr>
        <w:widowControl w:val="0"/>
        <w:rPr>
          <w:rFonts w:eastAsia="Times New Roman" w:cs="Times New Roman"/>
        </w:rPr>
      </w:pPr>
      <w:r w:rsidRPr="00B740B4">
        <w:rPr>
          <w:rFonts w:eastAsia="Times New Roman" w:cs="Times New Roman"/>
          <w:b/>
        </w:rPr>
        <w:t>34–37</w:t>
      </w:r>
      <w:r w:rsidR="00C93CC0" w:rsidRPr="00B740B4">
        <w:rPr>
          <w:rFonts w:eastAsia="Times New Roman" w:cs="Times New Roman"/>
        </w:rPr>
        <w:t xml:space="preserve"> Looking to </w:t>
      </w:r>
      <w:r w:rsidR="007864E5" w:rsidRPr="00B740B4">
        <w:rPr>
          <w:rFonts w:eastAsia="Times New Roman" w:cs="Times New Roman"/>
        </w:rPr>
        <w:t xml:space="preserve">the heavens </w:t>
      </w:r>
      <w:r w:rsidR="00E5591B" w:rsidRPr="00B740B4">
        <w:rPr>
          <w:rFonts w:eastAsia="Times New Roman" w:cs="Times New Roman"/>
        </w:rPr>
        <w:t>(v 34</w:t>
      </w:r>
      <w:r w:rsidR="00C93CC0" w:rsidRPr="00B740B4">
        <w:rPr>
          <w:rFonts w:eastAsia="Times New Roman" w:cs="Times New Roman"/>
        </w:rPr>
        <w:t>) suggests seeking God’s aid (Ps 25:15; 121:1–2; 123:1–2; 141:8)</w:t>
      </w:r>
      <w:r w:rsidR="00E5591B" w:rsidRPr="00B740B4">
        <w:rPr>
          <w:rStyle w:val="FootnoteReference"/>
          <w:rFonts w:eastAsia="Times New Roman" w:cs="Times New Roman"/>
        </w:rPr>
        <w:footnoteReference w:id="759"/>
      </w:r>
      <w:r w:rsidR="00C93CC0" w:rsidRPr="00B740B4">
        <w:rPr>
          <w:rFonts w:eastAsia="Times New Roman" w:cs="Times New Roman"/>
        </w:rPr>
        <w:t xml:space="preserve"> and thus implicitly recognizing God’s kingship. It opens the way to restorati</w:t>
      </w:r>
      <w:r w:rsidR="00E5591B" w:rsidRPr="00B740B4">
        <w:rPr>
          <w:rFonts w:eastAsia="Times New Roman" w:cs="Times New Roman"/>
        </w:rPr>
        <w:t>on, which is portrayed in v 36</w:t>
      </w:r>
      <w:r w:rsidR="00C93CC0" w:rsidRPr="00B740B4">
        <w:rPr>
          <w:rFonts w:eastAsia="Times New Roman" w:cs="Times New Roman"/>
        </w:rPr>
        <w:t xml:space="preserve"> along the lines of the allegory of the Davidic dynasty’s restoration in Ezek 1</w:t>
      </w:r>
      <w:r w:rsidR="000E59BF" w:rsidRPr="00B740B4">
        <w:rPr>
          <w:rFonts w:eastAsia="Times New Roman" w:cs="Times New Roman"/>
        </w:rPr>
        <w:t>7:22–24. In</w:t>
      </w:r>
      <w:r w:rsidR="00C93CC0" w:rsidRPr="00B740B4">
        <w:rPr>
          <w:rFonts w:eastAsia="Times New Roman" w:cs="Times New Roman"/>
        </w:rPr>
        <w:t xml:space="preserve"> tales of danger/humiliation and rest</w:t>
      </w:r>
      <w:r w:rsidR="000E59BF" w:rsidRPr="00B740B4">
        <w:rPr>
          <w:rFonts w:eastAsia="Times New Roman" w:cs="Times New Roman"/>
        </w:rPr>
        <w:t xml:space="preserve">oration, </w:t>
      </w:r>
      <w:r w:rsidR="00C93CC0" w:rsidRPr="00B740B4">
        <w:rPr>
          <w:rFonts w:eastAsia="Times New Roman" w:cs="Times New Roman"/>
        </w:rPr>
        <w:t>the subject’s last sta</w:t>
      </w:r>
      <w:r w:rsidR="00E5591B" w:rsidRPr="00B740B4">
        <w:rPr>
          <w:rFonts w:eastAsia="Times New Roman" w:cs="Times New Roman"/>
        </w:rPr>
        <w:t xml:space="preserve">te is </w:t>
      </w:r>
      <w:r w:rsidR="000E59BF" w:rsidRPr="00B740B4">
        <w:rPr>
          <w:rFonts w:eastAsia="Times New Roman" w:cs="Times New Roman"/>
        </w:rPr>
        <w:t xml:space="preserve">characteristically </w:t>
      </w:r>
      <w:r w:rsidR="00E5591B" w:rsidRPr="00B740B4">
        <w:rPr>
          <w:rFonts w:eastAsia="Times New Roman" w:cs="Times New Roman"/>
        </w:rPr>
        <w:t>higher than his first, as is the case with</w:t>
      </w:r>
      <w:r w:rsidR="00C93CC0" w:rsidRPr="00B740B4">
        <w:rPr>
          <w:rFonts w:eastAsia="Times New Roman" w:cs="Times New Roman"/>
        </w:rPr>
        <w:t xml:space="preserve"> Dani</w:t>
      </w:r>
      <w:r w:rsidR="000E59BF" w:rsidRPr="00B740B4">
        <w:rPr>
          <w:rFonts w:eastAsia="Times New Roman" w:cs="Times New Roman"/>
        </w:rPr>
        <w:t>el himself elsewhere in Dan 1–6</w:t>
      </w:r>
      <w:r w:rsidR="00C93CC0" w:rsidRPr="00B740B4">
        <w:rPr>
          <w:rFonts w:eastAsia="Times New Roman" w:cs="Times New Roman"/>
        </w:rPr>
        <w:t xml:space="preserve"> </w:t>
      </w:r>
      <w:r w:rsidR="00E5591B" w:rsidRPr="00B740B4">
        <w:rPr>
          <w:rFonts w:eastAsia="Times New Roman" w:cs="Times New Roman"/>
        </w:rPr>
        <w:t>and with Job</w:t>
      </w:r>
      <w:r w:rsidR="00C93CC0" w:rsidRPr="00B740B4">
        <w:rPr>
          <w:rFonts w:eastAsia="Times New Roman" w:cs="Times New Roman"/>
        </w:rPr>
        <w:t xml:space="preserve">. </w:t>
      </w:r>
    </w:p>
    <w:p w:rsidR="00C93CC0" w:rsidRPr="00B740B4" w:rsidRDefault="00C93CC0" w:rsidP="006010BB">
      <w:pPr>
        <w:widowControl w:val="0"/>
        <w:rPr>
          <w:rFonts w:eastAsia="Times New Roman" w:cs="Times New Roman"/>
        </w:rPr>
      </w:pPr>
      <w:r w:rsidRPr="00B740B4">
        <w:rPr>
          <w:rFonts w:eastAsia="Times New Roman" w:cs="Times New Roman"/>
        </w:rPr>
        <w:t>The restor</w:t>
      </w:r>
      <w:r w:rsidR="00E5591B" w:rsidRPr="00B740B4">
        <w:rPr>
          <w:rFonts w:eastAsia="Times New Roman" w:cs="Times New Roman"/>
        </w:rPr>
        <w:t>ation of Nebuchadnezzar’s human understanding</w:t>
      </w:r>
      <w:r w:rsidRPr="00B740B4">
        <w:rPr>
          <w:rFonts w:eastAsia="Times New Roman" w:cs="Times New Roman"/>
        </w:rPr>
        <w:t xml:space="preserve"> and his resuming an ordinary human life is introductory to the restoration of his power: </w:t>
      </w:r>
      <w:r w:rsidR="00F5286D">
        <w:rPr>
          <w:rFonts w:eastAsia="Times New Roman" w:cs="Times New Roman"/>
        </w:rPr>
        <w:t xml:space="preserve">once again, </w:t>
      </w:r>
      <w:r w:rsidRPr="00B740B4">
        <w:rPr>
          <w:rFonts w:eastAsia="Times New Roman" w:cs="Times New Roman"/>
        </w:rPr>
        <w:t>the story is about his power, nor merely about what happens to him as a human being. Similarly Nebuchadnezzar is portrayed as moving, not from the worship of Marduk to that o</w:t>
      </w:r>
      <w:r w:rsidR="00F5286D">
        <w:rPr>
          <w:rFonts w:eastAsia="Times New Roman" w:cs="Times New Roman"/>
        </w:rPr>
        <w:t>f Yahweh (contrast 2 Macc 9:17)</w:t>
      </w:r>
      <w:r w:rsidRPr="00B740B4">
        <w:rPr>
          <w:rFonts w:eastAsia="Times New Roman" w:cs="Times New Roman"/>
        </w:rPr>
        <w:t xml:space="preserve"> but from </w:t>
      </w:r>
      <w:r w:rsidR="003907D1" w:rsidRPr="00B740B4">
        <w:rPr>
          <w:rFonts w:eastAsia="Times New Roman" w:cs="Times New Roman"/>
        </w:rPr>
        <w:t>a sole acknowledgment of</w:t>
      </w:r>
      <w:r w:rsidRPr="00B740B4">
        <w:rPr>
          <w:rFonts w:eastAsia="Times New Roman" w:cs="Times New Roman"/>
        </w:rPr>
        <w:t xml:space="preserve"> his own kingshi</w:t>
      </w:r>
      <w:r w:rsidR="003907D1" w:rsidRPr="00B740B4">
        <w:rPr>
          <w:rFonts w:eastAsia="Times New Roman" w:cs="Times New Roman"/>
        </w:rPr>
        <w:t xml:space="preserve">p </w:t>
      </w:r>
      <w:r w:rsidRPr="00B740B4">
        <w:rPr>
          <w:rFonts w:eastAsia="Times New Roman" w:cs="Times New Roman"/>
        </w:rPr>
        <w:t xml:space="preserve">to </w:t>
      </w:r>
      <w:r w:rsidR="003907D1" w:rsidRPr="00B740B4">
        <w:rPr>
          <w:rFonts w:eastAsia="Times New Roman" w:cs="Times New Roman"/>
        </w:rPr>
        <w:t xml:space="preserve">an </w:t>
      </w:r>
      <w:r w:rsidRPr="00B740B4">
        <w:rPr>
          <w:rFonts w:eastAsia="Times New Roman" w:cs="Times New Roman"/>
        </w:rPr>
        <w:t>acknowled</w:t>
      </w:r>
      <w:r w:rsidR="003907D1" w:rsidRPr="00B740B4">
        <w:rPr>
          <w:rFonts w:eastAsia="Times New Roman" w:cs="Times New Roman"/>
        </w:rPr>
        <w:t>gment of God’s kingship</w:t>
      </w:r>
      <w:r w:rsidR="00E5591B" w:rsidRPr="00B740B4">
        <w:rPr>
          <w:rFonts w:eastAsia="Times New Roman" w:cs="Times New Roman"/>
        </w:rPr>
        <w:t xml:space="preserve"> (v 37</w:t>
      </w:r>
      <w:r w:rsidRPr="00B740B4">
        <w:rPr>
          <w:rFonts w:eastAsia="Times New Roman" w:cs="Times New Roman"/>
        </w:rPr>
        <w:t xml:space="preserve">). “King of </w:t>
      </w:r>
      <w:r w:rsidR="003907D1" w:rsidRPr="00B740B4">
        <w:rPr>
          <w:rFonts w:eastAsia="Times New Roman" w:cs="Times New Roman"/>
        </w:rPr>
        <w:t xml:space="preserve">the </w:t>
      </w:r>
      <w:r w:rsidRPr="00B740B4">
        <w:rPr>
          <w:rFonts w:eastAsia="Times New Roman" w:cs="Times New Roman"/>
        </w:rPr>
        <w:t>heaven</w:t>
      </w:r>
      <w:r w:rsidR="003907D1" w:rsidRPr="00B740B4">
        <w:rPr>
          <w:rFonts w:eastAsia="Times New Roman" w:cs="Times New Roman"/>
        </w:rPr>
        <w:t>s</w:t>
      </w:r>
      <w:r w:rsidRPr="00B740B4">
        <w:rPr>
          <w:rFonts w:eastAsia="Times New Roman" w:cs="Times New Roman"/>
        </w:rPr>
        <w:t xml:space="preserve">” is another expression unique in the OT (though cf. 1 Esd 4:46, 58; Tob 13:7, 11; </w:t>
      </w:r>
      <w:r w:rsidR="003907D1" w:rsidRPr="00B740B4">
        <w:rPr>
          <w:rFonts w:eastAsia="Times New Roman" w:cs="Times New Roman"/>
        </w:rPr>
        <w:t xml:space="preserve">and </w:t>
      </w:r>
      <w:r w:rsidRPr="00B740B4">
        <w:rPr>
          <w:rFonts w:eastAsia="Times New Roman" w:cs="Times New Roman"/>
        </w:rPr>
        <w:t xml:space="preserve">for similar expressions, Dan 5:23; Jer 7:18; 44:17–19). Here its significance is to bring together at the climax of the </w:t>
      </w:r>
      <w:r w:rsidRPr="00B740B4">
        <w:rPr>
          <w:rFonts w:eastAsia="Times New Roman" w:cs="Times New Roman"/>
        </w:rPr>
        <w:lastRenderedPageBreak/>
        <w:t xml:space="preserve">chapter its two key motifs, kingship and </w:t>
      </w:r>
      <w:r w:rsidR="007864E5" w:rsidRPr="00B740B4">
        <w:rPr>
          <w:rFonts w:eastAsia="Times New Roman" w:cs="Times New Roman"/>
        </w:rPr>
        <w:t>the heavens.</w:t>
      </w:r>
    </w:p>
    <w:p w:rsidR="00C93CC0" w:rsidRPr="00B740B4" w:rsidRDefault="00C93CC0" w:rsidP="009479B1">
      <w:pPr>
        <w:pStyle w:val="Heading2"/>
        <w:rPr>
          <w:rFonts w:eastAsia="Times New Roman"/>
        </w:rPr>
      </w:pPr>
      <w:r w:rsidRPr="00B740B4">
        <w:rPr>
          <w:rFonts w:eastAsia="Times New Roman"/>
        </w:rPr>
        <w:t>Explanation</w:t>
      </w:r>
    </w:p>
    <w:p w:rsidR="003907D1" w:rsidRPr="00B740B4" w:rsidRDefault="00E35A52" w:rsidP="00E35A52">
      <w:pPr>
        <w:rPr>
          <w:rFonts w:eastAsia="Times New Roman"/>
          <w:noProof/>
        </w:rPr>
      </w:pPr>
      <w:r w:rsidRPr="00B740B4">
        <w:rPr>
          <w:rFonts w:eastAsia="Times New Roman"/>
          <w:b/>
          <w:noProof/>
        </w:rPr>
        <w:t>1–3</w:t>
      </w:r>
      <w:r w:rsidR="00C93CC0" w:rsidRPr="00B740B4">
        <w:rPr>
          <w:rFonts w:eastAsia="Times New Roman"/>
          <w:noProof/>
        </w:rPr>
        <w:t xml:space="preserve"> A </w:t>
      </w:r>
      <w:r w:rsidRPr="00B740B4">
        <w:rPr>
          <w:rFonts w:eastAsia="Times New Roman"/>
          <w:noProof/>
        </w:rPr>
        <w:t>man of authority speaks to us. T</w:t>
      </w:r>
      <w:r w:rsidR="00C93CC0" w:rsidRPr="00B740B4">
        <w:rPr>
          <w:rFonts w:eastAsia="Times New Roman"/>
          <w:noProof/>
        </w:rPr>
        <w:t xml:space="preserve">he great Nebuchadnezzar, lord of a worldwide empire, sends word </w:t>
      </w:r>
      <w:r w:rsidR="003907D1" w:rsidRPr="00B740B4">
        <w:rPr>
          <w:rFonts w:eastAsia="Times New Roman"/>
          <w:noProof/>
        </w:rPr>
        <w:t>a</w:t>
      </w:r>
      <w:r w:rsidR="00C93CC0" w:rsidRPr="00B740B4">
        <w:rPr>
          <w:rFonts w:eastAsia="Times New Roman"/>
          <w:noProof/>
        </w:rPr>
        <w:t>round this empire, and his subjects wonder what further demand or obligation is to be placed on them. The content of his message confounds their expectations. The communication ceases to be an encyclical and becomes a testimony such as we r</w:t>
      </w:r>
      <w:r w:rsidRPr="00B740B4">
        <w:rPr>
          <w:rFonts w:eastAsia="Times New Roman"/>
          <w:noProof/>
        </w:rPr>
        <w:t>ead in the Psalms, the confession</w:t>
      </w:r>
      <w:r w:rsidR="00C93CC0" w:rsidRPr="00B740B4">
        <w:rPr>
          <w:rFonts w:eastAsia="Times New Roman"/>
          <w:noProof/>
        </w:rPr>
        <w:t xml:space="preserve"> of a man whom God has marvelously rescued from some calamity who now </w:t>
      </w:r>
      <w:r w:rsidRPr="00B740B4">
        <w:rPr>
          <w:rFonts w:eastAsia="Times New Roman"/>
          <w:noProof/>
        </w:rPr>
        <w:t>makes public acknowledgment</w:t>
      </w:r>
      <w:r w:rsidR="00C93CC0" w:rsidRPr="00B740B4">
        <w:rPr>
          <w:rFonts w:eastAsia="Times New Roman"/>
          <w:noProof/>
        </w:rPr>
        <w:t xml:space="preserve"> of the wonders God has performed for him and offers th</w:t>
      </w:r>
      <w:r w:rsidRPr="00B740B4">
        <w:rPr>
          <w:rFonts w:eastAsia="Times New Roman"/>
          <w:noProof/>
        </w:rPr>
        <w:t>e praise that recognizes how God’s</w:t>
      </w:r>
      <w:r w:rsidR="00C93CC0" w:rsidRPr="00B740B4">
        <w:rPr>
          <w:rFonts w:eastAsia="Times New Roman"/>
          <w:noProof/>
        </w:rPr>
        <w:t xml:space="preserve"> power extends beyond this one moment to the whole of history. Earthly might acknowledges the power of God; one who rules for a while as king acknowledges one whose kingship is unconstrained by time. His testimony subverts any tendency to be overimpressed by the significance of human government, as happened within the </w:t>
      </w:r>
      <w:r w:rsidR="00812837" w:rsidRPr="00B740B4">
        <w:rPr>
          <w:rFonts w:eastAsia="Times New Roman"/>
          <w:noProof/>
        </w:rPr>
        <w:t xml:space="preserve">ancient </w:t>
      </w:r>
      <w:r w:rsidR="00C93CC0" w:rsidRPr="00B740B4">
        <w:rPr>
          <w:rFonts w:eastAsia="Times New Roman"/>
          <w:noProof/>
        </w:rPr>
        <w:t xml:space="preserve">Near Eastern royal ideologies, </w:t>
      </w:r>
      <w:r w:rsidRPr="00B740B4">
        <w:rPr>
          <w:rFonts w:eastAsia="Times New Roman"/>
          <w:noProof/>
        </w:rPr>
        <w:t>rather as chap.</w:t>
      </w:r>
      <w:r w:rsidR="00C93CC0" w:rsidRPr="00B740B4">
        <w:rPr>
          <w:rFonts w:eastAsia="Times New Roman"/>
          <w:noProof/>
        </w:rPr>
        <w:t xml:space="preserve"> 3 subverts any tendency to be overimpressed by the significance of human religion.</w:t>
      </w:r>
      <w:r w:rsidRPr="00B740B4">
        <w:rPr>
          <w:rStyle w:val="FootnoteReference"/>
          <w:rFonts w:eastAsia="Times New Roman"/>
          <w:noProof/>
        </w:rPr>
        <w:footnoteReference w:id="760"/>
      </w:r>
      <w:r w:rsidR="00C93CC0" w:rsidRPr="00B740B4">
        <w:rPr>
          <w:rFonts w:eastAsia="Times New Roman"/>
          <w:noProof/>
        </w:rPr>
        <w:t xml:space="preserve"> </w:t>
      </w:r>
    </w:p>
    <w:p w:rsidR="00C93CC0" w:rsidRPr="00B740B4" w:rsidRDefault="00C93CC0" w:rsidP="00E35A52">
      <w:pPr>
        <w:rPr>
          <w:rFonts w:eastAsia="Times New Roman"/>
          <w:noProof/>
        </w:rPr>
      </w:pPr>
      <w:r w:rsidRPr="00B740B4">
        <w:rPr>
          <w:rFonts w:eastAsia="Times New Roman"/>
          <w:noProof/>
        </w:rPr>
        <w:t>Th</w:t>
      </w:r>
      <w:r w:rsidR="00E35A52" w:rsidRPr="00B740B4">
        <w:rPr>
          <w:rFonts w:eastAsia="Times New Roman"/>
          <w:noProof/>
        </w:rPr>
        <w:t>e chapter concerns the question of who is king, but by its form</w:t>
      </w:r>
      <w:r w:rsidRPr="00B740B4">
        <w:rPr>
          <w:rFonts w:eastAsia="Times New Roman"/>
          <w:noProof/>
        </w:rPr>
        <w:t xml:space="preserve"> it gives us the an</w:t>
      </w:r>
      <w:r w:rsidR="00E35A52" w:rsidRPr="00B740B4">
        <w:rPr>
          <w:rFonts w:eastAsia="Times New Roman"/>
          <w:noProof/>
        </w:rPr>
        <w:t xml:space="preserve">swer before we begin. </w:t>
      </w:r>
      <w:r w:rsidRPr="00B740B4">
        <w:rPr>
          <w:rFonts w:eastAsia="Times New Roman"/>
          <w:noProof/>
        </w:rPr>
        <w:t xml:space="preserve">OT narrative, psalmody, and prophecy </w:t>
      </w:r>
      <w:r w:rsidR="00E35A52" w:rsidRPr="00B740B4">
        <w:rPr>
          <w:rFonts w:eastAsia="Times New Roman"/>
          <w:noProof/>
        </w:rPr>
        <w:t xml:space="preserve">elsewhere </w:t>
      </w:r>
      <w:r w:rsidRPr="00B740B4">
        <w:rPr>
          <w:rFonts w:eastAsia="Times New Roman"/>
          <w:noProof/>
        </w:rPr>
        <w:t>speak of nations and kings once acknowledging God, challenged to acknowledge him, and destined to acknowled</w:t>
      </w:r>
      <w:r w:rsidR="003907D1" w:rsidRPr="00B740B4">
        <w:rPr>
          <w:rFonts w:eastAsia="Times New Roman"/>
          <w:noProof/>
        </w:rPr>
        <w:t xml:space="preserve">ge him. Nebuchadnezzar </w:t>
      </w:r>
      <w:r w:rsidRPr="00B740B4">
        <w:rPr>
          <w:rFonts w:eastAsia="Times New Roman"/>
          <w:noProof/>
        </w:rPr>
        <w:t xml:space="preserve">makes this acknowledgment, in the present, in the history of this age. Whereas often it does </w:t>
      </w:r>
      <w:r w:rsidR="003907D1" w:rsidRPr="00B740B4">
        <w:rPr>
          <w:rFonts w:eastAsia="Times New Roman"/>
          <w:noProof/>
        </w:rPr>
        <w:t xml:space="preserve">not seem that </w:t>
      </w:r>
      <w:r w:rsidRPr="00B740B4">
        <w:rPr>
          <w:rFonts w:eastAsia="Times New Roman"/>
          <w:noProof/>
        </w:rPr>
        <w:t xml:space="preserve">God rules in history, occasional yet momentous events whose memory </w:t>
      </w:r>
      <w:r w:rsidR="00E35A52" w:rsidRPr="00B740B4">
        <w:rPr>
          <w:rFonts w:eastAsia="Times New Roman"/>
          <w:noProof/>
        </w:rPr>
        <w:t xml:space="preserve">the </w:t>
      </w:r>
      <w:r w:rsidR="00A312C9">
        <w:rPr>
          <w:rFonts w:eastAsia="Times New Roman"/>
          <w:noProof/>
        </w:rPr>
        <w:t>s</w:t>
      </w:r>
      <w:r w:rsidRPr="00B740B4">
        <w:rPr>
          <w:rFonts w:eastAsia="Times New Roman"/>
          <w:noProof/>
        </w:rPr>
        <w:t>cripture</w:t>
      </w:r>
      <w:r w:rsidR="00E35A52" w:rsidRPr="00B740B4">
        <w:rPr>
          <w:rFonts w:eastAsia="Times New Roman"/>
          <w:noProof/>
        </w:rPr>
        <w:t>s preserve</w:t>
      </w:r>
      <w:r w:rsidRPr="00B740B4">
        <w:rPr>
          <w:rFonts w:eastAsia="Times New Roman"/>
          <w:noProof/>
        </w:rPr>
        <w:t xml:space="preserve"> give the grounds and the periodic reinforcement for the </w:t>
      </w:r>
      <w:r w:rsidR="003907D1" w:rsidRPr="00B740B4">
        <w:rPr>
          <w:rFonts w:eastAsia="Times New Roman"/>
          <w:noProof/>
        </w:rPr>
        <w:t xml:space="preserve">conviction that he does </w:t>
      </w:r>
      <w:r w:rsidRPr="00B740B4">
        <w:rPr>
          <w:rFonts w:eastAsia="Times New Roman"/>
          <w:noProof/>
        </w:rPr>
        <w:t xml:space="preserve">rule. </w:t>
      </w:r>
      <w:r w:rsidR="00E35A52" w:rsidRPr="00B740B4">
        <w:rPr>
          <w:rFonts w:eastAsia="Times New Roman"/>
          <w:noProof/>
        </w:rPr>
        <w:t>T</w:t>
      </w:r>
      <w:r w:rsidRPr="00B740B4">
        <w:rPr>
          <w:rFonts w:eastAsia="Times New Roman"/>
          <w:noProof/>
        </w:rPr>
        <w:t xml:space="preserve">he author of Daniel affirms </w:t>
      </w:r>
      <w:r w:rsidR="00E35A52" w:rsidRPr="00B740B4">
        <w:rPr>
          <w:rFonts w:eastAsia="Times New Roman"/>
          <w:noProof/>
        </w:rPr>
        <w:t xml:space="preserve">that conviction of faith </w:t>
      </w:r>
      <w:r w:rsidRPr="00B740B4">
        <w:rPr>
          <w:rFonts w:eastAsia="Times New Roman"/>
          <w:noProof/>
        </w:rPr>
        <w:t xml:space="preserve">for himself and </w:t>
      </w:r>
      <w:r w:rsidR="00E35A52" w:rsidRPr="00B740B4">
        <w:rPr>
          <w:rFonts w:eastAsia="Times New Roman"/>
          <w:noProof/>
        </w:rPr>
        <w:t xml:space="preserve">for </w:t>
      </w:r>
      <w:r w:rsidRPr="00B740B4">
        <w:rPr>
          <w:rFonts w:eastAsia="Times New Roman"/>
          <w:noProof/>
        </w:rPr>
        <w:t>his</w:t>
      </w:r>
      <w:r w:rsidR="00E35A52" w:rsidRPr="00B740B4">
        <w:rPr>
          <w:rFonts w:eastAsia="Times New Roman"/>
          <w:noProof/>
        </w:rPr>
        <w:t xml:space="preserve"> </w:t>
      </w:r>
      <w:r w:rsidRPr="00B740B4">
        <w:rPr>
          <w:rFonts w:eastAsia="Times New Roman"/>
          <w:noProof/>
        </w:rPr>
        <w:t>readers as he puts it on the lips of the great Nebuchadnezzar.</w:t>
      </w:r>
    </w:p>
    <w:p w:rsidR="004B64B3" w:rsidRPr="00B740B4" w:rsidRDefault="00E35A52" w:rsidP="00FE542D">
      <w:pPr>
        <w:widowControl w:val="0"/>
        <w:rPr>
          <w:rFonts w:eastAsia="Times New Roman" w:cs="Times New Roman"/>
        </w:rPr>
      </w:pPr>
      <w:r w:rsidRPr="00B740B4">
        <w:rPr>
          <w:rFonts w:eastAsia="Times New Roman" w:cs="Times New Roman"/>
          <w:b/>
        </w:rPr>
        <w:t>4–9</w:t>
      </w:r>
      <w:r w:rsidR="00C93CC0" w:rsidRPr="00B740B4">
        <w:rPr>
          <w:rFonts w:eastAsia="Times New Roman" w:cs="Times New Roman"/>
        </w:rPr>
        <w:t xml:space="preserve"> When a confessional psalm (e.g., Ps 30) begins as this </w:t>
      </w:r>
      <w:r w:rsidR="0034481F" w:rsidRPr="00B740B4">
        <w:rPr>
          <w:rFonts w:eastAsia="Times New Roman" w:cs="Times New Roman"/>
        </w:rPr>
        <w:t>chapter</w:t>
      </w:r>
      <w:r w:rsidRPr="00B740B4">
        <w:rPr>
          <w:rFonts w:eastAsia="Times New Roman" w:cs="Times New Roman"/>
        </w:rPr>
        <w:t xml:space="preserve"> has in vv 1–3</w:t>
      </w:r>
      <w:r w:rsidR="00C93CC0" w:rsidRPr="00B740B4">
        <w:rPr>
          <w:rFonts w:eastAsia="Times New Roman" w:cs="Times New Roman"/>
        </w:rPr>
        <w:t>, it invites us to pay close attention to</w:t>
      </w:r>
      <w:r w:rsidRPr="00B740B4">
        <w:rPr>
          <w:rFonts w:eastAsia="Times New Roman" w:cs="Times New Roman"/>
        </w:rPr>
        <w:t xml:space="preserve"> the testimony that follows,</w:t>
      </w:r>
      <w:r w:rsidR="00C93CC0" w:rsidRPr="00B740B4">
        <w:rPr>
          <w:rFonts w:eastAsia="Times New Roman" w:cs="Times New Roman"/>
        </w:rPr>
        <w:t xml:space="preserve"> which takes us over the way its unlikely result came about. As happens in such a psalm, Nebuchadnezzar now begins at the beginning. His confession g</w:t>
      </w:r>
      <w:r w:rsidR="00111639">
        <w:rPr>
          <w:rFonts w:eastAsia="Times New Roman" w:cs="Times New Roman"/>
        </w:rPr>
        <w:t>oes further than the one</w:t>
      </w:r>
      <w:r w:rsidRPr="00B740B4">
        <w:rPr>
          <w:rFonts w:eastAsia="Times New Roman" w:cs="Times New Roman"/>
        </w:rPr>
        <w:t xml:space="preserve"> in chap.</w:t>
      </w:r>
      <w:r w:rsidR="00C93CC0" w:rsidRPr="00B740B4">
        <w:rPr>
          <w:rFonts w:eastAsia="Times New Roman" w:cs="Times New Roman"/>
        </w:rPr>
        <w:t xml:space="preserve"> 2, and his testimony tak</w:t>
      </w:r>
      <w:r w:rsidR="005C7340" w:rsidRPr="00B740B4">
        <w:rPr>
          <w:rFonts w:eastAsia="Times New Roman" w:cs="Times New Roman"/>
        </w:rPr>
        <w:t xml:space="preserve">es us further back than chap. </w:t>
      </w:r>
      <w:r w:rsidR="00C93CC0" w:rsidRPr="00B740B4">
        <w:rPr>
          <w:rFonts w:eastAsia="Times New Roman" w:cs="Times New Roman"/>
        </w:rPr>
        <w:t xml:space="preserve">2 did when </w:t>
      </w:r>
      <w:r w:rsidR="005C7340" w:rsidRPr="00B740B4">
        <w:rPr>
          <w:rFonts w:eastAsia="Times New Roman" w:cs="Times New Roman"/>
        </w:rPr>
        <w:t>he recounted his earlier dream. He</w:t>
      </w:r>
      <w:r w:rsidR="00C93CC0" w:rsidRPr="00B740B4">
        <w:rPr>
          <w:rFonts w:eastAsia="Times New Roman" w:cs="Times New Roman"/>
        </w:rPr>
        <w:t xml:space="preserve"> begins from the secure, successful circumstances of his life before his </w:t>
      </w:r>
      <w:r w:rsidR="005C7340" w:rsidRPr="00B740B4">
        <w:rPr>
          <w:rFonts w:eastAsia="Times New Roman" w:cs="Times New Roman"/>
        </w:rPr>
        <w:t>troubling dream came</w:t>
      </w:r>
      <w:r w:rsidR="00C93CC0" w:rsidRPr="00B740B4">
        <w:rPr>
          <w:rFonts w:eastAsia="Times New Roman" w:cs="Times New Roman"/>
        </w:rPr>
        <w:t>. The very</w:t>
      </w:r>
      <w:r w:rsidR="005C7340" w:rsidRPr="00B740B4">
        <w:rPr>
          <w:rFonts w:eastAsia="Times New Roman" w:cs="Times New Roman"/>
        </w:rPr>
        <w:t xml:space="preserve"> description of things going </w:t>
      </w:r>
      <w:r w:rsidR="00C93CC0" w:rsidRPr="00B740B4">
        <w:rPr>
          <w:rFonts w:eastAsia="Times New Roman" w:cs="Times New Roman"/>
        </w:rPr>
        <w:t xml:space="preserve">well </w:t>
      </w:r>
      <w:r w:rsidR="005C7340" w:rsidRPr="00B740B4">
        <w:rPr>
          <w:rFonts w:eastAsia="Times New Roman" w:cs="Times New Roman"/>
        </w:rPr>
        <w:t>would make</w:t>
      </w:r>
      <w:r w:rsidR="00C93CC0" w:rsidRPr="00B740B4">
        <w:rPr>
          <w:rFonts w:eastAsia="Times New Roman" w:cs="Times New Roman"/>
        </w:rPr>
        <w:t xml:space="preserve"> us wonder whether catastrophe is imminent, especially as God is omitted from what he says (Deut 8:11–14; Ps 30:6–7 [7–8]; Luke 12:19). The thriving state of Nebuchadnezzar’s monarchy, at the head of its mig</w:t>
      </w:r>
      <w:r w:rsidR="00111639">
        <w:rPr>
          <w:rFonts w:eastAsia="Times New Roman" w:cs="Times New Roman"/>
        </w:rPr>
        <w:t>hty empire, is to be reflected in</w:t>
      </w:r>
      <w:r w:rsidR="00C93CC0" w:rsidRPr="00B740B4">
        <w:rPr>
          <w:rFonts w:eastAsia="Times New Roman" w:cs="Times New Roman"/>
        </w:rPr>
        <w:t xml:space="preserve"> the flourishing tree of his dream, symbolic of the great cosmic provider and of his royal earthly embodiment; but the broken tree of the dream will reflect the dreamer’s actually fragile position—and perhaps his subconscious sense of that</w:t>
      </w:r>
      <w:r w:rsidR="005C7340" w:rsidRPr="00B740B4">
        <w:rPr>
          <w:rFonts w:eastAsia="Times New Roman" w:cs="Times New Roman"/>
        </w:rPr>
        <w:t xml:space="preserve"> fragility</w:t>
      </w:r>
      <w:r w:rsidR="00C93CC0" w:rsidRPr="00B740B4">
        <w:rPr>
          <w:rFonts w:eastAsia="Times New Roman" w:cs="Times New Roman"/>
        </w:rPr>
        <w:t>—which even a dream that hardly required much interpretation</w:t>
      </w:r>
      <w:r w:rsidR="005C7340" w:rsidRPr="00B740B4">
        <w:rPr>
          <w:rStyle w:val="FootnoteReference"/>
          <w:rFonts w:eastAsia="Times New Roman" w:cs="Times New Roman"/>
        </w:rPr>
        <w:footnoteReference w:id="761"/>
      </w:r>
      <w:r w:rsidR="00C93CC0" w:rsidRPr="00B740B4">
        <w:rPr>
          <w:rFonts w:eastAsia="Times New Roman" w:cs="Times New Roman"/>
        </w:rPr>
        <w:t xml:space="preserve"> could nevertheless not enable t</w:t>
      </w:r>
      <w:r w:rsidR="000221A4" w:rsidRPr="00B740B4">
        <w:rPr>
          <w:rFonts w:eastAsia="Times New Roman" w:cs="Times New Roman"/>
        </w:rPr>
        <w:t xml:space="preserve">o become a conscious awareness. </w:t>
      </w:r>
      <w:r w:rsidR="00FE542D" w:rsidRPr="00B740B4">
        <w:rPr>
          <w:rFonts w:eastAsia="Times New Roman" w:cs="Times New Roman"/>
        </w:rPr>
        <w:t>“</w:t>
      </w:r>
      <w:r w:rsidR="004B64B3" w:rsidRPr="00B740B4">
        <w:rPr>
          <w:rFonts w:eastAsiaTheme="minorHAnsi" w:cs="Times New Roman"/>
          <w:bCs/>
        </w:rPr>
        <w:t>Absolute power is inescapably haunted by misgivings and precariousness, for every absolute power is inherently edgy in its awareness of fragility. Daniel's interpretation gives force and specificity to the misgivings hosted by arrogant power.</w:t>
      </w:r>
      <w:r w:rsidR="00FE542D" w:rsidRPr="00B740B4">
        <w:rPr>
          <w:rFonts w:eastAsiaTheme="minorHAnsi" w:cs="Times New Roman"/>
          <w:bCs/>
        </w:rPr>
        <w:t>”</w:t>
      </w:r>
      <w:r w:rsidR="00FE542D" w:rsidRPr="00B740B4">
        <w:rPr>
          <w:rStyle w:val="FootnoteReference"/>
          <w:rFonts w:eastAsiaTheme="minorHAnsi" w:cs="Times New Roman"/>
          <w:bCs/>
        </w:rPr>
        <w:footnoteReference w:id="762"/>
      </w:r>
    </w:p>
    <w:p w:rsidR="00C93CC0" w:rsidRPr="00B740B4" w:rsidRDefault="005C7340" w:rsidP="006010BB">
      <w:pPr>
        <w:widowControl w:val="0"/>
        <w:rPr>
          <w:rFonts w:eastAsia="Times New Roman" w:cs="Times New Roman"/>
        </w:rPr>
      </w:pPr>
      <w:r w:rsidRPr="00B740B4">
        <w:rPr>
          <w:rFonts w:eastAsia="Times New Roman" w:cs="Times New Roman"/>
        </w:rPr>
        <w:t>Among th</w:t>
      </w:r>
      <w:r w:rsidR="00C93CC0" w:rsidRPr="00B740B4">
        <w:rPr>
          <w:rFonts w:eastAsia="Times New Roman" w:cs="Times New Roman"/>
        </w:rPr>
        <w:t xml:space="preserve">e </w:t>
      </w:r>
      <w:r w:rsidRPr="00B740B4">
        <w:rPr>
          <w:rFonts w:eastAsia="Times New Roman" w:cs="Times New Roman"/>
        </w:rPr>
        <w:t xml:space="preserve">people </w:t>
      </w:r>
      <w:r w:rsidR="00C93CC0" w:rsidRPr="00B740B4">
        <w:rPr>
          <w:rFonts w:eastAsia="Times New Roman" w:cs="Times New Roman"/>
        </w:rPr>
        <w:t>invited to interpret the dream, Daniel</w:t>
      </w:r>
      <w:r w:rsidR="000221A4" w:rsidRPr="00B740B4">
        <w:rPr>
          <w:rFonts w:eastAsia="Times New Roman" w:cs="Times New Roman"/>
        </w:rPr>
        <w:t xml:space="preserve"> arrives at the end of the line</w:t>
      </w:r>
      <w:r w:rsidRPr="00B740B4">
        <w:rPr>
          <w:rFonts w:eastAsia="Times New Roman" w:cs="Times New Roman"/>
        </w:rPr>
        <w:t>. The other expert</w:t>
      </w:r>
      <w:r w:rsidR="00C93CC0" w:rsidRPr="00B740B4">
        <w:rPr>
          <w:rFonts w:eastAsia="Times New Roman" w:cs="Times New Roman"/>
        </w:rPr>
        <w:t xml:space="preserve">s’ failure </w:t>
      </w:r>
      <w:r w:rsidR="000C04BF">
        <w:rPr>
          <w:rFonts w:eastAsia="Times New Roman" w:cs="Times New Roman"/>
        </w:rPr>
        <w:t>(caused by their own fear of saying the obvious?)</w:t>
      </w:r>
      <w:r w:rsidR="000C04BF">
        <w:rPr>
          <w:rStyle w:val="FootnoteReference"/>
          <w:rFonts w:eastAsia="Times New Roman" w:cs="Times New Roman"/>
        </w:rPr>
        <w:footnoteReference w:id="763"/>
      </w:r>
      <w:r w:rsidR="000C04BF">
        <w:rPr>
          <w:rFonts w:eastAsia="Times New Roman" w:cs="Times New Roman"/>
        </w:rPr>
        <w:t xml:space="preserve"> </w:t>
      </w:r>
      <w:r w:rsidR="00C93CC0" w:rsidRPr="00B740B4">
        <w:rPr>
          <w:rFonts w:eastAsia="Times New Roman" w:cs="Times New Roman"/>
        </w:rPr>
        <w:t xml:space="preserve">heightens the challenge to and our expectations of </w:t>
      </w:r>
      <w:r w:rsidR="00111639">
        <w:rPr>
          <w:rFonts w:eastAsia="Times New Roman" w:cs="Times New Roman"/>
        </w:rPr>
        <w:t>some</w:t>
      </w:r>
      <w:r w:rsidR="00C93CC0" w:rsidRPr="00B740B4">
        <w:rPr>
          <w:rFonts w:eastAsia="Times New Roman" w:cs="Times New Roman"/>
        </w:rPr>
        <w:t>one who already has a special status deriving from a special divine gift.</w:t>
      </w:r>
      <w:r w:rsidR="00A859B3" w:rsidRPr="00B740B4">
        <w:rPr>
          <w:rFonts w:eastAsia="Times New Roman" w:cs="Times New Roman"/>
        </w:rPr>
        <w:t xml:space="preserve"> As usual, the “‘court contest’ </w:t>
      </w:r>
      <w:r w:rsidR="00111639">
        <w:rPr>
          <w:rFonts w:eastAsia="Times New Roman" w:cs="Times New Roman"/>
        </w:rPr>
        <w:t>is in reality…</w:t>
      </w:r>
      <w:r w:rsidR="001B0950" w:rsidRPr="00B740B4">
        <w:rPr>
          <w:rFonts w:eastAsia="Times New Roman" w:cs="Times New Roman"/>
        </w:rPr>
        <w:t xml:space="preserve"> ‘no contest.’”</w:t>
      </w:r>
      <w:r w:rsidR="001B0950" w:rsidRPr="00B740B4">
        <w:rPr>
          <w:rStyle w:val="FootnoteReference"/>
          <w:rFonts w:eastAsia="Times New Roman" w:cs="Times New Roman"/>
        </w:rPr>
        <w:footnoteReference w:id="764"/>
      </w:r>
      <w:r w:rsidR="001B0950" w:rsidRPr="00B740B4">
        <w:rPr>
          <w:rFonts w:eastAsia="Times New Roman" w:cs="Times New Roman"/>
        </w:rPr>
        <w:t xml:space="preserve"> </w:t>
      </w:r>
      <w:r w:rsidR="00C93CC0" w:rsidRPr="00B740B4">
        <w:rPr>
          <w:rFonts w:eastAsia="Times New Roman" w:cs="Times New Roman"/>
        </w:rPr>
        <w:t>The Nebuchadnezzar of cha</w:t>
      </w:r>
      <w:r w:rsidRPr="00B740B4">
        <w:rPr>
          <w:rFonts w:eastAsia="Times New Roman" w:cs="Times New Roman"/>
        </w:rPr>
        <w:t xml:space="preserve">p. 2 had been told by the </w:t>
      </w:r>
      <w:r w:rsidRPr="00B740B4">
        <w:rPr>
          <w:rFonts w:eastAsia="Times New Roman" w:cs="Times New Roman"/>
        </w:rPr>
        <w:lastRenderedPageBreak/>
        <w:t>expert</w:t>
      </w:r>
      <w:r w:rsidR="00C93CC0" w:rsidRPr="00B740B4">
        <w:rPr>
          <w:rFonts w:eastAsia="Times New Roman" w:cs="Times New Roman"/>
        </w:rPr>
        <w:t>s that conundrums beyond human insight could not be solved, because the go</w:t>
      </w:r>
      <w:r w:rsidRPr="00B740B4">
        <w:rPr>
          <w:rFonts w:eastAsia="Times New Roman" w:cs="Times New Roman"/>
        </w:rPr>
        <w:t>ds’ home is not among mortal humanity</w:t>
      </w:r>
      <w:r w:rsidR="00C93CC0" w:rsidRPr="00B740B4">
        <w:rPr>
          <w:rFonts w:eastAsia="Times New Roman" w:cs="Times New Roman"/>
        </w:rPr>
        <w:t xml:space="preserve">; Daniel had then proved to him that the God of </w:t>
      </w:r>
      <w:r w:rsidR="007864E5" w:rsidRPr="00B740B4">
        <w:rPr>
          <w:rFonts w:eastAsia="Times New Roman" w:cs="Times New Roman"/>
        </w:rPr>
        <w:t xml:space="preserve">the heavens </w:t>
      </w:r>
      <w:r w:rsidR="00C93CC0" w:rsidRPr="00B740B4">
        <w:rPr>
          <w:rFonts w:eastAsia="Times New Roman" w:cs="Times New Roman"/>
        </w:rPr>
        <w:t>could solve them (2:11, 28). Here the king</w:t>
      </w:r>
      <w:r w:rsidR="00111639">
        <w:rPr>
          <w:rFonts w:eastAsia="Times New Roman" w:cs="Times New Roman"/>
        </w:rPr>
        <w:t xml:space="preserve"> expresses convictions about God’s presence </w:t>
      </w:r>
      <w:r w:rsidR="00C93CC0" w:rsidRPr="00B740B4">
        <w:rPr>
          <w:rFonts w:eastAsia="Times New Roman" w:cs="Times New Roman"/>
        </w:rPr>
        <w:t>in Daniel, and about his consequent ability to solve conundrums, wh</w:t>
      </w:r>
      <w:r w:rsidRPr="00B740B4">
        <w:rPr>
          <w:rFonts w:eastAsia="Times New Roman" w:cs="Times New Roman"/>
        </w:rPr>
        <w:t>ich the story will vindicate. Notwithstanding the apparent obvious meaning of the dream, Daniel’</w:t>
      </w:r>
      <w:r w:rsidR="00C93CC0" w:rsidRPr="00B740B4">
        <w:rPr>
          <w:rFonts w:eastAsia="Times New Roman" w:cs="Times New Roman"/>
        </w:rPr>
        <w:t xml:space="preserve">s insights do not reflect merely human capacities; they come from divine revelation regarding what would otherwise remain mystery. The OT does not assume that the meaning of historical events (such as the dream portrays in symbol) can be read off from them. Neither the unbelieving world, nor the believing community, is at fault for finding history enigmatic. The </w:t>
      </w:r>
      <w:r w:rsidRPr="00B740B4">
        <w:rPr>
          <w:rFonts w:eastAsia="Times New Roman" w:cs="Times New Roman"/>
        </w:rPr>
        <w:t xml:space="preserve">significance of events may </w:t>
      </w:r>
      <w:r w:rsidR="00C93CC0" w:rsidRPr="00B740B4">
        <w:rPr>
          <w:rFonts w:eastAsia="Times New Roman" w:cs="Times New Roman"/>
        </w:rPr>
        <w:t>be per</w:t>
      </w:r>
      <w:r w:rsidR="000221A4" w:rsidRPr="00B740B4">
        <w:rPr>
          <w:rFonts w:eastAsia="Times New Roman" w:cs="Times New Roman"/>
        </w:rPr>
        <w:t>ceived</w:t>
      </w:r>
      <w:r w:rsidR="00C93CC0" w:rsidRPr="00B740B4">
        <w:rPr>
          <w:rFonts w:eastAsia="Times New Roman" w:cs="Times New Roman"/>
        </w:rPr>
        <w:t xml:space="preserve"> </w:t>
      </w:r>
      <w:r w:rsidRPr="00B740B4">
        <w:rPr>
          <w:rFonts w:eastAsia="Times New Roman" w:cs="Times New Roman"/>
        </w:rPr>
        <w:t xml:space="preserve">only </w:t>
      </w:r>
      <w:r w:rsidR="00C93CC0" w:rsidRPr="00B740B4">
        <w:rPr>
          <w:rFonts w:eastAsia="Times New Roman" w:cs="Times New Roman"/>
        </w:rPr>
        <w:t>when God chooses to reveal it through some person he endows with prophetic gifts.</w:t>
      </w:r>
    </w:p>
    <w:p w:rsidR="00B82F32" w:rsidRPr="00B740B4" w:rsidRDefault="009C6151" w:rsidP="006010BB">
      <w:pPr>
        <w:widowControl w:val="0"/>
        <w:rPr>
          <w:rFonts w:eastAsia="Times New Roman" w:cs="Times New Roman"/>
        </w:rPr>
      </w:pPr>
      <w:r w:rsidRPr="00B740B4">
        <w:rPr>
          <w:rFonts w:eastAsia="Times New Roman" w:cs="Times New Roman"/>
          <w:b/>
        </w:rPr>
        <w:t>10–16</w:t>
      </w:r>
      <w:r w:rsidR="00C93CC0" w:rsidRPr="00B740B4">
        <w:rPr>
          <w:rFonts w:eastAsia="Times New Roman" w:cs="Times New Roman"/>
        </w:rPr>
        <w:t xml:space="preserve"> Humanity finds ways of reassuring itself that the life and resources of the cos</w:t>
      </w:r>
      <w:r w:rsidR="005C7340" w:rsidRPr="00B740B4">
        <w:rPr>
          <w:rFonts w:eastAsia="Times New Roman" w:cs="Times New Roman"/>
        </w:rPr>
        <w:t>mos are secure. The myth of all-</w:t>
      </w:r>
      <w:r w:rsidR="000221A4" w:rsidRPr="00B740B4">
        <w:rPr>
          <w:rFonts w:eastAsia="Times New Roman" w:cs="Times New Roman"/>
        </w:rPr>
        <w:t xml:space="preserve">providing science has </w:t>
      </w:r>
      <w:r w:rsidR="005C7340" w:rsidRPr="00B740B4">
        <w:rPr>
          <w:rFonts w:eastAsia="Times New Roman" w:cs="Times New Roman"/>
        </w:rPr>
        <w:t>offered that reassurance in Western</w:t>
      </w:r>
      <w:r w:rsidR="00C93CC0" w:rsidRPr="00B740B4">
        <w:rPr>
          <w:rFonts w:eastAsia="Times New Roman" w:cs="Times New Roman"/>
        </w:rPr>
        <w:t xml:space="preserve"> history; the myth of the cosmic tree offered it to the ancient Near Eastern world. Nebuchadnezzar’s fearful dream warns of the wasting of this resource, from the very quarter it sought to reach. It is not, after all, a secure locus or source of achievement and transcendence, of life, security, and provision. (It will eventually be </w:t>
      </w:r>
      <w:r w:rsidR="00B82F32" w:rsidRPr="00B740B4">
        <w:rPr>
          <w:rFonts w:eastAsia="Times New Roman" w:cs="Times New Roman"/>
        </w:rPr>
        <w:t>a very different tree that</w:t>
      </w:r>
      <w:r w:rsidR="00C93CC0" w:rsidRPr="00B740B4">
        <w:rPr>
          <w:rFonts w:eastAsia="Times New Roman" w:cs="Times New Roman"/>
        </w:rPr>
        <w:t xml:space="preserve"> more effectively links</w:t>
      </w:r>
      <w:r w:rsidR="007864E5" w:rsidRPr="00B740B4">
        <w:rPr>
          <w:rFonts w:eastAsia="Times New Roman" w:cs="Times New Roman"/>
        </w:rPr>
        <w:t xml:space="preserve"> the</w:t>
      </w:r>
      <w:r w:rsidR="00C93CC0" w:rsidRPr="00B740B4">
        <w:rPr>
          <w:rFonts w:eastAsia="Times New Roman" w:cs="Times New Roman"/>
        </w:rPr>
        <w:t xml:space="preserve"> earth and </w:t>
      </w:r>
      <w:r w:rsidR="007864E5" w:rsidRPr="00B740B4">
        <w:rPr>
          <w:rFonts w:eastAsia="Times New Roman" w:cs="Times New Roman"/>
        </w:rPr>
        <w:t xml:space="preserve">the heavens </w:t>
      </w:r>
      <w:r w:rsidR="00C93CC0" w:rsidRPr="00B740B4">
        <w:rPr>
          <w:rFonts w:eastAsia="Times New Roman" w:cs="Times New Roman"/>
        </w:rPr>
        <w:t>and displays itself—or rather displays the</w:t>
      </w:r>
      <w:r w:rsidR="005C7340" w:rsidRPr="00B740B4">
        <w:rPr>
          <w:rFonts w:eastAsia="Times New Roman" w:cs="Times New Roman"/>
        </w:rPr>
        <w:t xml:space="preserve"> </w:t>
      </w:r>
      <w:r w:rsidR="00C93CC0" w:rsidRPr="00B740B4">
        <w:rPr>
          <w:rFonts w:eastAsia="Times New Roman" w:cs="Times New Roman"/>
        </w:rPr>
        <w:t xml:space="preserve">one it bears—before </w:t>
      </w:r>
      <w:r w:rsidR="005C7340" w:rsidRPr="00B740B4">
        <w:rPr>
          <w:rFonts w:eastAsia="Times New Roman" w:cs="Times New Roman"/>
        </w:rPr>
        <w:t xml:space="preserve">the </w:t>
      </w:r>
      <w:r w:rsidR="00C93CC0" w:rsidRPr="00B740B4">
        <w:rPr>
          <w:rFonts w:eastAsia="Times New Roman" w:cs="Times New Roman"/>
        </w:rPr>
        <w:t xml:space="preserve">earth and </w:t>
      </w:r>
      <w:r w:rsidR="005C7340" w:rsidRPr="00B740B4">
        <w:rPr>
          <w:rFonts w:eastAsia="Times New Roman" w:cs="Times New Roman"/>
        </w:rPr>
        <w:t xml:space="preserve">the </w:t>
      </w:r>
      <w:r w:rsidR="00C93CC0" w:rsidRPr="00B740B4">
        <w:rPr>
          <w:rFonts w:eastAsia="Times New Roman" w:cs="Times New Roman"/>
        </w:rPr>
        <w:t>heaven</w:t>
      </w:r>
      <w:r w:rsidR="005C7340" w:rsidRPr="00B740B4">
        <w:rPr>
          <w:rFonts w:eastAsia="Times New Roman" w:cs="Times New Roman"/>
        </w:rPr>
        <w:t>s</w:t>
      </w:r>
      <w:r w:rsidR="00B82F32" w:rsidRPr="00B740B4">
        <w:rPr>
          <w:rFonts w:eastAsia="Times New Roman" w:cs="Times New Roman"/>
        </w:rPr>
        <w:t>. It will be a</w:t>
      </w:r>
      <w:r w:rsidR="00C93CC0" w:rsidRPr="00B740B4">
        <w:rPr>
          <w:rFonts w:eastAsia="Times New Roman" w:cs="Times New Roman"/>
        </w:rPr>
        <w:t xml:space="preserve"> tree which, moreover, also has to become a tree of shame—but not for its own shortcomings—before it can be a tree of glory. That tree will offer life, security,</w:t>
      </w:r>
      <w:r w:rsidR="00B82F32" w:rsidRPr="00B740B4">
        <w:rPr>
          <w:rFonts w:eastAsia="Times New Roman" w:cs="Times New Roman"/>
        </w:rPr>
        <w:t xml:space="preserve"> and provision in fuller senses, </w:t>
      </w:r>
      <w:r w:rsidR="00C93CC0" w:rsidRPr="00B740B4">
        <w:rPr>
          <w:rFonts w:eastAsia="Times New Roman" w:cs="Times New Roman"/>
        </w:rPr>
        <w:t xml:space="preserve">though the fuller sense must not exclude the physical senses which are this vision’s concern, and which are God’s own concern.) </w:t>
      </w:r>
    </w:p>
    <w:p w:rsidR="00C93CC0" w:rsidRPr="00B740B4" w:rsidRDefault="00C93CC0" w:rsidP="006010BB">
      <w:pPr>
        <w:widowControl w:val="0"/>
        <w:rPr>
          <w:rFonts w:eastAsia="Times New Roman" w:cs="Times New Roman"/>
        </w:rPr>
      </w:pPr>
      <w:r w:rsidRPr="00B740B4">
        <w:rPr>
          <w:rFonts w:eastAsia="Times New Roman" w:cs="Times New Roman"/>
        </w:rPr>
        <w:t>The visionary tree is not totally destroyed; God’s judgment charac</w:t>
      </w:r>
      <w:r w:rsidR="00B82F32" w:rsidRPr="00B740B4">
        <w:rPr>
          <w:rFonts w:eastAsia="Times New Roman" w:cs="Times New Roman"/>
        </w:rPr>
        <w:t>teristically has a “yet” (v 15</w:t>
      </w:r>
      <w:r w:rsidRPr="00B740B4">
        <w:rPr>
          <w:rFonts w:eastAsia="Times New Roman" w:cs="Times New Roman"/>
        </w:rPr>
        <w:t>) contained within it. But like the survival of a (mere) remnant i</w:t>
      </w:r>
      <w:r w:rsidR="00B82F32" w:rsidRPr="00B740B4">
        <w:rPr>
          <w:rFonts w:eastAsia="Times New Roman" w:cs="Times New Roman"/>
        </w:rPr>
        <w:t xml:space="preserve">n OT prophecy, the way </w:t>
      </w:r>
      <w:r w:rsidRPr="00B740B4">
        <w:rPr>
          <w:rFonts w:eastAsia="Times New Roman" w:cs="Times New Roman"/>
        </w:rPr>
        <w:t xml:space="preserve">its remains survive serves to underline the wasting it experiences. From the center of the earth it had reached </w:t>
      </w:r>
      <w:r w:rsidR="002D4FFF" w:rsidRPr="00B740B4">
        <w:rPr>
          <w:rFonts w:eastAsia="Times New Roman" w:cs="Times New Roman"/>
        </w:rPr>
        <w:t xml:space="preserve">towards </w:t>
      </w:r>
      <w:r w:rsidR="005C7340" w:rsidRPr="00B740B4">
        <w:rPr>
          <w:rFonts w:eastAsia="Times New Roman" w:cs="Times New Roman"/>
        </w:rPr>
        <w:t xml:space="preserve">the </w:t>
      </w:r>
      <w:r w:rsidRPr="00B740B4">
        <w:rPr>
          <w:rFonts w:eastAsia="Times New Roman" w:cs="Times New Roman"/>
        </w:rPr>
        <w:t>heaven</w:t>
      </w:r>
      <w:r w:rsidR="005C7340" w:rsidRPr="00B740B4">
        <w:rPr>
          <w:rFonts w:eastAsia="Times New Roman" w:cs="Times New Roman"/>
        </w:rPr>
        <w:t>s</w:t>
      </w:r>
      <w:r w:rsidRPr="00B740B4">
        <w:rPr>
          <w:rFonts w:eastAsia="Times New Roman" w:cs="Times New Roman"/>
        </w:rPr>
        <w:t xml:space="preserve">; now it is confined to the earth, fed from the earth, and all it knows of </w:t>
      </w:r>
      <w:r w:rsidR="007864E5" w:rsidRPr="00B740B4">
        <w:rPr>
          <w:rFonts w:eastAsia="Times New Roman" w:cs="Times New Roman"/>
        </w:rPr>
        <w:t xml:space="preserve">the heavens </w:t>
      </w:r>
      <w:r w:rsidR="00111639">
        <w:rPr>
          <w:rFonts w:eastAsia="Times New Roman" w:cs="Times New Roman"/>
        </w:rPr>
        <w:t xml:space="preserve">is </w:t>
      </w:r>
      <w:r w:rsidRPr="00B740B4">
        <w:rPr>
          <w:rFonts w:eastAsia="Times New Roman" w:cs="Times New Roman"/>
        </w:rPr>
        <w:t>rain. It had provided for the animals; now it is provided for in the midst of them. Its abasement will last for a long, but unspecified, period o</w:t>
      </w:r>
      <w:r w:rsidR="00812837" w:rsidRPr="00B740B4">
        <w:rPr>
          <w:rFonts w:eastAsia="Times New Roman" w:cs="Times New Roman"/>
        </w:rPr>
        <w:t>f time, though a time determined, not a time</w:t>
      </w:r>
      <w:r w:rsidRPr="00B740B4">
        <w:rPr>
          <w:rFonts w:eastAsia="Times New Roman" w:cs="Times New Roman"/>
        </w:rPr>
        <w:t xml:space="preserve"> to last forever.</w:t>
      </w:r>
    </w:p>
    <w:p w:rsidR="00C93CC0" w:rsidRPr="00B740B4" w:rsidRDefault="00B82F32" w:rsidP="006010BB">
      <w:pPr>
        <w:widowControl w:val="0"/>
        <w:rPr>
          <w:rFonts w:eastAsia="Times New Roman" w:cs="Times New Roman"/>
        </w:rPr>
      </w:pPr>
      <w:r w:rsidRPr="00B740B4">
        <w:rPr>
          <w:rFonts w:eastAsia="Times New Roman" w:cs="Times New Roman"/>
        </w:rPr>
        <w:t>As happened in chap.</w:t>
      </w:r>
      <w:r w:rsidR="00812837" w:rsidRPr="00B740B4">
        <w:rPr>
          <w:rFonts w:eastAsia="Times New Roman" w:cs="Times New Roman"/>
        </w:rPr>
        <w:t xml:space="preserve"> 2, the dream </w:t>
      </w:r>
      <w:r w:rsidR="00C93CC0" w:rsidRPr="00B740B4">
        <w:rPr>
          <w:rFonts w:eastAsia="Times New Roman" w:cs="Times New Roman"/>
        </w:rPr>
        <w:t xml:space="preserve">vision is now in the midst of taking a bizarre twist. The tree is being treated like an animal. The animal turns out to be a human being deprived of his senses. The life and resources of the cosmos, then, had been embodied in a person. This, too, is a familiar </w:t>
      </w:r>
      <w:r w:rsidR="00812837" w:rsidRPr="00B740B4">
        <w:rPr>
          <w:rFonts w:eastAsia="Times New Roman" w:cs="Times New Roman"/>
        </w:rPr>
        <w:t xml:space="preserve">ancient </w:t>
      </w:r>
      <w:r w:rsidR="00C93CC0" w:rsidRPr="00B740B4">
        <w:rPr>
          <w:rFonts w:eastAsia="Times New Roman" w:cs="Times New Roman"/>
        </w:rPr>
        <w:t>Near Eastern and OT theme; a nation’s king embodies, guarantees, and sustains its life and destiny. For all the repudiation of monarchy in the modern world, the hopes and expectations attached to presidents, prime ministers, and heads of state evidence the same instinct</w:t>
      </w:r>
      <w:r w:rsidRPr="00B740B4">
        <w:rPr>
          <w:rFonts w:eastAsia="Times New Roman" w:cs="Times New Roman"/>
        </w:rPr>
        <w:t xml:space="preserve"> (again I note that I write on the eve of a presidential inauguration)</w:t>
      </w:r>
      <w:r w:rsidR="00C93CC0" w:rsidRPr="00B740B4">
        <w:rPr>
          <w:rFonts w:eastAsia="Times New Roman" w:cs="Times New Roman"/>
        </w:rPr>
        <w:t>. The OT warns against it (see Jotham’s parable, Judg 9:6–15, especially v 15) and often portrays the judgment of kings. It is dangerous to embody</w:t>
      </w:r>
      <w:r w:rsidRPr="00B740B4">
        <w:rPr>
          <w:rFonts w:eastAsia="Times New Roman" w:cs="Times New Roman"/>
        </w:rPr>
        <w:t xml:space="preserve"> too much in one person. S</w:t>
      </w:r>
      <w:r w:rsidR="00C93CC0" w:rsidRPr="00B740B4">
        <w:rPr>
          <w:rFonts w:eastAsia="Times New Roman" w:cs="Times New Roman"/>
        </w:rPr>
        <w:t xml:space="preserve">evere theological questions are </w:t>
      </w:r>
      <w:r w:rsidRPr="00B740B4">
        <w:rPr>
          <w:rFonts w:eastAsia="Times New Roman" w:cs="Times New Roman"/>
        </w:rPr>
        <w:t xml:space="preserve">thus </w:t>
      </w:r>
      <w:r w:rsidR="00C93CC0" w:rsidRPr="00B740B4">
        <w:rPr>
          <w:rFonts w:eastAsia="Times New Roman" w:cs="Times New Roman"/>
        </w:rPr>
        <w:t xml:space="preserve">raised by the traditional shaping of ministry (one church, one minister), as well as by the papacy, and by any situation in which monarch, president, prime minister, or party secretary becomes the equivalent to the government, </w:t>
      </w:r>
      <w:r w:rsidRPr="00B740B4">
        <w:rPr>
          <w:rFonts w:eastAsia="Times New Roman" w:cs="Times New Roman"/>
        </w:rPr>
        <w:t xml:space="preserve">becomes the embodiment of all power, </w:t>
      </w:r>
      <w:r w:rsidR="00C93CC0" w:rsidRPr="00B740B4">
        <w:rPr>
          <w:rFonts w:eastAsia="Times New Roman" w:cs="Times New Roman"/>
        </w:rPr>
        <w:t>in his or her own thinking or in the people’s. Only God is the One in whom all things hold together. Other so-called embodiments of some whole are idols who will disappoint, fail, and fall. So here a royal figure is taken from being the lord of all and source of life for all to being the least of all, unable even to sustain his own life. (The real tree of life will indeed bear such a man.)</w:t>
      </w:r>
    </w:p>
    <w:p w:rsidR="00C93CC0" w:rsidRPr="00B740B4" w:rsidRDefault="009C6151" w:rsidP="006010BB">
      <w:pPr>
        <w:widowControl w:val="0"/>
        <w:rPr>
          <w:rFonts w:eastAsia="Times New Roman" w:cs="Times New Roman"/>
        </w:rPr>
      </w:pPr>
      <w:r w:rsidRPr="00B740B4">
        <w:rPr>
          <w:rFonts w:eastAsia="Times New Roman" w:cs="Times New Roman"/>
          <w:b/>
        </w:rPr>
        <w:t xml:space="preserve">17-18 </w:t>
      </w:r>
      <w:r w:rsidR="00C93CC0" w:rsidRPr="00B740B4">
        <w:rPr>
          <w:rFonts w:eastAsia="Times New Roman" w:cs="Times New Roman"/>
        </w:rPr>
        <w:t xml:space="preserve">The tree’s downfall is ordained and announced by supernatural </w:t>
      </w:r>
      <w:r w:rsidR="00FA4265" w:rsidRPr="00B740B4">
        <w:rPr>
          <w:rFonts w:eastAsia="Times New Roman" w:cs="Times New Roman"/>
        </w:rPr>
        <w:t>lookouts</w:t>
      </w:r>
      <w:r w:rsidR="00C93CC0" w:rsidRPr="00B740B4">
        <w:rPr>
          <w:rFonts w:eastAsia="Times New Roman" w:cs="Times New Roman"/>
        </w:rPr>
        <w:t xml:space="preserve"> who m</w:t>
      </w:r>
      <w:r w:rsidR="00B82F32" w:rsidRPr="00B740B4">
        <w:rPr>
          <w:rFonts w:eastAsia="Times New Roman" w:cs="Times New Roman"/>
        </w:rPr>
        <w:t>ake and implement decisions</w:t>
      </w:r>
      <w:r w:rsidR="00C93CC0" w:rsidRPr="00B740B4">
        <w:rPr>
          <w:rFonts w:eastAsia="Times New Roman" w:cs="Times New Roman"/>
        </w:rPr>
        <w:t xml:space="preserve"> on behalf of God </w:t>
      </w:r>
      <w:r w:rsidR="00155FA8" w:rsidRPr="00B740B4">
        <w:rPr>
          <w:rFonts w:eastAsia="Times New Roman" w:cs="Times New Roman"/>
        </w:rPr>
        <w:t>On High</w:t>
      </w:r>
      <w:r w:rsidR="00C93CC0" w:rsidRPr="00B740B4">
        <w:rPr>
          <w:rFonts w:eastAsia="Times New Roman" w:cs="Times New Roman"/>
        </w:rPr>
        <w:t xml:space="preserve">. Heavenly figures involved in such ways in God’s governing of the world appear from time to time throughout </w:t>
      </w:r>
      <w:r w:rsidR="00B82F32" w:rsidRPr="00B740B4">
        <w:rPr>
          <w:rFonts w:eastAsia="Times New Roman" w:cs="Times New Roman"/>
        </w:rPr>
        <w:t xml:space="preserve">the </w:t>
      </w:r>
      <w:r w:rsidR="00A312C9">
        <w:rPr>
          <w:rFonts w:eastAsia="Times New Roman" w:cs="Times New Roman"/>
        </w:rPr>
        <w:t>s</w:t>
      </w:r>
      <w:r w:rsidR="00C93CC0" w:rsidRPr="00B740B4">
        <w:rPr>
          <w:rFonts w:eastAsia="Times New Roman" w:cs="Times New Roman"/>
        </w:rPr>
        <w:t>cripture</w:t>
      </w:r>
      <w:r w:rsidR="00B82F32" w:rsidRPr="00B740B4">
        <w:rPr>
          <w:rFonts w:eastAsia="Times New Roman" w:cs="Times New Roman"/>
        </w:rPr>
        <w:t>s</w:t>
      </w:r>
      <w:r w:rsidR="00C93CC0" w:rsidRPr="00B740B4">
        <w:rPr>
          <w:rFonts w:eastAsia="Times New Roman" w:cs="Times New Roman"/>
        </w:rPr>
        <w:t xml:space="preserve">. Their activity indicates the reality of God’s involvement in the world to protect his people and to punish evil, yet </w:t>
      </w:r>
      <w:r w:rsidR="00812837" w:rsidRPr="00B740B4">
        <w:rPr>
          <w:rFonts w:eastAsia="Times New Roman" w:cs="Times New Roman"/>
        </w:rPr>
        <w:t xml:space="preserve">it </w:t>
      </w:r>
      <w:r w:rsidR="00C93CC0" w:rsidRPr="00B740B4">
        <w:rPr>
          <w:rFonts w:eastAsia="Times New Roman" w:cs="Times New Roman"/>
        </w:rPr>
        <w:t>also indirectly suggests his own exaltedness and t</w:t>
      </w:r>
      <w:r w:rsidR="00812837" w:rsidRPr="00B740B4">
        <w:rPr>
          <w:rFonts w:eastAsia="Times New Roman" w:cs="Times New Roman"/>
        </w:rPr>
        <w:t xml:space="preserve">ranscendent authority, </w:t>
      </w:r>
      <w:r w:rsidR="00C93CC0" w:rsidRPr="00B740B4">
        <w:rPr>
          <w:rFonts w:eastAsia="Times New Roman" w:cs="Times New Roman"/>
        </w:rPr>
        <w:t xml:space="preserve">implemented </w:t>
      </w:r>
      <w:r w:rsidR="00B82F32" w:rsidRPr="00B740B4">
        <w:rPr>
          <w:rFonts w:eastAsia="Times New Roman" w:cs="Times New Roman"/>
        </w:rPr>
        <w:t>(</w:t>
      </w:r>
      <w:r w:rsidR="00C93CC0" w:rsidRPr="00B740B4">
        <w:rPr>
          <w:rFonts w:eastAsia="Times New Roman" w:cs="Times New Roman"/>
        </w:rPr>
        <w:t>like</w:t>
      </w:r>
      <w:r w:rsidR="00B82F32" w:rsidRPr="00B740B4">
        <w:rPr>
          <w:rFonts w:eastAsia="Times New Roman" w:cs="Times New Roman"/>
        </w:rPr>
        <w:t xml:space="preserve"> that of the imperial authority)</w:t>
      </w:r>
      <w:r w:rsidR="00C93CC0" w:rsidRPr="00B740B4">
        <w:rPr>
          <w:rFonts w:eastAsia="Times New Roman" w:cs="Times New Roman"/>
        </w:rPr>
        <w:t xml:space="preserve"> by means of his subordinate representatives. They belong to </w:t>
      </w:r>
      <w:r w:rsidR="007864E5" w:rsidRPr="00B740B4">
        <w:rPr>
          <w:rFonts w:eastAsia="Times New Roman" w:cs="Times New Roman"/>
        </w:rPr>
        <w:t xml:space="preserve">the heavens, </w:t>
      </w:r>
      <w:r w:rsidR="00B82F32" w:rsidRPr="00B740B4">
        <w:rPr>
          <w:rFonts w:eastAsia="Times New Roman" w:cs="Times New Roman"/>
        </w:rPr>
        <w:t xml:space="preserve">they </w:t>
      </w:r>
      <w:r w:rsidR="00C93CC0" w:rsidRPr="00B740B4">
        <w:rPr>
          <w:rFonts w:eastAsia="Times New Roman" w:cs="Times New Roman"/>
        </w:rPr>
        <w:t xml:space="preserve">are themselves supernatural beings, and </w:t>
      </w:r>
      <w:r w:rsidR="00B82F32" w:rsidRPr="00B740B4">
        <w:rPr>
          <w:rFonts w:eastAsia="Times New Roman" w:cs="Times New Roman"/>
        </w:rPr>
        <w:t xml:space="preserve">they </w:t>
      </w:r>
      <w:r w:rsidR="00C93CC0" w:rsidRPr="00B740B4">
        <w:rPr>
          <w:rFonts w:eastAsia="Times New Roman" w:cs="Times New Roman"/>
        </w:rPr>
        <w:t xml:space="preserve">thus bring the word of God. They descend from </w:t>
      </w:r>
      <w:r w:rsidR="007864E5" w:rsidRPr="00B740B4">
        <w:rPr>
          <w:rFonts w:eastAsia="Times New Roman" w:cs="Times New Roman"/>
        </w:rPr>
        <w:t xml:space="preserve">the heavens </w:t>
      </w:r>
      <w:r w:rsidR="00C93CC0" w:rsidRPr="00B740B4">
        <w:rPr>
          <w:rFonts w:eastAsia="Times New Roman" w:cs="Times New Roman"/>
        </w:rPr>
        <w:lastRenderedPageBreak/>
        <w:t xml:space="preserve">and </w:t>
      </w:r>
      <w:r w:rsidR="00B82F32" w:rsidRPr="00B740B4">
        <w:rPr>
          <w:rFonts w:eastAsia="Times New Roman" w:cs="Times New Roman"/>
        </w:rPr>
        <w:t xml:space="preserve">they </w:t>
      </w:r>
      <w:r w:rsidR="00C93CC0" w:rsidRPr="00B740B4">
        <w:rPr>
          <w:rFonts w:eastAsia="Times New Roman" w:cs="Times New Roman"/>
        </w:rPr>
        <w:t xml:space="preserve">speak in the hearing of an earthly king, and </w:t>
      </w:r>
      <w:r w:rsidR="00B82F32" w:rsidRPr="00B740B4">
        <w:rPr>
          <w:rFonts w:eastAsia="Times New Roman" w:cs="Times New Roman"/>
        </w:rPr>
        <w:t xml:space="preserve">they </w:t>
      </w:r>
      <w:r w:rsidR="00C93CC0" w:rsidRPr="00B740B4">
        <w:rPr>
          <w:rFonts w:eastAsia="Times New Roman" w:cs="Times New Roman"/>
        </w:rPr>
        <w:t xml:space="preserve">thus implement the will of God on earth. Daniel’s </w:t>
      </w:r>
      <w:r w:rsidR="00FA4265" w:rsidRPr="00B740B4">
        <w:rPr>
          <w:rFonts w:eastAsia="Times New Roman" w:cs="Times New Roman"/>
        </w:rPr>
        <w:t>lookouts</w:t>
      </w:r>
      <w:r w:rsidR="00812837" w:rsidRPr="00B740B4">
        <w:rPr>
          <w:rFonts w:eastAsia="Times New Roman" w:cs="Times New Roman"/>
        </w:rPr>
        <w:t xml:space="preserve"> well illustrate the</w:t>
      </w:r>
      <w:r w:rsidR="00C93CC0" w:rsidRPr="00B740B4">
        <w:rPr>
          <w:rFonts w:eastAsia="Times New Roman" w:cs="Times New Roman"/>
        </w:rPr>
        <w:t xml:space="preserve"> thesis that the true ministry of angels is that of witnesses to God’s work and word, to the God who alone rules.</w:t>
      </w:r>
      <w:r w:rsidR="00B82F32" w:rsidRPr="00B740B4">
        <w:rPr>
          <w:rStyle w:val="FootnoteReference"/>
          <w:rFonts w:eastAsia="Times New Roman" w:cs="Times New Roman"/>
        </w:rPr>
        <w:footnoteReference w:id="765"/>
      </w:r>
    </w:p>
    <w:p w:rsidR="00C93CC0" w:rsidRPr="00B740B4" w:rsidRDefault="00C93CC0" w:rsidP="006010BB">
      <w:pPr>
        <w:widowControl w:val="0"/>
        <w:rPr>
          <w:rFonts w:eastAsia="Times New Roman" w:cs="Times New Roman"/>
        </w:rPr>
      </w:pPr>
      <w:r w:rsidRPr="00B740B4">
        <w:rPr>
          <w:rFonts w:eastAsia="Times New Roman" w:cs="Times New Roman"/>
        </w:rPr>
        <w:t>The object of the event they announce removes any possibility that they might</w:t>
      </w:r>
      <w:r w:rsidR="00473BA1">
        <w:rPr>
          <w:rFonts w:eastAsia="Times New Roman" w:cs="Times New Roman"/>
        </w:rPr>
        <w:t xml:space="preserve"> be rivals of God</w:t>
      </w:r>
      <w:r w:rsidR="00B82F32" w:rsidRPr="00B740B4">
        <w:rPr>
          <w:rFonts w:eastAsia="Times New Roman" w:cs="Times New Roman"/>
        </w:rPr>
        <w:t>. Its object is</w:t>
      </w:r>
      <w:r w:rsidRPr="00B740B4">
        <w:rPr>
          <w:rFonts w:eastAsia="Times New Roman" w:cs="Times New Roman"/>
        </w:rPr>
        <w:t xml:space="preserve"> that people may acknowledge that the </w:t>
      </w:r>
      <w:r w:rsidR="00155FA8" w:rsidRPr="00B740B4">
        <w:rPr>
          <w:rFonts w:eastAsia="Times New Roman" w:cs="Times New Roman"/>
        </w:rPr>
        <w:t>One On High</w:t>
      </w:r>
      <w:r w:rsidRPr="00B740B4">
        <w:rPr>
          <w:rFonts w:eastAsia="Times New Roman" w:cs="Times New Roman"/>
        </w:rPr>
        <w:t xml:space="preserve"> rules. This </w:t>
      </w:r>
      <w:r w:rsidR="00473BA1">
        <w:rPr>
          <w:rFonts w:eastAsia="Times New Roman" w:cs="Times New Roman"/>
        </w:rPr>
        <w:t xml:space="preserve">declaration </w:t>
      </w:r>
      <w:r w:rsidRPr="00B740B4">
        <w:rPr>
          <w:rFonts w:eastAsia="Times New Roman" w:cs="Times New Roman"/>
        </w:rPr>
        <w:t xml:space="preserve">is perhaps a tautology; of course the </w:t>
      </w:r>
      <w:r w:rsidR="00155FA8" w:rsidRPr="00B740B4">
        <w:rPr>
          <w:rFonts w:eastAsia="Times New Roman" w:cs="Times New Roman"/>
        </w:rPr>
        <w:t>One On High</w:t>
      </w:r>
      <w:r w:rsidRPr="00B740B4">
        <w:rPr>
          <w:rFonts w:eastAsia="Times New Roman" w:cs="Times New Roman"/>
        </w:rPr>
        <w:t xml:space="preserve"> rules. But it might be possible to understand that rule as holding in the world above and in the world to come but not in this present world. The </w:t>
      </w:r>
      <w:r w:rsidR="00B82F32" w:rsidRPr="00B740B4">
        <w:rPr>
          <w:rFonts w:eastAsia="Times New Roman" w:cs="Times New Roman"/>
        </w:rPr>
        <w:t>lookout</w:t>
      </w:r>
      <w:r w:rsidRPr="00B740B4">
        <w:rPr>
          <w:rFonts w:eastAsia="Times New Roman" w:cs="Times New Roman"/>
        </w:rPr>
        <w:t xml:space="preserve"> declar</w:t>
      </w:r>
      <w:r w:rsidR="00A312C9">
        <w:rPr>
          <w:rFonts w:eastAsia="Times New Roman" w:cs="Times New Roman"/>
        </w:rPr>
        <w:t>es that God rules here and now. The s</w:t>
      </w:r>
      <w:r w:rsidRPr="00B740B4">
        <w:rPr>
          <w:rFonts w:eastAsia="Times New Roman" w:cs="Times New Roman"/>
        </w:rPr>
        <w:t>cripture</w:t>
      </w:r>
      <w:r w:rsidR="00A312C9">
        <w:rPr>
          <w:rFonts w:eastAsia="Times New Roman" w:cs="Times New Roman"/>
        </w:rPr>
        <w:t>s often affirm</w:t>
      </w:r>
      <w:r w:rsidRPr="00B740B4">
        <w:rPr>
          <w:rFonts w:eastAsia="Times New Roman" w:cs="Times New Roman"/>
        </w:rPr>
        <w:t xml:space="preserve"> that God rules </w:t>
      </w:r>
      <w:r w:rsidRPr="00B740B4">
        <w:rPr>
          <w:rFonts w:eastAsia="Times New Roman" w:cs="Times New Roman"/>
          <w:i/>
        </w:rPr>
        <w:t>through</w:t>
      </w:r>
      <w:r w:rsidRPr="00B740B4">
        <w:rPr>
          <w:rFonts w:eastAsia="Times New Roman" w:cs="Times New Roman"/>
        </w:rPr>
        <w:t xml:space="preserve"> human kingship; the calling of political authorities is to be the means of realizing God’s provision, justice, and discipline in the world (hence Rom 13:1). Thus God works through the successive kings of the Middle Eastern empires (Isa 10:5; 13:3–6; 45:1). It also affirms that God rules </w:t>
      </w:r>
      <w:r w:rsidRPr="00B740B4">
        <w:rPr>
          <w:rFonts w:eastAsia="Times New Roman" w:cs="Times New Roman"/>
          <w:i/>
        </w:rPr>
        <w:t>over</w:t>
      </w:r>
      <w:r w:rsidRPr="00B740B4">
        <w:rPr>
          <w:rFonts w:eastAsia="Times New Roman" w:cs="Times New Roman"/>
        </w:rPr>
        <w:t xml:space="preserve"> human kingship, for the pride or the failure of political authorities may require that they themselves be disciplined (hence Mark</w:t>
      </w:r>
      <w:r w:rsidR="00812837" w:rsidRPr="00B740B4">
        <w:rPr>
          <w:rFonts w:eastAsia="Times New Roman" w:cs="Times New Roman"/>
        </w:rPr>
        <w:t xml:space="preserve"> 12:17; and see Isa 10:5–19). God’</w:t>
      </w:r>
      <w:r w:rsidRPr="00B740B4">
        <w:rPr>
          <w:rFonts w:eastAsia="Times New Roman" w:cs="Times New Roman"/>
        </w:rPr>
        <w:t>s power to overrule them is demonstrated by his ability to deprive the mighty of their autho</w:t>
      </w:r>
      <w:r w:rsidR="00B82F32" w:rsidRPr="00B740B4">
        <w:rPr>
          <w:rFonts w:eastAsia="Times New Roman" w:cs="Times New Roman"/>
        </w:rPr>
        <w:t xml:space="preserve">rity and to give it to nobodies </w:t>
      </w:r>
      <w:r w:rsidRPr="00B740B4">
        <w:rPr>
          <w:rFonts w:eastAsia="Times New Roman" w:cs="Times New Roman"/>
        </w:rPr>
        <w:t>like Nabonidus, who broke the power of Nebuchadnezzar’s dynas</w:t>
      </w:r>
      <w:r w:rsidR="00812837" w:rsidRPr="00B740B4">
        <w:rPr>
          <w:rFonts w:eastAsia="Times New Roman" w:cs="Times New Roman"/>
        </w:rPr>
        <w:t xml:space="preserve">ty and whose person is </w:t>
      </w:r>
      <w:r w:rsidRPr="00B740B4">
        <w:rPr>
          <w:rFonts w:eastAsia="Times New Roman" w:cs="Times New Roman"/>
        </w:rPr>
        <w:t>part of the background to this chapter. That ability, too, belongs not merely to past history (Ps 78:70–71) or to the moment when God’s ultimate purpose is fulfilled (Luke 1:52) but to present events, to current experie</w:t>
      </w:r>
      <w:r w:rsidR="007864E5" w:rsidRPr="00B740B4">
        <w:rPr>
          <w:rFonts w:eastAsia="Times New Roman" w:cs="Times New Roman"/>
        </w:rPr>
        <w:t>nce. To affirm that the heavens rule</w:t>
      </w:r>
      <w:r w:rsidR="00B82F32" w:rsidRPr="00B740B4">
        <w:rPr>
          <w:rFonts w:eastAsia="Times New Roman" w:cs="Times New Roman"/>
        </w:rPr>
        <w:t xml:space="preserve"> (as v 26</w:t>
      </w:r>
      <w:r w:rsidRPr="00B740B4">
        <w:rPr>
          <w:rFonts w:eastAsia="Times New Roman" w:cs="Times New Roman"/>
        </w:rPr>
        <w:t xml:space="preserve"> later does) is to affirm that history is not limited to what seems humanly possible: </w:t>
      </w:r>
      <w:r w:rsidR="007864E5" w:rsidRPr="00B740B4">
        <w:rPr>
          <w:rFonts w:eastAsia="Times New Roman" w:cs="Times New Roman"/>
        </w:rPr>
        <w:t xml:space="preserve">the </w:t>
      </w:r>
      <w:r w:rsidRPr="00B740B4">
        <w:rPr>
          <w:rFonts w:eastAsia="Times New Roman" w:cs="Times New Roman"/>
        </w:rPr>
        <w:t>heaven</w:t>
      </w:r>
      <w:r w:rsidR="007864E5" w:rsidRPr="00B740B4">
        <w:rPr>
          <w:rFonts w:eastAsia="Times New Roman" w:cs="Times New Roman"/>
        </w:rPr>
        <w:t>s are “</w:t>
      </w:r>
      <w:r w:rsidRPr="00B740B4">
        <w:rPr>
          <w:rFonts w:eastAsia="Times New Roman" w:cs="Times New Roman"/>
        </w:rPr>
        <w:t>where God is enthroned</w:t>
      </w:r>
      <w:r w:rsidR="007864E5" w:rsidRPr="00B740B4">
        <w:rPr>
          <w:rFonts w:eastAsia="Times New Roman" w:cs="Times New Roman"/>
        </w:rPr>
        <w:t>”</w:t>
      </w:r>
      <w:r w:rsidRPr="00B740B4">
        <w:rPr>
          <w:rFonts w:eastAsia="Times New Roman" w:cs="Times New Roman"/>
        </w:rPr>
        <w:t xml:space="preserve"> and </w:t>
      </w:r>
      <w:r w:rsidR="007864E5" w:rsidRPr="00B740B4">
        <w:rPr>
          <w:rFonts w:eastAsia="Times New Roman" w:cs="Times New Roman"/>
        </w:rPr>
        <w:t>they are thus “</w:t>
      </w:r>
      <w:r w:rsidRPr="00B740B4">
        <w:rPr>
          <w:rFonts w:eastAsia="Times New Roman" w:cs="Times New Roman"/>
        </w:rPr>
        <w:t>the source of the transformative possibilities that God presents to every actual entity.. . . To paraphrase Whitehead, ‘Heaven’ i</w:t>
      </w:r>
      <w:r w:rsidR="00B82F32" w:rsidRPr="00B740B4">
        <w:rPr>
          <w:rFonts w:eastAsia="Times New Roman" w:cs="Times New Roman"/>
        </w:rPr>
        <w:t>s the ‘home of the possibles.’”</w:t>
      </w:r>
      <w:r w:rsidR="00B82F32" w:rsidRPr="00B740B4">
        <w:rPr>
          <w:rStyle w:val="FootnoteReference"/>
          <w:rFonts w:eastAsia="Times New Roman" w:cs="Times New Roman"/>
        </w:rPr>
        <w:footnoteReference w:id="766"/>
      </w:r>
      <w:r w:rsidR="00B82F32" w:rsidRPr="00B740B4">
        <w:rPr>
          <w:rFonts w:eastAsia="Times New Roman" w:cs="Times New Roman"/>
        </w:rPr>
        <w:t xml:space="preserve"> </w:t>
      </w:r>
    </w:p>
    <w:p w:rsidR="00090EBE" w:rsidRPr="00B740B4" w:rsidRDefault="00C93CC0" w:rsidP="00090EBE">
      <w:pPr>
        <w:widowControl w:val="0"/>
        <w:rPr>
          <w:rFonts w:eastAsia="Times New Roman" w:cs="Times New Roman"/>
        </w:rPr>
      </w:pPr>
      <w:r w:rsidRPr="00B740B4">
        <w:rPr>
          <w:rFonts w:eastAsia="Times New Roman" w:cs="Times New Roman"/>
        </w:rPr>
        <w:t xml:space="preserve">The first reason the </w:t>
      </w:r>
      <w:r w:rsidR="0034481F" w:rsidRPr="00B740B4">
        <w:rPr>
          <w:rFonts w:eastAsia="Times New Roman" w:cs="Times New Roman"/>
        </w:rPr>
        <w:t>chapter</w:t>
      </w:r>
      <w:r w:rsidRPr="00B740B4">
        <w:rPr>
          <w:rFonts w:eastAsia="Times New Roman" w:cs="Times New Roman"/>
        </w:rPr>
        <w:t xml:space="preserve"> gives for the felling of the tree is that it will show that God rules. Its cause here is not Nebuchadnezzar’s pride; it is not for reasons to do with Neb</w:t>
      </w:r>
      <w:r w:rsidR="00C93066" w:rsidRPr="00B740B4">
        <w:rPr>
          <w:rFonts w:eastAsia="Times New Roman" w:cs="Times New Roman"/>
        </w:rPr>
        <w:t>uchadnezzar at all. The lookout</w:t>
      </w:r>
      <w:r w:rsidRPr="00B740B4">
        <w:rPr>
          <w:rFonts w:eastAsia="Times New Roman" w:cs="Times New Roman"/>
        </w:rPr>
        <w:t xml:space="preserve"> is concerned about whether people in general have the right </w:t>
      </w:r>
      <w:r w:rsidR="00C93066" w:rsidRPr="00B740B4">
        <w:rPr>
          <w:rFonts w:eastAsia="Times New Roman" w:cs="Times New Roman"/>
        </w:rPr>
        <w:t>attitude to human governments. T</w:t>
      </w:r>
      <w:r w:rsidR="00812837" w:rsidRPr="00B740B4">
        <w:rPr>
          <w:rFonts w:eastAsia="Times New Roman" w:cs="Times New Roman"/>
        </w:rPr>
        <w:t>he author will have</w:t>
      </w:r>
      <w:r w:rsidRPr="00B740B4">
        <w:rPr>
          <w:rFonts w:eastAsia="Times New Roman" w:cs="Times New Roman"/>
        </w:rPr>
        <w:t xml:space="preserve"> in mind the unbelieving world of h</w:t>
      </w:r>
      <w:r w:rsidR="00C93066" w:rsidRPr="00B740B4">
        <w:rPr>
          <w:rFonts w:eastAsia="Times New Roman" w:cs="Times New Roman"/>
        </w:rPr>
        <w:t>is day, and the faithful</w:t>
      </w:r>
      <w:r w:rsidRPr="00B740B4">
        <w:rPr>
          <w:rFonts w:eastAsia="Times New Roman" w:cs="Times New Roman"/>
        </w:rPr>
        <w:t xml:space="preserve"> insofar as they are tempted to adopt that world’s way of thinking. The felling of the tree proves who is king. The tree speaks of a human authorit</w:t>
      </w:r>
      <w:r w:rsidR="00C93066" w:rsidRPr="00B740B4">
        <w:rPr>
          <w:rFonts w:eastAsia="Times New Roman" w:cs="Times New Roman"/>
        </w:rPr>
        <w:t>y that has its place (cf. v 36</w:t>
      </w:r>
      <w:r w:rsidRPr="00B740B4">
        <w:rPr>
          <w:rFonts w:eastAsia="Times New Roman" w:cs="Times New Roman"/>
        </w:rPr>
        <w:t xml:space="preserve">) but </w:t>
      </w:r>
      <w:r w:rsidR="00812837" w:rsidRPr="00B740B4">
        <w:rPr>
          <w:rFonts w:eastAsia="Times New Roman" w:cs="Times New Roman"/>
        </w:rPr>
        <w:t xml:space="preserve">that </w:t>
      </w:r>
      <w:r w:rsidRPr="00B740B4">
        <w:rPr>
          <w:rFonts w:eastAsia="Times New Roman" w:cs="Times New Roman"/>
        </w:rPr>
        <w:t>has to be kept in its place. Human power is helpless outside of the permissive will of the divine power.</w:t>
      </w:r>
      <w:r w:rsidR="00090EBE" w:rsidRPr="00B740B4">
        <w:rPr>
          <w:rFonts w:eastAsia="Times New Roman" w:cs="Times New Roman"/>
        </w:rPr>
        <w:t xml:space="preserve"> Much of the dream’s basic meaning thus overlaps significantly with that of chap. 2. So what is its purpose? Is the implication that the dream comes because Nebuchadnezzar didn’t get the point the first time?</w:t>
      </w:r>
      <w:r w:rsidR="00090EBE" w:rsidRPr="00B740B4">
        <w:rPr>
          <w:rFonts w:eastAsia="Times New Roman" w:cs="Times New Roman"/>
          <w:vertAlign w:val="superscript"/>
        </w:rPr>
        <w:footnoteReference w:id="767"/>
      </w:r>
      <w:r w:rsidR="00473BA1">
        <w:rPr>
          <w:rFonts w:eastAsia="Times New Roman" w:cs="Times New Roman"/>
        </w:rPr>
        <w:t xml:space="preserve"> Or is it that the readers might not have gotten it the first time?</w:t>
      </w:r>
    </w:p>
    <w:p w:rsidR="00C93066" w:rsidRPr="00B740B4" w:rsidRDefault="00C93CC0" w:rsidP="006010BB">
      <w:pPr>
        <w:widowControl w:val="0"/>
        <w:rPr>
          <w:rFonts w:eastAsia="Times New Roman" w:cs="Times New Roman"/>
        </w:rPr>
      </w:pPr>
      <w:r w:rsidRPr="00B740B4">
        <w:rPr>
          <w:rFonts w:eastAsia="Times New Roman" w:cs="Times New Roman"/>
        </w:rPr>
        <w:t>Dramatically, the inabilit</w:t>
      </w:r>
      <w:r w:rsidR="005C7340" w:rsidRPr="00B740B4">
        <w:rPr>
          <w:rFonts w:eastAsia="Times New Roman" w:cs="Times New Roman"/>
        </w:rPr>
        <w:t>y of Nebuchadnezzar and his expert</w:t>
      </w:r>
      <w:r w:rsidRPr="00B740B4">
        <w:rPr>
          <w:rFonts w:eastAsia="Times New Roman" w:cs="Times New Roman"/>
        </w:rPr>
        <w:t>s to unde</w:t>
      </w:r>
      <w:r w:rsidR="009C6151" w:rsidRPr="00B740B4">
        <w:rPr>
          <w:rFonts w:eastAsia="Times New Roman" w:cs="Times New Roman"/>
        </w:rPr>
        <w:t xml:space="preserve">rstand the dream </w:t>
      </w:r>
      <w:r w:rsidRPr="00B740B4">
        <w:rPr>
          <w:rFonts w:eastAsia="Times New Roman" w:cs="Times New Roman"/>
        </w:rPr>
        <w:t>heightens the suspense and prepares the wa</w:t>
      </w:r>
      <w:r w:rsidR="009C6151" w:rsidRPr="00B740B4">
        <w:rPr>
          <w:rFonts w:eastAsia="Times New Roman" w:cs="Times New Roman"/>
        </w:rPr>
        <w:t xml:space="preserve">y for Daniel to do so, even though </w:t>
      </w:r>
      <w:r w:rsidRPr="00B740B4">
        <w:rPr>
          <w:rFonts w:eastAsia="Times New Roman" w:cs="Times New Roman"/>
        </w:rPr>
        <w:t xml:space="preserve">its interpretation </w:t>
      </w:r>
      <w:r w:rsidR="009C6151" w:rsidRPr="00B740B4">
        <w:rPr>
          <w:rFonts w:eastAsia="Times New Roman" w:cs="Times New Roman"/>
        </w:rPr>
        <w:t>will require</w:t>
      </w:r>
      <w:r w:rsidRPr="00B740B4">
        <w:rPr>
          <w:rFonts w:eastAsia="Times New Roman" w:cs="Times New Roman"/>
        </w:rPr>
        <w:t xml:space="preserve"> little more than Nathan’s “You are the man” (2 Sam 12:7). </w:t>
      </w:r>
      <w:r w:rsidR="00A504DE" w:rsidRPr="00B740B4">
        <w:rPr>
          <w:rFonts w:eastAsia="Times New Roman" w:cs="Times New Roman"/>
        </w:rPr>
        <w:t>Perhaps we are to infer that Nebuchadnezzar’s staff were sca</w:t>
      </w:r>
      <w:r w:rsidR="009C6151" w:rsidRPr="00B740B4">
        <w:rPr>
          <w:rFonts w:eastAsia="Times New Roman" w:cs="Times New Roman"/>
        </w:rPr>
        <w:t>red to risk saying what was real</w:t>
      </w:r>
      <w:r w:rsidR="00A504DE" w:rsidRPr="00B740B4">
        <w:rPr>
          <w:rFonts w:eastAsia="Times New Roman" w:cs="Times New Roman"/>
        </w:rPr>
        <w:t>ly self-evident.</w:t>
      </w:r>
      <w:r w:rsidR="00A504DE" w:rsidRPr="00B740B4">
        <w:rPr>
          <w:rStyle w:val="FootnoteReference"/>
          <w:rFonts w:eastAsia="Times New Roman" w:cs="Times New Roman"/>
        </w:rPr>
        <w:footnoteReference w:id="768"/>
      </w:r>
      <w:r w:rsidR="00A504DE" w:rsidRPr="00B740B4">
        <w:rPr>
          <w:rFonts w:eastAsia="Times New Roman" w:cs="Times New Roman"/>
        </w:rPr>
        <w:t xml:space="preserve"> </w:t>
      </w:r>
      <w:r w:rsidR="009C6151" w:rsidRPr="00B740B4">
        <w:rPr>
          <w:rFonts w:eastAsia="Times New Roman" w:cs="Times New Roman"/>
        </w:rPr>
        <w:t>Such an inability would reflect</w:t>
      </w:r>
      <w:r w:rsidRPr="00B740B4">
        <w:rPr>
          <w:rFonts w:eastAsia="Times New Roman" w:cs="Times New Roman"/>
        </w:rPr>
        <w:t xml:space="preserve"> an understandable fear on the part of ministers of state as well as king. Messengers who bring bad news sometimes pay for it as if t</w:t>
      </w:r>
      <w:r w:rsidR="009C6151" w:rsidRPr="00B740B4">
        <w:rPr>
          <w:rFonts w:eastAsia="Times New Roman" w:cs="Times New Roman"/>
        </w:rPr>
        <w:t>hey were responsible for it, but</w:t>
      </w:r>
      <w:r w:rsidRPr="00B740B4">
        <w:rPr>
          <w:rFonts w:eastAsia="Times New Roman" w:cs="Times New Roman"/>
        </w:rPr>
        <w:t xml:space="preserve"> the king reassures Daniel that he is not to fear for his own fate. </w:t>
      </w:r>
    </w:p>
    <w:p w:rsidR="00C93CC0" w:rsidRPr="00B740B4" w:rsidRDefault="009C6151" w:rsidP="006010BB">
      <w:pPr>
        <w:widowControl w:val="0"/>
        <w:rPr>
          <w:rFonts w:eastAsia="Times New Roman" w:cs="Times New Roman"/>
        </w:rPr>
      </w:pPr>
      <w:r w:rsidRPr="00B740B4">
        <w:rPr>
          <w:rFonts w:eastAsia="Times New Roman" w:cs="Times New Roman"/>
          <w:b/>
        </w:rPr>
        <w:t xml:space="preserve">19 </w:t>
      </w:r>
      <w:r w:rsidR="00C93CC0" w:rsidRPr="00B740B4">
        <w:rPr>
          <w:rFonts w:eastAsia="Times New Roman" w:cs="Times New Roman"/>
        </w:rPr>
        <w:t xml:space="preserve">Daniel’s fear, however, is for Nebuchadnezzar. </w:t>
      </w:r>
      <w:r w:rsidR="00473BA1">
        <w:rPr>
          <w:rFonts w:eastAsia="Times New Roman" w:cs="Times New Roman"/>
        </w:rPr>
        <w:t>Daniel</w:t>
      </w:r>
      <w:r w:rsidR="00747328" w:rsidRPr="00B740B4">
        <w:rPr>
          <w:rFonts w:eastAsia="Times New Roman" w:cs="Times New Roman"/>
        </w:rPr>
        <w:t xml:space="preserve"> is not a prophet who enjoys delivering a message of judgment.</w:t>
      </w:r>
      <w:r w:rsidR="00747328" w:rsidRPr="00B740B4">
        <w:rPr>
          <w:rFonts w:eastAsia="Times New Roman" w:cs="Times New Roman"/>
          <w:vertAlign w:val="superscript"/>
        </w:rPr>
        <w:footnoteReference w:id="769"/>
      </w:r>
      <w:r w:rsidR="00747328" w:rsidRPr="00B740B4">
        <w:rPr>
          <w:rFonts w:eastAsia="Times New Roman" w:cs="Times New Roman"/>
        </w:rPr>
        <w:t xml:space="preserve"> </w:t>
      </w:r>
      <w:r w:rsidR="00C93CC0" w:rsidRPr="00B740B4">
        <w:rPr>
          <w:rFonts w:eastAsia="Times New Roman" w:cs="Times New Roman"/>
        </w:rPr>
        <w:t>His desire that the dream portrays the fate of the king’s enemies rathe</w:t>
      </w:r>
      <w:r w:rsidRPr="00B740B4">
        <w:rPr>
          <w:rFonts w:eastAsia="Times New Roman" w:cs="Times New Roman"/>
        </w:rPr>
        <w:t>r than that of Nebuchadnezzar</w:t>
      </w:r>
      <w:r w:rsidR="00C93CC0" w:rsidRPr="00B740B4">
        <w:rPr>
          <w:rFonts w:eastAsia="Times New Roman" w:cs="Times New Roman"/>
        </w:rPr>
        <w:t xml:space="preserve"> again builds up the tension, though it implies a positive concern fo</w:t>
      </w:r>
      <w:r w:rsidRPr="00B740B4">
        <w:rPr>
          <w:rFonts w:eastAsia="Times New Roman" w:cs="Times New Roman"/>
        </w:rPr>
        <w:t xml:space="preserve">r the king. </w:t>
      </w:r>
      <w:r w:rsidRPr="00B740B4">
        <w:rPr>
          <w:rFonts w:eastAsia="Times New Roman" w:cs="Times New Roman"/>
        </w:rPr>
        <w:lastRenderedPageBreak/>
        <w:t>Daniel here encourages the readers of the book</w:t>
      </w:r>
      <w:r w:rsidR="00C93CC0" w:rsidRPr="00B740B4">
        <w:rPr>
          <w:rFonts w:eastAsia="Times New Roman" w:cs="Times New Roman"/>
        </w:rPr>
        <w:t xml:space="preserve"> to long for God to have compassion on world rulers, specifically the wicked ones, and he encourages the world to assume that judgment is never inevitable. </w:t>
      </w:r>
      <w:r w:rsidR="00747328" w:rsidRPr="00B740B4">
        <w:rPr>
          <w:rFonts w:eastAsia="Times New Roman" w:cs="Times New Roman"/>
        </w:rPr>
        <w:t xml:space="preserve">Both features parallel the book of Jonah. </w:t>
      </w:r>
      <w:r w:rsidR="00C93CC0" w:rsidRPr="00B740B4">
        <w:rPr>
          <w:rFonts w:eastAsia="Times New Roman" w:cs="Times New Roman"/>
        </w:rPr>
        <w:t>If we bait the tyrants and dare them do their wo</w:t>
      </w:r>
      <w:r w:rsidR="00747328" w:rsidRPr="00B740B4">
        <w:rPr>
          <w:rFonts w:eastAsia="Times New Roman" w:cs="Times New Roman"/>
        </w:rPr>
        <w:t>rst, they may. Daniel invites readers</w:t>
      </w:r>
      <w:r w:rsidR="00C93CC0" w:rsidRPr="00B740B4">
        <w:rPr>
          <w:rFonts w:eastAsia="Times New Roman" w:cs="Times New Roman"/>
        </w:rPr>
        <w:t xml:space="preserve"> to care about people in power, even people who abuse power, to appeal to their humanness not their sinfulness, and to treat them as people given a responsibility by God and people who may respond t</w:t>
      </w:r>
      <w:r w:rsidR="00C93066" w:rsidRPr="00B740B4">
        <w:rPr>
          <w:rFonts w:eastAsia="Times New Roman" w:cs="Times New Roman"/>
        </w:rPr>
        <w:t>o an appeal to right and wrong.</w:t>
      </w:r>
      <w:r w:rsidR="00C93066" w:rsidRPr="00B740B4">
        <w:rPr>
          <w:rStyle w:val="FootnoteReference"/>
          <w:rFonts w:eastAsia="Times New Roman" w:cs="Times New Roman"/>
        </w:rPr>
        <w:footnoteReference w:id="770"/>
      </w:r>
    </w:p>
    <w:p w:rsidR="00C93CC0" w:rsidRPr="00B740B4" w:rsidRDefault="00C93066" w:rsidP="006010BB">
      <w:pPr>
        <w:widowControl w:val="0"/>
        <w:rPr>
          <w:rFonts w:eastAsia="Times New Roman" w:cs="Times New Roman"/>
        </w:rPr>
      </w:pPr>
      <w:r w:rsidRPr="00B740B4">
        <w:rPr>
          <w:rFonts w:eastAsia="Times New Roman" w:cs="Times New Roman"/>
          <w:b/>
        </w:rPr>
        <w:t>20–27</w:t>
      </w:r>
      <w:r w:rsidR="00C93CC0" w:rsidRPr="00B740B4">
        <w:rPr>
          <w:rFonts w:eastAsia="Times New Roman" w:cs="Times New Roman"/>
        </w:rPr>
        <w:t xml:space="preserve"> Nebuchadnezzar’s Babylon had been the contemporary embodiment of that recurrent am</w:t>
      </w:r>
      <w:r w:rsidR="00747328" w:rsidRPr="00B740B4">
        <w:rPr>
          <w:rFonts w:eastAsia="Times New Roman" w:cs="Times New Roman"/>
        </w:rPr>
        <w:t>bition of nati</w:t>
      </w:r>
      <w:r w:rsidR="0096186F">
        <w:rPr>
          <w:rFonts w:eastAsia="Times New Roman" w:cs="Times New Roman"/>
        </w:rPr>
        <w:t xml:space="preserve">ons to be the Godlike ruler of </w:t>
      </w:r>
      <w:r w:rsidR="00747328" w:rsidRPr="00B740B4">
        <w:rPr>
          <w:rFonts w:eastAsia="Times New Roman" w:cs="Times New Roman"/>
        </w:rPr>
        <w:t>and provider</w:t>
      </w:r>
      <w:r w:rsidR="00C93CC0" w:rsidRPr="00B740B4">
        <w:rPr>
          <w:rFonts w:eastAsia="Times New Roman" w:cs="Times New Roman"/>
        </w:rPr>
        <w:t xml:space="preserve"> for the whole world. But “reaching up to </w:t>
      </w:r>
      <w:r w:rsidR="007864E5" w:rsidRPr="00B740B4">
        <w:rPr>
          <w:rFonts w:eastAsia="Times New Roman" w:cs="Times New Roman"/>
        </w:rPr>
        <w:t xml:space="preserve">the </w:t>
      </w:r>
      <w:r w:rsidR="00C93CC0" w:rsidRPr="00B740B4">
        <w:rPr>
          <w:rFonts w:eastAsia="Times New Roman" w:cs="Times New Roman"/>
        </w:rPr>
        <w:t>heaven</w:t>
      </w:r>
      <w:r w:rsidR="007864E5" w:rsidRPr="00B740B4">
        <w:rPr>
          <w:rFonts w:eastAsia="Times New Roman" w:cs="Times New Roman"/>
        </w:rPr>
        <w:t>s</w:t>
      </w:r>
      <w:r w:rsidR="00C93CC0" w:rsidRPr="00B740B4">
        <w:rPr>
          <w:rFonts w:eastAsia="Times New Roman" w:cs="Times New Roman"/>
        </w:rPr>
        <w:t>” can suggest a rebellious arro</w:t>
      </w:r>
      <w:r w:rsidR="00747328" w:rsidRPr="00B740B4">
        <w:rPr>
          <w:rFonts w:eastAsia="Times New Roman" w:cs="Times New Roman"/>
        </w:rPr>
        <w:t>gance</w:t>
      </w:r>
      <w:r w:rsidR="007864E5" w:rsidRPr="00B740B4">
        <w:rPr>
          <w:rFonts w:eastAsia="Times New Roman" w:cs="Times New Roman"/>
        </w:rPr>
        <w:t>, which the h</w:t>
      </w:r>
      <w:r w:rsidR="00C93CC0" w:rsidRPr="00B740B4">
        <w:rPr>
          <w:rFonts w:eastAsia="Times New Roman" w:cs="Times New Roman"/>
        </w:rPr>
        <w:t>eaven</w:t>
      </w:r>
      <w:r w:rsidR="00747328" w:rsidRPr="00B740B4">
        <w:rPr>
          <w:rFonts w:eastAsia="Times New Roman" w:cs="Times New Roman"/>
        </w:rPr>
        <w:t>s</w:t>
      </w:r>
      <w:r w:rsidR="007864E5" w:rsidRPr="00B740B4">
        <w:rPr>
          <w:rFonts w:eastAsia="Times New Roman" w:cs="Times New Roman"/>
        </w:rPr>
        <w:t xml:space="preserve"> them</w:t>
      </w:r>
      <w:r w:rsidR="00C93CC0" w:rsidRPr="00B740B4">
        <w:rPr>
          <w:rFonts w:eastAsia="Times New Roman" w:cs="Times New Roman"/>
        </w:rPr>
        <w:t>s</w:t>
      </w:r>
      <w:r w:rsidR="007864E5" w:rsidRPr="00B740B4">
        <w:rPr>
          <w:rFonts w:eastAsia="Times New Roman" w:cs="Times New Roman"/>
        </w:rPr>
        <w:t>elves</w:t>
      </w:r>
      <w:r w:rsidR="00C93CC0" w:rsidRPr="00B740B4">
        <w:rPr>
          <w:rFonts w:eastAsia="Times New Roman" w:cs="Times New Roman"/>
        </w:rPr>
        <w:t xml:space="preserve"> must judge (Gen 11:4; Isa 14:13).</w:t>
      </w:r>
      <w:r w:rsidR="007830A0">
        <w:rPr>
          <w:rStyle w:val="FootnoteReference"/>
          <w:rFonts w:eastAsia="Times New Roman" w:cs="Times New Roman"/>
        </w:rPr>
        <w:footnoteReference w:id="771"/>
      </w:r>
      <w:r w:rsidR="00C93CC0" w:rsidRPr="00B740B4">
        <w:rPr>
          <w:rFonts w:eastAsia="Times New Roman" w:cs="Times New Roman"/>
        </w:rPr>
        <w:t xml:space="preserve"> Only a tree that stands for God’s own rule will ultimately be allowed to grow so high and broad that the birds of the heavens shelter i</w:t>
      </w:r>
      <w:r w:rsidR="00747328" w:rsidRPr="00B740B4">
        <w:rPr>
          <w:rFonts w:eastAsia="Times New Roman" w:cs="Times New Roman"/>
        </w:rPr>
        <w:t>n its branches (Mark 4:30–32). E</w:t>
      </w:r>
      <w:r w:rsidR="00C93CC0" w:rsidRPr="00B740B4">
        <w:rPr>
          <w:rFonts w:eastAsia="Times New Roman" w:cs="Times New Roman"/>
        </w:rPr>
        <w:t xml:space="preserve">very Nebuchadnezzar has a </w:t>
      </w:r>
      <w:r w:rsidR="00B82F32" w:rsidRPr="00B740B4">
        <w:rPr>
          <w:rFonts w:eastAsia="Times New Roman" w:cs="Times New Roman"/>
        </w:rPr>
        <w:t>lookout</w:t>
      </w:r>
      <w:r w:rsidRPr="00B740B4">
        <w:rPr>
          <w:rFonts w:eastAsia="Times New Roman" w:cs="Times New Roman"/>
        </w:rPr>
        <w:t xml:space="preserve"> by his side,</w:t>
      </w:r>
      <w:r w:rsidRPr="00B740B4">
        <w:rPr>
          <w:rStyle w:val="FootnoteReference"/>
          <w:rFonts w:eastAsia="Times New Roman" w:cs="Times New Roman"/>
        </w:rPr>
        <w:footnoteReference w:id="772"/>
      </w:r>
      <w:r w:rsidRPr="00B740B4">
        <w:rPr>
          <w:rFonts w:eastAsia="Times New Roman" w:cs="Times New Roman"/>
        </w:rPr>
        <w:t xml:space="preserve"> </w:t>
      </w:r>
      <w:r w:rsidR="00C93CC0" w:rsidRPr="00B740B4">
        <w:rPr>
          <w:rFonts w:eastAsia="Times New Roman" w:cs="Times New Roman"/>
        </w:rPr>
        <w:t>one who implements not merely the will of subo</w:t>
      </w:r>
      <w:r w:rsidR="00747328" w:rsidRPr="00B740B4">
        <w:rPr>
          <w:rFonts w:eastAsia="Times New Roman" w:cs="Times New Roman"/>
        </w:rPr>
        <w:t>rdinate heavenly powers but the will</w:t>
      </w:r>
      <w:r w:rsidR="00C93CC0" w:rsidRPr="00B740B4">
        <w:rPr>
          <w:rFonts w:eastAsia="Times New Roman" w:cs="Times New Roman"/>
        </w:rPr>
        <w:t xml:space="preserve"> of the </w:t>
      </w:r>
      <w:r w:rsidR="00155FA8" w:rsidRPr="00B740B4">
        <w:rPr>
          <w:rFonts w:eastAsia="Times New Roman" w:cs="Times New Roman"/>
        </w:rPr>
        <w:t>One On High</w:t>
      </w:r>
      <w:r w:rsidRPr="00B740B4">
        <w:rPr>
          <w:rFonts w:eastAsia="Times New Roman" w:cs="Times New Roman"/>
        </w:rPr>
        <w:t xml:space="preserve"> (v 24</w:t>
      </w:r>
      <w:r w:rsidR="00C93CC0" w:rsidRPr="00B740B4">
        <w:rPr>
          <w:rFonts w:eastAsia="Times New Roman" w:cs="Times New Roman"/>
        </w:rPr>
        <w:t xml:space="preserve">). The action he heralds is designed </w:t>
      </w:r>
      <w:r w:rsidR="00747328" w:rsidRPr="00B740B4">
        <w:rPr>
          <w:rFonts w:eastAsia="Times New Roman" w:cs="Times New Roman"/>
        </w:rPr>
        <w:t xml:space="preserve">to bring Nebuchadnezzar </w:t>
      </w:r>
      <w:r w:rsidR="00C93CC0" w:rsidRPr="00B740B4">
        <w:rPr>
          <w:rFonts w:eastAsia="Times New Roman" w:cs="Times New Roman"/>
        </w:rPr>
        <w:t xml:space="preserve">to acknowledge the </w:t>
      </w:r>
      <w:r w:rsidR="00155FA8" w:rsidRPr="00B740B4">
        <w:rPr>
          <w:rFonts w:eastAsia="Times New Roman" w:cs="Times New Roman"/>
        </w:rPr>
        <w:t>One On High</w:t>
      </w:r>
      <w:r w:rsidRPr="00B740B4">
        <w:rPr>
          <w:rFonts w:eastAsia="Times New Roman" w:cs="Times New Roman"/>
        </w:rPr>
        <w:t xml:space="preserve"> (contrast v 17</w:t>
      </w:r>
      <w:r w:rsidR="00C93CC0" w:rsidRPr="00B740B4">
        <w:rPr>
          <w:rFonts w:eastAsia="Times New Roman" w:cs="Times New Roman"/>
        </w:rPr>
        <w:t xml:space="preserve">). </w:t>
      </w:r>
      <w:r w:rsidR="00747328" w:rsidRPr="00B740B4">
        <w:rPr>
          <w:rFonts w:eastAsia="Times New Roman" w:cs="Times New Roman"/>
        </w:rPr>
        <w:t>Actually, Nebuchadnezzar would</w:t>
      </w:r>
      <w:r w:rsidR="00C93CC0" w:rsidRPr="00B740B4">
        <w:rPr>
          <w:rFonts w:eastAsia="Times New Roman" w:cs="Times New Roman"/>
        </w:rPr>
        <w:t xml:space="preserve"> have acknowledged that the </w:t>
      </w:r>
      <w:r w:rsidR="00155FA8" w:rsidRPr="00B740B4">
        <w:rPr>
          <w:rFonts w:eastAsia="Times New Roman" w:cs="Times New Roman"/>
        </w:rPr>
        <w:t>One On High</w:t>
      </w:r>
      <w:r w:rsidR="00C93CC0" w:rsidRPr="00B740B4">
        <w:rPr>
          <w:rFonts w:eastAsia="Times New Roman" w:cs="Times New Roman"/>
        </w:rPr>
        <w:t xml:space="preserve"> ruled (indeed, see 2:47); but earthly rulers find it difficult to make this </w:t>
      </w:r>
      <w:r w:rsidR="0096186F">
        <w:rPr>
          <w:rFonts w:eastAsia="Times New Roman" w:cs="Times New Roman"/>
        </w:rPr>
        <w:t>acknowledgment something more than formal, one</w:t>
      </w:r>
      <w:r w:rsidR="00C93CC0" w:rsidRPr="00B740B4">
        <w:rPr>
          <w:rFonts w:eastAsia="Times New Roman" w:cs="Times New Roman"/>
        </w:rPr>
        <w:t xml:space="preserve"> that does not compromise their sense that they themselves are in control. Andrew Melville </w:t>
      </w:r>
      <w:r w:rsidR="0041368E">
        <w:rPr>
          <w:rFonts w:eastAsia="Times New Roman" w:cs="Times New Roman"/>
        </w:rPr>
        <w:t xml:space="preserve">(1545-1622) </w:t>
      </w:r>
      <w:r w:rsidR="00C93CC0" w:rsidRPr="00B740B4">
        <w:rPr>
          <w:rFonts w:eastAsia="Times New Roman" w:cs="Times New Roman"/>
        </w:rPr>
        <w:t>reminded James VI, when he was asserting his rights, that Scotland had another King “of whose kingdom King James is neither Lord nor Head, but subject</w:t>
      </w:r>
      <w:r w:rsidR="00B43638" w:rsidRPr="00B740B4">
        <w:rPr>
          <w:rFonts w:eastAsia="Times New Roman" w:cs="Times New Roman"/>
        </w:rPr>
        <w:t>.</w:t>
      </w:r>
      <w:r w:rsidR="00C93CC0" w:rsidRPr="00B740B4">
        <w:rPr>
          <w:rFonts w:eastAsia="Times New Roman" w:cs="Times New Roman"/>
        </w:rPr>
        <w:t>”</w:t>
      </w:r>
      <w:r w:rsidRPr="00B740B4">
        <w:rPr>
          <w:rStyle w:val="FootnoteReference"/>
          <w:rFonts w:eastAsia="Times New Roman" w:cs="Times New Roman"/>
        </w:rPr>
        <w:footnoteReference w:id="773"/>
      </w:r>
      <w:r w:rsidR="00C93CC0" w:rsidRPr="00B740B4">
        <w:rPr>
          <w:rFonts w:eastAsia="Times New Roman" w:cs="Times New Roman"/>
        </w:rPr>
        <w:t xml:space="preserve"> Nebuch</w:t>
      </w:r>
      <w:r w:rsidR="00B43638" w:rsidRPr="00B740B4">
        <w:rPr>
          <w:rFonts w:eastAsia="Times New Roman" w:cs="Times New Roman"/>
        </w:rPr>
        <w:t>adnezzar was affirmed in chap.</w:t>
      </w:r>
      <w:r w:rsidR="00C93CC0" w:rsidRPr="00B740B4">
        <w:rPr>
          <w:rFonts w:eastAsia="Times New Roman" w:cs="Times New Roman"/>
        </w:rPr>
        <w:t xml:space="preserve"> 2, was confronted ove</w:t>
      </w:r>
      <w:r w:rsidR="00B43638" w:rsidRPr="00B740B4">
        <w:rPr>
          <w:rFonts w:eastAsia="Times New Roman" w:cs="Times New Roman"/>
        </w:rPr>
        <w:t>r religious questions in chap.</w:t>
      </w:r>
      <w:r w:rsidR="00C93CC0" w:rsidRPr="00B740B4">
        <w:rPr>
          <w:rFonts w:eastAsia="Times New Roman" w:cs="Times New Roman"/>
        </w:rPr>
        <w:t xml:space="preserve"> 3, and is now confronted over his fulfillment of his kingship. At least it is a comfort that even God’s judgment has as its object not merely destruction but recognition (cf. the Psalms, e.g., Ps 83 with its surprising ending). Nebuchadnezzar is promised that he can be king from the point he acknowledges that actually he is not, because God is.</w:t>
      </w:r>
    </w:p>
    <w:p w:rsidR="00DC3E89" w:rsidRPr="00B740B4" w:rsidRDefault="00E25055" w:rsidP="00DC3E89">
      <w:pPr>
        <w:widowControl w:val="0"/>
        <w:rPr>
          <w:rFonts w:ascii="AGaramondPro-Regular" w:eastAsiaTheme="minorHAnsi" w:hAnsi="AGaramondPro-Regular" w:cs="AGaramondPro-Regular"/>
          <w:sz w:val="21"/>
          <w:szCs w:val="21"/>
        </w:rPr>
      </w:pPr>
      <w:r w:rsidRPr="00B740B4">
        <w:rPr>
          <w:rFonts w:eastAsiaTheme="minorHAnsi" w:cs="AGaramondPro-Regular"/>
          <w:sz w:val="21"/>
          <w:szCs w:val="21"/>
        </w:rPr>
        <w:t>Yet what was Nebuchadnezzar thinking when he asked after the dream’s meaning? H</w:t>
      </w:r>
      <w:r w:rsidR="00747328" w:rsidRPr="00B740B4">
        <w:rPr>
          <w:rFonts w:eastAsiaTheme="minorHAnsi" w:cs="AGaramondPro-Regular"/>
          <w:sz w:val="21"/>
          <w:szCs w:val="21"/>
        </w:rPr>
        <w:t>e seems to have thought that the</w:t>
      </w:r>
      <w:r w:rsidRPr="00B740B4">
        <w:rPr>
          <w:rFonts w:eastAsiaTheme="minorHAnsi" w:cs="AGaramondPro-Regular"/>
          <w:sz w:val="21"/>
          <w:szCs w:val="21"/>
        </w:rPr>
        <w:t xml:space="preserve"> terror would be lessened.</w:t>
      </w:r>
      <w:r w:rsidRPr="00B740B4">
        <w:rPr>
          <w:rStyle w:val="FootnoteReference"/>
          <w:rFonts w:eastAsiaTheme="minorHAnsi" w:cs="AGaramondPro-Regular"/>
          <w:sz w:val="21"/>
          <w:szCs w:val="21"/>
        </w:rPr>
        <w:footnoteReference w:id="774"/>
      </w:r>
      <w:r w:rsidR="00747328" w:rsidRPr="00B740B4">
        <w:rPr>
          <w:rFonts w:ascii="AGaramondPro-Regular" w:eastAsiaTheme="minorHAnsi" w:hAnsi="AGaramondPro-Regular" w:cs="AGaramondPro-Regular"/>
          <w:sz w:val="21"/>
          <w:szCs w:val="21"/>
        </w:rPr>
        <w:t xml:space="preserve"> </w:t>
      </w:r>
      <w:r w:rsidR="00747328" w:rsidRPr="00B740B4">
        <w:rPr>
          <w:rFonts w:eastAsia="Times New Roman" w:cs="Times New Roman"/>
        </w:rPr>
        <w:t>When he asked for interpretation, he did not ask</w:t>
      </w:r>
      <w:r w:rsidR="00DC3E89" w:rsidRPr="00B740B4">
        <w:rPr>
          <w:rFonts w:eastAsia="Times New Roman" w:cs="Times New Roman"/>
        </w:rPr>
        <w:t xml:space="preserve"> for advice, and the person who offers unreq</w:t>
      </w:r>
      <w:r w:rsidR="005D2D9C" w:rsidRPr="00B740B4">
        <w:rPr>
          <w:rFonts w:eastAsia="Times New Roman" w:cs="Times New Roman"/>
        </w:rPr>
        <w:t>uested advice risks the reaction</w:t>
      </w:r>
      <w:r w:rsidR="00DC3E89" w:rsidRPr="00B740B4">
        <w:rPr>
          <w:rFonts w:eastAsia="Times New Roman" w:cs="Times New Roman"/>
        </w:rPr>
        <w:t xml:space="preserve"> </w:t>
      </w:r>
      <w:r w:rsidR="00DC3E89" w:rsidRPr="00B740B4">
        <w:rPr>
          <w:rFonts w:eastAsiaTheme="minorHAnsi" w:cs="AGaramondPro-Regular"/>
          <w:sz w:val="21"/>
          <w:szCs w:val="21"/>
        </w:rPr>
        <w:t>“If I’d wanted your opinion, I’d have asked for it”</w:t>
      </w:r>
      <w:r w:rsidR="00DC3E89" w:rsidRPr="00B740B4">
        <w:rPr>
          <w:rFonts w:eastAsia="Times New Roman" w:cs="Times New Roman"/>
          <w:vertAlign w:val="superscript"/>
        </w:rPr>
        <w:footnoteReference w:id="775"/>
      </w:r>
      <w:r w:rsidR="00DC3E89" w:rsidRPr="00B740B4">
        <w:rPr>
          <w:rFonts w:eastAsiaTheme="minorHAnsi" w:cs="AGaramondPro-Regular"/>
          <w:sz w:val="21"/>
          <w:szCs w:val="21"/>
        </w:rPr>
        <w:t xml:space="preserve">—or </w:t>
      </w:r>
      <w:r w:rsidR="00747328" w:rsidRPr="00B740B4">
        <w:rPr>
          <w:rFonts w:eastAsiaTheme="minorHAnsi" w:cs="AGaramondPro-Regular"/>
          <w:sz w:val="21"/>
          <w:szCs w:val="21"/>
        </w:rPr>
        <w:t xml:space="preserve">a </w:t>
      </w:r>
      <w:r w:rsidR="00DC3E89" w:rsidRPr="00B740B4">
        <w:rPr>
          <w:rFonts w:eastAsiaTheme="minorHAnsi" w:cs="AGaramondPro-Regular"/>
          <w:sz w:val="21"/>
          <w:szCs w:val="21"/>
        </w:rPr>
        <w:t>much worse</w:t>
      </w:r>
      <w:r w:rsidR="005D2D9C" w:rsidRPr="00B740B4">
        <w:rPr>
          <w:rFonts w:eastAsiaTheme="minorHAnsi" w:cs="AGaramondPro-Regular"/>
          <w:sz w:val="21"/>
          <w:szCs w:val="21"/>
        </w:rPr>
        <w:t xml:space="preserve"> reaction</w:t>
      </w:r>
      <w:r w:rsidR="00DC3E89" w:rsidRPr="00B740B4">
        <w:rPr>
          <w:rFonts w:eastAsiaTheme="minorHAnsi" w:cs="AGaramondPro-Regular"/>
          <w:sz w:val="21"/>
          <w:szCs w:val="21"/>
        </w:rPr>
        <w:t>, if w</w:t>
      </w:r>
      <w:r w:rsidRPr="00B740B4">
        <w:rPr>
          <w:rFonts w:eastAsiaTheme="minorHAnsi" w:cs="AGaramondPro-Regular"/>
          <w:sz w:val="21"/>
          <w:szCs w:val="21"/>
        </w:rPr>
        <w:t>e</w:t>
      </w:r>
      <w:r w:rsidR="00DC3E89" w:rsidRPr="00B740B4">
        <w:rPr>
          <w:rFonts w:eastAsiaTheme="minorHAnsi" w:cs="AGaramondPro-Regular"/>
          <w:sz w:val="21"/>
          <w:szCs w:val="21"/>
        </w:rPr>
        <w:t xml:space="preserve"> </w:t>
      </w:r>
      <w:r w:rsidRPr="00B740B4">
        <w:rPr>
          <w:rFonts w:eastAsiaTheme="minorHAnsi" w:cs="AGaramondPro-Regular"/>
          <w:sz w:val="21"/>
          <w:szCs w:val="21"/>
        </w:rPr>
        <w:t>a</w:t>
      </w:r>
      <w:r w:rsidR="00DC3E89" w:rsidRPr="00B740B4">
        <w:rPr>
          <w:rFonts w:eastAsiaTheme="minorHAnsi" w:cs="AGaramondPro-Regular"/>
          <w:sz w:val="21"/>
          <w:szCs w:val="21"/>
        </w:rPr>
        <w:t xml:space="preserve">re talking about a Babylonian king. </w:t>
      </w:r>
    </w:p>
    <w:p w:rsidR="00662A49" w:rsidRPr="00B740B4" w:rsidRDefault="005D2D9C" w:rsidP="00662A49">
      <w:pPr>
        <w:widowControl w:val="0"/>
        <w:rPr>
          <w:rFonts w:eastAsia="Times New Roman" w:cs="Times New Roman"/>
        </w:rPr>
      </w:pPr>
      <w:r w:rsidRPr="00B740B4">
        <w:rPr>
          <w:rFonts w:eastAsia="Times New Roman" w:cs="Times New Roman"/>
        </w:rPr>
        <w:t>The potential good news for Nebuchadnezzar</w:t>
      </w:r>
      <w:r w:rsidR="00747328" w:rsidRPr="00B740B4">
        <w:rPr>
          <w:rFonts w:eastAsia="Times New Roman" w:cs="Times New Roman"/>
        </w:rPr>
        <w:t xml:space="preserve"> is that </w:t>
      </w:r>
      <w:r w:rsidR="00C93CC0" w:rsidRPr="00B740B4">
        <w:rPr>
          <w:rFonts w:eastAsia="Times New Roman" w:cs="Times New Roman"/>
        </w:rPr>
        <w:t>announcements of judgmen</w:t>
      </w:r>
      <w:r w:rsidR="0041368E">
        <w:rPr>
          <w:rFonts w:eastAsia="Times New Roman" w:cs="Times New Roman"/>
        </w:rPr>
        <w:t>t have as their object that thei</w:t>
      </w:r>
      <w:r w:rsidR="00B05EEE" w:rsidRPr="00B740B4">
        <w:rPr>
          <w:rFonts w:eastAsia="Times New Roman" w:cs="Times New Roman"/>
        </w:rPr>
        <w:t>r recipients</w:t>
      </w:r>
      <w:r w:rsidR="00C93CC0" w:rsidRPr="00B740B4">
        <w:rPr>
          <w:rFonts w:eastAsia="Times New Roman" w:cs="Times New Roman"/>
        </w:rPr>
        <w:t xml:space="preserve"> </w:t>
      </w:r>
      <w:r w:rsidR="00B05EEE" w:rsidRPr="00B740B4">
        <w:rPr>
          <w:rFonts w:eastAsia="Times New Roman" w:cs="Times New Roman"/>
        </w:rPr>
        <w:t>give this recognition</w:t>
      </w:r>
      <w:r w:rsidR="00B43638" w:rsidRPr="00B740B4">
        <w:rPr>
          <w:rFonts w:eastAsia="Times New Roman" w:cs="Times New Roman"/>
        </w:rPr>
        <w:t xml:space="preserve"> without the judgment</w:t>
      </w:r>
      <w:r w:rsidR="00C93CC0" w:rsidRPr="00B740B4">
        <w:rPr>
          <w:rFonts w:eastAsia="Times New Roman" w:cs="Times New Roman"/>
        </w:rPr>
        <w:t xml:space="preserve"> having to draw it forth. </w:t>
      </w:r>
      <w:r w:rsidR="00B05EEE" w:rsidRPr="00B740B4">
        <w:rPr>
          <w:rFonts w:eastAsia="Times New Roman" w:cs="Times New Roman"/>
        </w:rPr>
        <w:t>Whereas t</w:t>
      </w:r>
      <w:r w:rsidRPr="00B740B4">
        <w:rPr>
          <w:rFonts w:eastAsia="Times New Roman" w:cs="Times New Roman"/>
        </w:rPr>
        <w:t xml:space="preserve">he lookouts’ decision </w:t>
      </w:r>
      <w:r w:rsidR="00B05EEE" w:rsidRPr="00B740B4">
        <w:rPr>
          <w:rFonts w:eastAsia="Times New Roman" w:cs="Times New Roman"/>
        </w:rPr>
        <w:t>might sound</w:t>
      </w:r>
      <w:r w:rsidRPr="00B740B4">
        <w:rPr>
          <w:rFonts w:eastAsia="Times New Roman" w:cs="Times New Roman"/>
        </w:rPr>
        <w:t xml:space="preserve"> like an expression of determinism,</w:t>
      </w:r>
      <w:r w:rsidRPr="00B740B4">
        <w:rPr>
          <w:rFonts w:eastAsia="Times New Roman" w:cs="Times New Roman"/>
          <w:vertAlign w:val="superscript"/>
        </w:rPr>
        <w:footnoteReference w:id="776"/>
      </w:r>
      <w:r w:rsidR="00B05EEE" w:rsidRPr="00B740B4">
        <w:rPr>
          <w:rFonts w:eastAsia="Times New Roman" w:cs="Times New Roman"/>
        </w:rPr>
        <w:t xml:space="preserve"> Daniel know</w:t>
      </w:r>
      <w:r w:rsidRPr="00B740B4">
        <w:rPr>
          <w:rFonts w:eastAsia="Times New Roman" w:cs="Times New Roman"/>
        </w:rPr>
        <w:t>s that as usual everything depends on the subject’s response.</w:t>
      </w:r>
      <w:r w:rsidRPr="00B740B4">
        <w:rPr>
          <w:rFonts w:eastAsia="Times New Roman" w:cs="Times New Roman"/>
          <w:vertAlign w:val="superscript"/>
        </w:rPr>
        <w:footnoteReference w:id="777"/>
      </w:r>
      <w:r w:rsidRPr="00B740B4">
        <w:rPr>
          <w:rFonts w:eastAsia="Times New Roman" w:cs="Times New Roman"/>
        </w:rPr>
        <w:t xml:space="preserve"> </w:t>
      </w:r>
      <w:r w:rsidR="002F40E3" w:rsidRPr="00B740B4">
        <w:rPr>
          <w:rFonts w:eastAsia="Times New Roman" w:cs="Times New Roman"/>
        </w:rPr>
        <w:t xml:space="preserve">Jer 18:1-12 expounde the principle. When John the Baptizer says, </w:t>
      </w:r>
      <w:r w:rsidR="00C93CC0" w:rsidRPr="00B740B4">
        <w:rPr>
          <w:rFonts w:eastAsia="Times New Roman" w:cs="Times New Roman"/>
        </w:rPr>
        <w:t>“Even now the axe is laid to the root of the t</w:t>
      </w:r>
      <w:r w:rsidR="002F40E3" w:rsidRPr="00B740B4">
        <w:rPr>
          <w:rFonts w:eastAsia="Times New Roman" w:cs="Times New Roman"/>
        </w:rPr>
        <w:t xml:space="preserve">rees” (Matt 3:10), </w:t>
      </w:r>
      <w:r w:rsidRPr="00B740B4">
        <w:rPr>
          <w:rFonts w:eastAsia="Times New Roman" w:cs="Times New Roman"/>
        </w:rPr>
        <w:t xml:space="preserve">like </w:t>
      </w:r>
      <w:r w:rsidR="00C93CC0" w:rsidRPr="00B740B4">
        <w:rPr>
          <w:rFonts w:eastAsia="Times New Roman" w:cs="Times New Roman"/>
        </w:rPr>
        <w:t>Amos, Isaiah, Jeremi</w:t>
      </w:r>
      <w:r w:rsidR="002F40E3" w:rsidRPr="00B740B4">
        <w:rPr>
          <w:rFonts w:eastAsia="Times New Roman" w:cs="Times New Roman"/>
        </w:rPr>
        <w:t xml:space="preserve">ah, Ezekiel, </w:t>
      </w:r>
      <w:r w:rsidR="00C93CC0" w:rsidRPr="00B740B4">
        <w:rPr>
          <w:rFonts w:eastAsia="Times New Roman" w:cs="Times New Roman"/>
        </w:rPr>
        <w:t>Jon</w:t>
      </w:r>
      <w:r w:rsidRPr="00B740B4">
        <w:rPr>
          <w:rFonts w:eastAsia="Times New Roman" w:cs="Times New Roman"/>
        </w:rPr>
        <w:t xml:space="preserve">ah, </w:t>
      </w:r>
      <w:r w:rsidR="002F40E3" w:rsidRPr="00B740B4">
        <w:rPr>
          <w:rFonts w:eastAsia="Times New Roman" w:cs="Times New Roman"/>
        </w:rPr>
        <w:t xml:space="preserve">and Jesus, </w:t>
      </w:r>
      <w:r w:rsidRPr="00B740B4">
        <w:rPr>
          <w:rFonts w:eastAsia="Times New Roman" w:cs="Times New Roman"/>
        </w:rPr>
        <w:t>along with Daniel</w:t>
      </w:r>
      <w:r w:rsidR="002F40E3" w:rsidRPr="00B740B4">
        <w:rPr>
          <w:rFonts w:eastAsia="Times New Roman" w:cs="Times New Roman"/>
        </w:rPr>
        <w:t>, he</w:t>
      </w:r>
      <w:r w:rsidRPr="00B740B4">
        <w:rPr>
          <w:rFonts w:eastAsia="Times New Roman" w:cs="Times New Roman"/>
        </w:rPr>
        <w:t xml:space="preserve"> utter</w:t>
      </w:r>
      <w:r w:rsidR="002F40E3" w:rsidRPr="00B740B4">
        <w:rPr>
          <w:rFonts w:eastAsia="Times New Roman" w:cs="Times New Roman"/>
        </w:rPr>
        <w:t>s</w:t>
      </w:r>
      <w:r w:rsidRPr="00B740B4">
        <w:rPr>
          <w:rFonts w:eastAsia="Times New Roman" w:cs="Times New Roman"/>
        </w:rPr>
        <w:t xml:space="preserve"> </w:t>
      </w:r>
      <w:r w:rsidR="002F40E3" w:rsidRPr="00B740B4">
        <w:rPr>
          <w:rFonts w:eastAsia="Times New Roman" w:cs="Times New Roman"/>
        </w:rPr>
        <w:t>his</w:t>
      </w:r>
      <w:r w:rsidR="00C93CC0" w:rsidRPr="00B740B4">
        <w:rPr>
          <w:rFonts w:eastAsia="Times New Roman" w:cs="Times New Roman"/>
        </w:rPr>
        <w:t xml:space="preserve"> warnings in order that wh</w:t>
      </w:r>
      <w:r w:rsidR="00B43638" w:rsidRPr="00B740B4">
        <w:rPr>
          <w:rFonts w:eastAsia="Times New Roman" w:cs="Times New Roman"/>
        </w:rPr>
        <w:t>at is announced can be averted.</w:t>
      </w:r>
      <w:r w:rsidR="00B43638" w:rsidRPr="00B740B4">
        <w:rPr>
          <w:rStyle w:val="FootnoteReference"/>
          <w:rFonts w:eastAsia="Times New Roman" w:cs="Times New Roman"/>
        </w:rPr>
        <w:footnoteReference w:id="778"/>
      </w:r>
      <w:r w:rsidR="00B05EEE" w:rsidRPr="00B740B4">
        <w:rPr>
          <w:rFonts w:eastAsia="Times New Roman" w:cs="Times New Roman"/>
        </w:rPr>
        <w:t xml:space="preserve"> And </w:t>
      </w:r>
      <w:r w:rsidR="002F40E3" w:rsidRPr="00B740B4">
        <w:rPr>
          <w:rFonts w:eastAsia="Times New Roman" w:cs="Times New Roman"/>
        </w:rPr>
        <w:t xml:space="preserve">like these prophets, </w:t>
      </w:r>
      <w:r w:rsidR="00B05EEE" w:rsidRPr="00B740B4">
        <w:rPr>
          <w:rFonts w:eastAsia="Times New Roman" w:cs="Times New Roman"/>
        </w:rPr>
        <w:t>Daniel is not the kind ofprophet who is looking forward with enthusiasm to seeing the guilty get their comeuppance. His wish that disaster be averted may be conventional, but it is real.</w:t>
      </w:r>
    </w:p>
    <w:p w:rsidR="00090EBE" w:rsidRPr="00B740B4" w:rsidRDefault="00C93CC0" w:rsidP="005374BB">
      <w:pPr>
        <w:widowControl w:val="0"/>
        <w:rPr>
          <w:rFonts w:eastAsia="Times New Roman" w:cs="Times New Roman"/>
        </w:rPr>
      </w:pPr>
      <w:r w:rsidRPr="00B740B4">
        <w:rPr>
          <w:rFonts w:eastAsia="Times New Roman" w:cs="Times New Roman"/>
        </w:rPr>
        <w:lastRenderedPageBreak/>
        <w:t>T</w:t>
      </w:r>
      <w:r w:rsidR="002F40E3" w:rsidRPr="00B740B4">
        <w:rPr>
          <w:rFonts w:eastAsia="Times New Roman" w:cs="Times New Roman"/>
        </w:rPr>
        <w:t>o avert it</w:t>
      </w:r>
      <w:r w:rsidR="005D2D9C" w:rsidRPr="00B740B4">
        <w:rPr>
          <w:rFonts w:eastAsia="Times New Roman" w:cs="Times New Roman"/>
        </w:rPr>
        <w:t>, t</w:t>
      </w:r>
      <w:r w:rsidRPr="00B740B4">
        <w:rPr>
          <w:rFonts w:eastAsia="Times New Roman" w:cs="Times New Roman"/>
        </w:rPr>
        <w:t xml:space="preserve">he </w:t>
      </w:r>
      <w:r w:rsidR="005D2D9C" w:rsidRPr="00B740B4">
        <w:rPr>
          <w:rFonts w:eastAsia="Times New Roman" w:cs="Times New Roman"/>
        </w:rPr>
        <w:t xml:space="preserve">action required is to act in faithfulness </w:t>
      </w:r>
      <w:r w:rsidR="00090EBE" w:rsidRPr="00B740B4">
        <w:rPr>
          <w:rFonts w:eastAsia="Times New Roman" w:cs="Times New Roman"/>
        </w:rPr>
        <w:t>(</w:t>
      </w:r>
      <w:r w:rsidR="00090EBE" w:rsidRPr="00B740B4">
        <w:rPr>
          <w:rFonts w:ascii="Arial" w:eastAsia="Times New Roman" w:hAnsi="Arial" w:cs="Arial"/>
        </w:rPr>
        <w:t>צדקה</w:t>
      </w:r>
      <w:r w:rsidR="0041368E">
        <w:rPr>
          <w:rFonts w:eastAsia="Times New Roman" w:cs="Times New Roman"/>
        </w:rPr>
        <w:t>, conventionally “righteousness</w:t>
      </w:r>
      <w:r w:rsidR="005374BB">
        <w:rPr>
          <w:rFonts w:eastAsia="Times New Roman" w:cs="Times New Roman"/>
        </w:rPr>
        <w:t xml:space="preserve">”). It </w:t>
      </w:r>
      <w:r w:rsidR="0041368E" w:rsidRPr="0041368E">
        <w:rPr>
          <w:rFonts w:eastAsia="Times New Roman" w:cs="Times New Roman"/>
        </w:rPr>
        <w:t xml:space="preserve">denotes doing the right thing by the people in one’s community </w:t>
      </w:r>
      <w:r w:rsidR="00090EBE" w:rsidRPr="00B740B4">
        <w:rPr>
          <w:rFonts w:eastAsia="Times New Roman" w:cs="Times New Roman"/>
        </w:rPr>
        <w:t xml:space="preserve">and thus </w:t>
      </w:r>
      <w:r w:rsidR="005D2D9C" w:rsidRPr="00B740B4">
        <w:rPr>
          <w:rFonts w:eastAsia="Times New Roman" w:cs="Times New Roman"/>
        </w:rPr>
        <w:t>do</w:t>
      </w:r>
      <w:r w:rsidR="005374BB">
        <w:rPr>
          <w:rFonts w:eastAsia="Times New Roman" w:cs="Times New Roman"/>
        </w:rPr>
        <w:t>ing</w:t>
      </w:r>
      <w:r w:rsidR="005D2D9C" w:rsidRPr="00B740B4">
        <w:rPr>
          <w:rFonts w:eastAsia="Times New Roman" w:cs="Times New Roman"/>
        </w:rPr>
        <w:t xml:space="preserve"> what is right </w:t>
      </w:r>
      <w:r w:rsidR="00090EBE" w:rsidRPr="00B740B4">
        <w:rPr>
          <w:rFonts w:eastAsia="Times New Roman" w:cs="Times New Roman"/>
        </w:rPr>
        <w:t>instead of what is wrong. More specifically</w:t>
      </w:r>
      <w:r w:rsidR="005D2D9C" w:rsidRPr="00B740B4">
        <w:rPr>
          <w:rFonts w:eastAsia="Times New Roman" w:cs="Times New Roman"/>
        </w:rPr>
        <w:t xml:space="preserve"> </w:t>
      </w:r>
      <w:r w:rsidR="00090EBE" w:rsidRPr="00B740B4">
        <w:rPr>
          <w:rFonts w:eastAsia="Times New Roman" w:cs="Times New Roman"/>
        </w:rPr>
        <w:t>it i</w:t>
      </w:r>
      <w:r w:rsidR="005374BB">
        <w:rPr>
          <w:rFonts w:eastAsia="Times New Roman" w:cs="Times New Roman"/>
        </w:rPr>
        <w:t>nvolve</w:t>
      </w:r>
      <w:r w:rsidR="00090EBE" w:rsidRPr="00B740B4">
        <w:rPr>
          <w:rFonts w:eastAsia="Times New Roman" w:cs="Times New Roman"/>
        </w:rPr>
        <w:t xml:space="preserve">s </w:t>
      </w:r>
      <w:r w:rsidRPr="00B740B4">
        <w:rPr>
          <w:rFonts w:eastAsia="Times New Roman" w:cs="Times New Roman"/>
        </w:rPr>
        <w:t>ta</w:t>
      </w:r>
      <w:r w:rsidR="005374BB">
        <w:rPr>
          <w:rFonts w:eastAsia="Times New Roman" w:cs="Times New Roman"/>
        </w:rPr>
        <w:t>king</w:t>
      </w:r>
      <w:r w:rsidR="00090EBE" w:rsidRPr="00B740B4">
        <w:rPr>
          <w:rFonts w:eastAsia="Times New Roman" w:cs="Times New Roman"/>
        </w:rPr>
        <w:t xml:space="preserve"> action on behalf of the ordinary, lowly, powerless people (</w:t>
      </w:r>
      <w:r w:rsidR="00662A49" w:rsidRPr="00B740B4">
        <w:rPr>
          <w:rFonts w:ascii="Arial" w:eastAsiaTheme="minorHAnsi" w:hAnsi="Arial" w:cs="Arial"/>
        </w:rPr>
        <w:t xml:space="preserve">ן י נ ע, </w:t>
      </w:r>
      <w:r w:rsidR="00662A49" w:rsidRPr="00B740B4">
        <w:rPr>
          <w:rFonts w:eastAsiaTheme="minorHAnsi" w:cs="Arial"/>
        </w:rPr>
        <w:t>conventionally “poor”)</w:t>
      </w:r>
      <w:r w:rsidR="00662A49" w:rsidRPr="00B740B4">
        <w:rPr>
          <w:rFonts w:eastAsia="Times New Roman" w:cs="Times New Roman"/>
        </w:rPr>
        <w:t xml:space="preserve"> (</w:t>
      </w:r>
      <w:r w:rsidR="00B43638" w:rsidRPr="00B740B4">
        <w:rPr>
          <w:rFonts w:eastAsia="Times New Roman" w:cs="Times New Roman"/>
        </w:rPr>
        <w:t>v 27</w:t>
      </w:r>
      <w:r w:rsidR="005D2D9C" w:rsidRPr="00B740B4">
        <w:rPr>
          <w:rFonts w:eastAsia="Times New Roman" w:cs="Times New Roman"/>
        </w:rPr>
        <w:t>). Such</w:t>
      </w:r>
      <w:r w:rsidRPr="00B740B4">
        <w:rPr>
          <w:rFonts w:eastAsia="Times New Roman" w:cs="Times New Roman"/>
        </w:rPr>
        <w:t xml:space="preserve"> </w:t>
      </w:r>
      <w:r w:rsidR="005D2D9C" w:rsidRPr="00B740B4">
        <w:rPr>
          <w:rFonts w:eastAsia="Times New Roman" w:cs="Times New Roman"/>
        </w:rPr>
        <w:t>policie</w:t>
      </w:r>
      <w:r w:rsidR="00B43638" w:rsidRPr="00B740B4">
        <w:rPr>
          <w:rFonts w:eastAsia="Times New Roman" w:cs="Times New Roman"/>
        </w:rPr>
        <w:t xml:space="preserve">s </w:t>
      </w:r>
      <w:r w:rsidRPr="00B740B4">
        <w:rPr>
          <w:rFonts w:eastAsia="Times New Roman" w:cs="Times New Roman"/>
        </w:rPr>
        <w:t>are closely associated governmental obligations (I</w:t>
      </w:r>
      <w:r w:rsidR="005D2D9C" w:rsidRPr="00B740B4">
        <w:rPr>
          <w:rFonts w:eastAsia="Times New Roman" w:cs="Times New Roman"/>
        </w:rPr>
        <w:t>sa 11:4; Jer 22:15–16; Ps 72:2). Indeed,</w:t>
      </w:r>
      <w:r w:rsidRPr="00B740B4">
        <w:rPr>
          <w:rFonts w:eastAsia="Times New Roman" w:cs="Times New Roman"/>
        </w:rPr>
        <w:t xml:space="preserve"> in building inscription 12</w:t>
      </w:r>
      <w:r w:rsidR="00B43638" w:rsidRPr="00B740B4">
        <w:rPr>
          <w:rFonts w:eastAsia="Times New Roman" w:cs="Times New Roman"/>
        </w:rPr>
        <w:t>,</w:t>
      </w:r>
      <w:r w:rsidRPr="00B740B4">
        <w:rPr>
          <w:rFonts w:eastAsia="Times New Roman" w:cs="Times New Roman"/>
        </w:rPr>
        <w:t xml:space="preserve"> Nebuchadnezzar claims to be a just king, meek and humble.</w:t>
      </w:r>
      <w:r w:rsidR="00B43638" w:rsidRPr="00B740B4">
        <w:rPr>
          <w:rFonts w:eastAsia="Times New Roman" w:cs="Times New Roman"/>
          <w:vertAlign w:val="superscript"/>
        </w:rPr>
        <w:footnoteReference w:id="779"/>
      </w:r>
      <w:r w:rsidR="005D2D9C" w:rsidRPr="00B740B4">
        <w:rPr>
          <w:rFonts w:eastAsia="Times New Roman" w:cs="Times New Roman"/>
        </w:rPr>
        <w:t xml:space="preserve"> This</w:t>
      </w:r>
      <w:r w:rsidRPr="00B740B4">
        <w:rPr>
          <w:rFonts w:eastAsia="Times New Roman" w:cs="Times New Roman"/>
        </w:rPr>
        <w:t xml:space="preserve"> royal ideal is suggested by the imagery of provis</w:t>
      </w:r>
      <w:r w:rsidR="00812837" w:rsidRPr="00B740B4">
        <w:rPr>
          <w:rFonts w:eastAsia="Times New Roman" w:cs="Times New Roman"/>
        </w:rPr>
        <w:t xml:space="preserve">ion and protection in his dream </w:t>
      </w:r>
      <w:r w:rsidRPr="00B740B4">
        <w:rPr>
          <w:rFonts w:eastAsia="Times New Roman" w:cs="Times New Roman"/>
        </w:rPr>
        <w:t>vision, but it is omitted in Daniel’s description of what Nebuchadnezz</w:t>
      </w:r>
      <w:r w:rsidR="00B43638" w:rsidRPr="00B740B4">
        <w:rPr>
          <w:rFonts w:eastAsia="Times New Roman" w:cs="Times New Roman"/>
        </w:rPr>
        <w:t>ar has actually achieved (v 22</w:t>
      </w:r>
      <w:r w:rsidRPr="00B740B4">
        <w:rPr>
          <w:rFonts w:eastAsia="Times New Roman" w:cs="Times New Roman"/>
        </w:rPr>
        <w:t xml:space="preserve">). </w:t>
      </w:r>
    </w:p>
    <w:p w:rsidR="00C93CC0" w:rsidRPr="00B740B4" w:rsidRDefault="00662A49" w:rsidP="006010BB">
      <w:pPr>
        <w:widowControl w:val="0"/>
        <w:rPr>
          <w:rFonts w:eastAsia="Times New Roman" w:cs="Times New Roman"/>
        </w:rPr>
      </w:pPr>
      <w:r w:rsidRPr="00B740B4">
        <w:rPr>
          <w:rFonts w:eastAsia="Times New Roman" w:cs="Times New Roman"/>
        </w:rPr>
        <w:t>Daniel’s</w:t>
      </w:r>
      <w:r w:rsidR="00090EBE" w:rsidRPr="00B740B4">
        <w:rPr>
          <w:rFonts w:eastAsia="Times New Roman" w:cs="Times New Roman"/>
        </w:rPr>
        <w:t xml:space="preserve"> implicit accusation is not justified by anything we have been told in earlier chapters about Nebuchadnezzar.</w:t>
      </w:r>
      <w:r w:rsidR="00090EBE" w:rsidRPr="00B740B4">
        <w:rPr>
          <w:rFonts w:eastAsia="Times New Roman" w:cs="Times New Roman"/>
          <w:vertAlign w:val="superscript"/>
        </w:rPr>
        <w:footnoteReference w:id="780"/>
      </w:r>
      <w:r w:rsidRPr="00B740B4">
        <w:rPr>
          <w:rFonts w:eastAsia="Times New Roman" w:cs="Times New Roman"/>
        </w:rPr>
        <w:t xml:space="preserve"> </w:t>
      </w:r>
      <w:r w:rsidR="00090EBE" w:rsidRPr="00B740B4">
        <w:rPr>
          <w:rFonts w:eastAsia="Times New Roman" w:cs="Times New Roman"/>
        </w:rPr>
        <w:t>But a</w:t>
      </w:r>
      <w:r w:rsidR="00C93CC0" w:rsidRPr="00B740B4">
        <w:rPr>
          <w:rFonts w:eastAsia="Times New Roman" w:cs="Times New Roman"/>
        </w:rPr>
        <w:t xml:space="preserve"> great national empire such as Nebuchadnezzar’s is </w:t>
      </w:r>
      <w:r w:rsidRPr="00B740B4">
        <w:rPr>
          <w:rFonts w:eastAsia="Times New Roman" w:cs="Times New Roman"/>
        </w:rPr>
        <w:t xml:space="preserve">characteristically </w:t>
      </w:r>
      <w:r w:rsidR="00C93CC0" w:rsidRPr="00B740B4">
        <w:rPr>
          <w:rFonts w:eastAsia="Times New Roman" w:cs="Times New Roman"/>
        </w:rPr>
        <w:t xml:space="preserve">the political equivalent to the Indian god Vishnu, who was supposed to be the Preserver of human life but whose huge image was traditionally carried in processions on a giant wheeled throne that crushed </w:t>
      </w:r>
      <w:r w:rsidR="00B43638" w:rsidRPr="00B740B4">
        <w:rPr>
          <w:rFonts w:eastAsia="Times New Roman" w:cs="Times New Roman"/>
        </w:rPr>
        <w:t>anything that got in its path. T</w:t>
      </w:r>
      <w:r w:rsidR="00C93CC0" w:rsidRPr="00B740B4">
        <w:rPr>
          <w:rFonts w:eastAsia="Times New Roman" w:cs="Times New Roman"/>
        </w:rPr>
        <w:t xml:space="preserve">he </w:t>
      </w:r>
      <w:r w:rsidR="00B43638" w:rsidRPr="00B740B4">
        <w:rPr>
          <w:rFonts w:eastAsia="Times New Roman" w:cs="Times New Roman"/>
        </w:rPr>
        <w:t>“</w:t>
      </w:r>
      <w:r w:rsidR="00C93CC0" w:rsidRPr="00B740B4">
        <w:rPr>
          <w:rFonts w:eastAsia="Times New Roman" w:cs="Times New Roman"/>
        </w:rPr>
        <w:t>juggernaut</w:t>
      </w:r>
      <w:r w:rsidR="00B43638" w:rsidRPr="00B740B4">
        <w:rPr>
          <w:rFonts w:eastAsia="Times New Roman" w:cs="Times New Roman"/>
        </w:rPr>
        <w:t>”</w:t>
      </w:r>
      <w:r w:rsidR="00C93CC0" w:rsidRPr="00B740B4">
        <w:rPr>
          <w:rFonts w:eastAsia="Times New Roman" w:cs="Times New Roman"/>
        </w:rPr>
        <w:t xml:space="preserve"> that is supposed to be preserver and provider easily becomes crusher and destroyer, totalitarian and absolute in its demands.</w:t>
      </w:r>
      <w:r w:rsidR="00B43638" w:rsidRPr="00B740B4">
        <w:rPr>
          <w:rStyle w:val="FootnoteReference"/>
          <w:rFonts w:eastAsia="Times New Roman" w:cs="Times New Roman"/>
        </w:rPr>
        <w:footnoteReference w:id="781"/>
      </w:r>
      <w:r w:rsidR="00C93CC0" w:rsidRPr="00B740B4">
        <w:rPr>
          <w:rFonts w:eastAsia="Times New Roman" w:cs="Times New Roman"/>
        </w:rPr>
        <w:t xml:space="preserve"> </w:t>
      </w:r>
      <w:r w:rsidR="005374BB">
        <w:rPr>
          <w:rFonts w:eastAsia="Times New Roman" w:cs="Times New Roman"/>
        </w:rPr>
        <w:t>And in this connection a passage such as Hab</w:t>
      </w:r>
      <w:r w:rsidRPr="00B740B4">
        <w:rPr>
          <w:rFonts w:eastAsia="Times New Roman" w:cs="Times New Roman"/>
        </w:rPr>
        <w:t xml:space="preserve"> 2 gives Yahweh’s perspective on Babylon.</w:t>
      </w:r>
      <w:r w:rsidRPr="00B740B4">
        <w:rPr>
          <w:rFonts w:eastAsia="Times New Roman" w:cs="Times New Roman"/>
          <w:vertAlign w:val="superscript"/>
        </w:rPr>
        <w:footnoteReference w:id="782"/>
      </w:r>
      <w:r w:rsidRPr="00B740B4">
        <w:rPr>
          <w:rFonts w:eastAsia="Times New Roman" w:cs="Times New Roman"/>
        </w:rPr>
        <w:t xml:space="preserve"> </w:t>
      </w:r>
      <w:r w:rsidR="00C93CC0" w:rsidRPr="00B740B4">
        <w:rPr>
          <w:rFonts w:eastAsia="Times New Roman" w:cs="Times New Roman"/>
        </w:rPr>
        <w:t>Even pagan kings are called to be the means of God’s caring kingship being implemented;</w:t>
      </w:r>
      <w:r w:rsidR="00B43638" w:rsidRPr="00B740B4">
        <w:rPr>
          <w:rStyle w:val="FootnoteReference"/>
          <w:rFonts w:eastAsia="Times New Roman" w:cs="Times New Roman"/>
        </w:rPr>
        <w:footnoteReference w:id="783"/>
      </w:r>
      <w:r w:rsidR="00C93CC0" w:rsidRPr="00B740B4">
        <w:rPr>
          <w:rFonts w:eastAsia="Times New Roman" w:cs="Times New Roman"/>
        </w:rPr>
        <w:t xml:space="preserve"> this </w:t>
      </w:r>
      <w:r w:rsidR="002D6E5F" w:rsidRPr="00B740B4">
        <w:rPr>
          <w:rFonts w:eastAsia="Times New Roman" w:cs="Times New Roman"/>
        </w:rPr>
        <w:t>king who has so far failed to implement it</w:t>
      </w:r>
      <w:r w:rsidR="00C93CC0" w:rsidRPr="00B740B4">
        <w:rPr>
          <w:rFonts w:eastAsia="Times New Roman" w:cs="Times New Roman"/>
        </w:rPr>
        <w:t xml:space="preserve"> must take action now if he is not to fall as a result. </w:t>
      </w:r>
      <w:r w:rsidRPr="00B740B4">
        <w:rPr>
          <w:rFonts w:eastAsia="Times New Roman" w:cs="Times New Roman"/>
        </w:rPr>
        <w:t>I</w:t>
      </w:r>
      <w:r w:rsidR="00C93CC0" w:rsidRPr="00B740B4">
        <w:rPr>
          <w:rFonts w:eastAsia="Times New Roman" w:cs="Times New Roman"/>
        </w:rPr>
        <w:t xml:space="preserve">n his case, </w:t>
      </w:r>
      <w:r w:rsidRPr="00B740B4">
        <w:rPr>
          <w:rFonts w:eastAsia="Times New Roman" w:cs="Times New Roman"/>
        </w:rPr>
        <w:t xml:space="preserve">at least, </w:t>
      </w:r>
      <w:r w:rsidR="00C93CC0" w:rsidRPr="00B740B4">
        <w:rPr>
          <w:rFonts w:eastAsia="Times New Roman" w:cs="Times New Roman"/>
        </w:rPr>
        <w:t>sin consists in injustice an</w:t>
      </w:r>
      <w:r w:rsidRPr="00B740B4">
        <w:rPr>
          <w:rFonts w:eastAsia="Times New Roman" w:cs="Times New Roman"/>
        </w:rPr>
        <w:t xml:space="preserve">d unconcern. Such sins are </w:t>
      </w:r>
      <w:r w:rsidR="00C93CC0" w:rsidRPr="00B740B4">
        <w:rPr>
          <w:rFonts w:eastAsia="Times New Roman" w:cs="Times New Roman"/>
        </w:rPr>
        <w:t>a yo</w:t>
      </w:r>
      <w:r w:rsidR="005D2D9C" w:rsidRPr="00B740B4">
        <w:rPr>
          <w:rFonts w:eastAsia="Times New Roman" w:cs="Times New Roman"/>
        </w:rPr>
        <w:t>ke weighing down on his neck that needs to be broken off if Nebuchadnezzar  is to be free of their bondage,</w:t>
      </w:r>
      <w:r w:rsidR="002D6E5F" w:rsidRPr="00B740B4">
        <w:rPr>
          <w:rStyle w:val="FootnoteReference"/>
          <w:rFonts w:eastAsia="Times New Roman" w:cs="Times New Roman"/>
        </w:rPr>
        <w:footnoteReference w:id="784"/>
      </w:r>
      <w:r w:rsidR="00C93CC0" w:rsidRPr="00B740B4">
        <w:rPr>
          <w:rFonts w:eastAsia="Times New Roman" w:cs="Times New Roman"/>
        </w:rPr>
        <w:t xml:space="preserve"> free to take on a</w:t>
      </w:r>
      <w:r w:rsidR="002D6E5F" w:rsidRPr="00B740B4">
        <w:rPr>
          <w:rFonts w:eastAsia="Times New Roman" w:cs="Times New Roman"/>
        </w:rPr>
        <w:t>nother yoke, but an easier one (</w:t>
      </w:r>
      <w:r w:rsidR="00C93CC0" w:rsidRPr="00B740B4">
        <w:rPr>
          <w:rFonts w:eastAsia="Times New Roman" w:cs="Times New Roman"/>
        </w:rPr>
        <w:t>Matt 11:28</w:t>
      </w:r>
      <w:r w:rsidR="00C93CC0" w:rsidRPr="00B740B4">
        <w:rPr>
          <w:rFonts w:ascii="Calibri" w:eastAsia="Times New Roman" w:hAnsi="Calibri" w:cs="Calibri"/>
        </w:rPr>
        <w:t>–</w:t>
      </w:r>
      <w:r w:rsidR="002D6E5F" w:rsidRPr="00B740B4">
        <w:rPr>
          <w:rFonts w:eastAsia="Times New Roman" w:cs="Times New Roman"/>
        </w:rPr>
        <w:t>30</w:t>
      </w:r>
      <w:r w:rsidR="00C93CC0" w:rsidRPr="00B740B4">
        <w:rPr>
          <w:rFonts w:eastAsia="Times New Roman" w:cs="Times New Roman"/>
        </w:rPr>
        <w:t xml:space="preserve">). </w:t>
      </w:r>
      <w:r w:rsidR="005D2D9C" w:rsidRPr="00B740B4">
        <w:rPr>
          <w:rFonts w:eastAsia="Times New Roman" w:cs="Times New Roman"/>
        </w:rPr>
        <w:t xml:space="preserve">“In short, the Babylonian emperor must no longer behave like a Babylonian emperor.” </w:t>
      </w:r>
      <w:r w:rsidR="00C93CC0" w:rsidRPr="00B740B4">
        <w:rPr>
          <w:rFonts w:eastAsia="Times New Roman" w:cs="Times New Roman"/>
        </w:rPr>
        <w:t>Daniel assumes that a regime</w:t>
      </w:r>
      <w:r w:rsidR="005D2D9C" w:rsidRPr="00B740B4">
        <w:rPr>
          <w:rFonts w:eastAsia="Times New Roman" w:cs="Times New Roman"/>
        </w:rPr>
        <w:t xml:space="preserve"> that puts faithfulness</w:t>
      </w:r>
      <w:r w:rsidR="00C93CC0" w:rsidRPr="00B740B4">
        <w:rPr>
          <w:rFonts w:eastAsia="Times New Roman" w:cs="Times New Roman"/>
        </w:rPr>
        <w:t xml:space="preserve"> first will </w:t>
      </w:r>
      <w:r w:rsidR="002F40E3" w:rsidRPr="00B740B4">
        <w:rPr>
          <w:rFonts w:eastAsia="Times New Roman" w:cs="Times New Roman"/>
        </w:rPr>
        <w:t xml:space="preserve">then </w:t>
      </w:r>
      <w:r w:rsidR="00C93CC0" w:rsidRPr="00B740B4">
        <w:rPr>
          <w:rFonts w:eastAsia="Times New Roman" w:cs="Times New Roman"/>
        </w:rPr>
        <w:t>itself prosper.</w:t>
      </w:r>
    </w:p>
    <w:p w:rsidR="00E37500" w:rsidRPr="00B740B4" w:rsidRDefault="002D6E5F" w:rsidP="006010BB">
      <w:pPr>
        <w:widowControl w:val="0"/>
        <w:rPr>
          <w:rFonts w:eastAsia="Times New Roman" w:cs="Times New Roman"/>
        </w:rPr>
      </w:pPr>
      <w:r w:rsidRPr="00B740B4">
        <w:rPr>
          <w:rFonts w:eastAsia="Times New Roman" w:cs="Times New Roman"/>
          <w:b/>
        </w:rPr>
        <w:t>28–33</w:t>
      </w:r>
      <w:r w:rsidR="00C93CC0" w:rsidRPr="00B740B4">
        <w:rPr>
          <w:rFonts w:eastAsia="Times New Roman" w:cs="Times New Roman"/>
        </w:rPr>
        <w:t xml:space="preserve"> </w:t>
      </w:r>
      <w:r w:rsidR="00645EE8" w:rsidRPr="00B740B4">
        <w:rPr>
          <w:rFonts w:eastAsia="Times New Roman" w:cs="Times New Roman"/>
        </w:rPr>
        <w:t xml:space="preserve">“Daniel disappears from the account at this point”; there is no reference to </w:t>
      </w:r>
      <w:r w:rsidR="0000425B" w:rsidRPr="00B740B4">
        <w:rPr>
          <w:rFonts w:eastAsia="Times New Roman" w:cs="Times New Roman"/>
        </w:rPr>
        <w:t>Ne</w:t>
      </w:r>
      <w:r w:rsidR="005374BB">
        <w:rPr>
          <w:rFonts w:eastAsia="Times New Roman" w:cs="Times New Roman"/>
        </w:rPr>
        <w:t>buchadnezzar acknowledging him.</w:t>
      </w:r>
      <w:r w:rsidR="0000425B" w:rsidRPr="00B740B4">
        <w:rPr>
          <w:rStyle w:val="FootnoteReference"/>
          <w:rFonts w:eastAsia="Times New Roman" w:cs="Times New Roman"/>
        </w:rPr>
        <w:footnoteReference w:id="785"/>
      </w:r>
      <w:r w:rsidR="0000425B" w:rsidRPr="00B740B4">
        <w:rPr>
          <w:rFonts w:eastAsia="Times New Roman" w:cs="Times New Roman"/>
        </w:rPr>
        <w:t xml:space="preserve"> </w:t>
      </w:r>
      <w:r w:rsidR="002F40E3" w:rsidRPr="00B740B4">
        <w:rPr>
          <w:rFonts w:eastAsia="Times New Roman" w:cs="Times New Roman"/>
        </w:rPr>
        <w:t xml:space="preserve">In Jonah, </w:t>
      </w:r>
      <w:r w:rsidR="00C93CC0" w:rsidRPr="00B740B4">
        <w:rPr>
          <w:rFonts w:eastAsia="Times New Roman" w:cs="Times New Roman"/>
        </w:rPr>
        <w:t>Nineveh received no explicit invitation to repent, yet Nineveh and its king knew that contrition, fasting, prayer, and reform were the appropriate responses to Jonah’s warning of</w:t>
      </w:r>
      <w:r w:rsidR="005374BB">
        <w:rPr>
          <w:rFonts w:eastAsia="Times New Roman" w:cs="Times New Roman"/>
        </w:rPr>
        <w:t xml:space="preserve"> </w:t>
      </w:r>
      <w:r w:rsidR="00C93CC0" w:rsidRPr="00B740B4">
        <w:rPr>
          <w:rFonts w:eastAsia="Times New Roman" w:cs="Times New Roman"/>
        </w:rPr>
        <w:t xml:space="preserve">judgment. </w:t>
      </w:r>
      <w:r w:rsidR="002F40E3" w:rsidRPr="00B740B4">
        <w:rPr>
          <w:rFonts w:eastAsia="Times New Roman" w:cs="Times New Roman"/>
        </w:rPr>
        <w:t>Nineveh and its king we</w:t>
      </w:r>
      <w:r w:rsidR="00025655" w:rsidRPr="00B740B4">
        <w:rPr>
          <w:rFonts w:eastAsia="Times New Roman" w:cs="Times New Roman"/>
        </w:rPr>
        <w:t>re given forty day</w:t>
      </w:r>
      <w:r w:rsidR="005374BB">
        <w:rPr>
          <w:rFonts w:eastAsia="Times New Roman" w:cs="Times New Roman"/>
        </w:rPr>
        <w:t>s to turn from their wrongdoing;</w:t>
      </w:r>
      <w:r w:rsidR="00025655" w:rsidRPr="00B740B4">
        <w:rPr>
          <w:rFonts w:eastAsia="Times New Roman" w:cs="Times New Roman"/>
        </w:rPr>
        <w:t xml:space="preserve"> Nebuchadnezzar is apparently given a year. </w:t>
      </w:r>
      <w:r w:rsidR="002F40E3" w:rsidRPr="00B740B4">
        <w:rPr>
          <w:rFonts w:eastAsia="Times New Roman" w:cs="Times New Roman"/>
        </w:rPr>
        <w:t>But i</w:t>
      </w:r>
      <w:r w:rsidRPr="00B740B4">
        <w:rPr>
          <w:rFonts w:eastAsia="Times New Roman" w:cs="Times New Roman"/>
        </w:rPr>
        <w:t>n contrast to the king of Nineveh, t</w:t>
      </w:r>
      <w:r w:rsidR="00C93CC0" w:rsidRPr="00B740B4">
        <w:rPr>
          <w:rFonts w:eastAsia="Times New Roman" w:cs="Times New Roman"/>
        </w:rPr>
        <w:t xml:space="preserve">he king </w:t>
      </w:r>
      <w:r w:rsidRPr="00B740B4">
        <w:rPr>
          <w:rFonts w:eastAsia="Times New Roman" w:cs="Times New Roman"/>
        </w:rPr>
        <w:t>of Babylon</w:t>
      </w:r>
      <w:r w:rsidR="00C93CC0" w:rsidRPr="00B740B4">
        <w:rPr>
          <w:rFonts w:eastAsia="Times New Roman" w:cs="Times New Roman"/>
        </w:rPr>
        <w:t xml:space="preserve"> apparently </w:t>
      </w:r>
      <w:r w:rsidR="002F40E3" w:rsidRPr="00B740B4">
        <w:rPr>
          <w:rFonts w:eastAsia="Times New Roman" w:cs="Times New Roman"/>
        </w:rPr>
        <w:t>makes no response to the warn</w:t>
      </w:r>
      <w:r w:rsidRPr="00B740B4">
        <w:rPr>
          <w:rFonts w:eastAsia="Times New Roman" w:cs="Times New Roman"/>
        </w:rPr>
        <w:t>ing he has received</w:t>
      </w:r>
      <w:r w:rsidR="002F40E3" w:rsidRPr="00B740B4">
        <w:rPr>
          <w:rFonts w:eastAsia="Times New Roman" w:cs="Times New Roman"/>
        </w:rPr>
        <w:t>,</w:t>
      </w:r>
      <w:r w:rsidRPr="00B740B4">
        <w:rPr>
          <w:rFonts w:eastAsia="Times New Roman" w:cs="Times New Roman"/>
        </w:rPr>
        <w:t xml:space="preserve"> and </w:t>
      </w:r>
      <w:r w:rsidR="002F40E3" w:rsidRPr="00B740B4">
        <w:rPr>
          <w:rFonts w:eastAsia="Times New Roman" w:cs="Times New Roman"/>
        </w:rPr>
        <w:t xml:space="preserve">he </w:t>
      </w:r>
      <w:r w:rsidR="00C93CC0" w:rsidRPr="00B740B4">
        <w:rPr>
          <w:rFonts w:eastAsia="Times New Roman" w:cs="Times New Roman"/>
        </w:rPr>
        <w:t xml:space="preserve">continues to enjoy the life of a successful monarch, the life he describes at </w:t>
      </w:r>
      <w:r w:rsidRPr="00B740B4">
        <w:rPr>
          <w:rFonts w:eastAsia="Times New Roman" w:cs="Times New Roman"/>
        </w:rPr>
        <w:t>the beginning of his story (v 4)</w:t>
      </w:r>
      <w:r w:rsidR="00C93CC0" w:rsidRPr="00B740B4">
        <w:rPr>
          <w:rFonts w:eastAsia="Times New Roman" w:cs="Times New Roman"/>
        </w:rPr>
        <w:t xml:space="preserve">. </w:t>
      </w:r>
      <w:r w:rsidR="00E37500" w:rsidRPr="00B740B4">
        <w:rPr>
          <w:rFonts w:eastAsia="Times New Roman" w:cs="Times New Roman"/>
        </w:rPr>
        <w:t>He provides an anticipatory example of Paul’s charge in Rom 2:4-9.</w:t>
      </w:r>
      <w:r w:rsidR="00E37500" w:rsidRPr="00B740B4">
        <w:rPr>
          <w:rStyle w:val="FootnoteReference"/>
          <w:rFonts w:eastAsia="Times New Roman" w:cs="Times New Roman"/>
        </w:rPr>
        <w:footnoteReference w:id="786"/>
      </w:r>
    </w:p>
    <w:p w:rsidR="00C93CC0" w:rsidRPr="00B740B4" w:rsidRDefault="002D689F" w:rsidP="006010BB">
      <w:pPr>
        <w:widowControl w:val="0"/>
        <w:rPr>
          <w:rFonts w:eastAsia="Times New Roman" w:cs="Times New Roman"/>
        </w:rPr>
      </w:pPr>
      <w:r w:rsidRPr="00B740B4">
        <w:rPr>
          <w:rFonts w:eastAsia="Times New Roman" w:cs="Times New Roman"/>
        </w:rPr>
        <w:t>Nebuchadnezzar had built an empire, built a culture, built a educated, multi-cultural administration—and he had built a city.</w:t>
      </w:r>
      <w:r w:rsidRPr="00B740B4">
        <w:rPr>
          <w:rStyle w:val="FootnoteReference"/>
          <w:rFonts w:eastAsia="Times New Roman" w:cs="Times New Roman"/>
        </w:rPr>
        <w:footnoteReference w:id="787"/>
      </w:r>
      <w:r w:rsidR="002F40E3" w:rsidRPr="00B740B4">
        <w:rPr>
          <w:rFonts w:eastAsia="Times New Roman" w:cs="Times New Roman"/>
        </w:rPr>
        <w:t xml:space="preserve"> </w:t>
      </w:r>
      <w:r w:rsidR="00C93CC0" w:rsidRPr="00B740B4">
        <w:rPr>
          <w:rFonts w:eastAsia="Times New Roman" w:cs="Times New Roman"/>
        </w:rPr>
        <w:t xml:space="preserve">His sense of achievement over his building projects in Babylon is quite justified, yet </w:t>
      </w:r>
      <w:r w:rsidR="002D6E5F" w:rsidRPr="00B740B4">
        <w:rPr>
          <w:rFonts w:eastAsia="Times New Roman" w:cs="Times New Roman"/>
        </w:rPr>
        <w:t>it is precisely this s</w:t>
      </w:r>
      <w:r w:rsidR="00E37500" w:rsidRPr="00B740B4">
        <w:rPr>
          <w:rFonts w:eastAsia="Times New Roman" w:cs="Times New Roman"/>
        </w:rPr>
        <w:t>ense of achievement that appare</w:t>
      </w:r>
      <w:r w:rsidR="002D6E5F" w:rsidRPr="00B740B4">
        <w:rPr>
          <w:rFonts w:eastAsia="Times New Roman" w:cs="Times New Roman"/>
        </w:rPr>
        <w:t xml:space="preserve">ntly </w:t>
      </w:r>
      <w:r w:rsidR="00C93CC0" w:rsidRPr="00B740B4">
        <w:rPr>
          <w:rFonts w:eastAsia="Times New Roman" w:cs="Times New Roman"/>
        </w:rPr>
        <w:t>leads to his downfall. Perhaps his concern with his own kingship hindered him from seriously</w:t>
      </w:r>
      <w:r w:rsidR="002D6E5F" w:rsidRPr="00B740B4">
        <w:rPr>
          <w:rFonts w:eastAsia="Times New Roman" w:cs="Times New Roman"/>
        </w:rPr>
        <w:t xml:space="preserve"> acknowledging God’s (cf. v 25</w:t>
      </w:r>
      <w:r w:rsidR="00C93CC0" w:rsidRPr="00B740B4">
        <w:rPr>
          <w:rFonts w:eastAsia="Times New Roman" w:cs="Times New Roman"/>
        </w:rPr>
        <w:t>), though again there is no explicit reference to pride on Nebuchadnezzar’s part (contrast Isa 14; Ezek 28; Acts 12:22–23). Perhaps the attention he gave to building projects should have been given to a c</w:t>
      </w:r>
      <w:r w:rsidR="00263A61" w:rsidRPr="00B740B4">
        <w:rPr>
          <w:rFonts w:eastAsia="Times New Roman" w:cs="Times New Roman"/>
        </w:rPr>
        <w:t>oncern for the needy (cf. v 27</w:t>
      </w:r>
      <w:r w:rsidR="005374BB">
        <w:rPr>
          <w:rFonts w:eastAsia="Times New Roman" w:cs="Times New Roman"/>
        </w:rPr>
        <w:t>)</w:t>
      </w:r>
      <w:r w:rsidR="00263A61" w:rsidRPr="00B740B4">
        <w:rPr>
          <w:rFonts w:eastAsia="Times New Roman" w:cs="Times New Roman"/>
        </w:rPr>
        <w:t>. “He heard the lowly coming to the door and crying out. He said, ‘What is the sound of this multitude in my ears?’ His servants said to him, ‘The lowly for whom you arranged a time for their provision.’” B</w:t>
      </w:r>
      <w:r w:rsidR="005374BB">
        <w:rPr>
          <w:rFonts w:eastAsia="Times New Roman" w:cs="Times New Roman"/>
        </w:rPr>
        <w:t>ut if he fed them, he pointed</w:t>
      </w:r>
      <w:r w:rsidR="00263A61" w:rsidRPr="00B740B4">
        <w:rPr>
          <w:rFonts w:eastAsia="Times New Roman" w:cs="Times New Roman"/>
        </w:rPr>
        <w:t xml:space="preserve"> out, he wouldn’t have been able to build great </w:t>
      </w:r>
      <w:r w:rsidR="00263A61" w:rsidRPr="00B740B4">
        <w:rPr>
          <w:rFonts w:eastAsia="Times New Roman" w:cs="Times New Roman"/>
        </w:rPr>
        <w:lastRenderedPageBreak/>
        <w:t>Babylon.</w:t>
      </w:r>
      <w:r w:rsidR="00263A61" w:rsidRPr="00B740B4">
        <w:rPr>
          <w:rFonts w:eastAsia="Times New Roman" w:cs="Times New Roman"/>
          <w:vertAlign w:val="superscript"/>
        </w:rPr>
        <w:footnoteReference w:id="788"/>
      </w:r>
      <w:r w:rsidR="00263A61" w:rsidRPr="00B740B4">
        <w:rPr>
          <w:rFonts w:eastAsia="Times New Roman" w:cs="Times New Roman"/>
        </w:rPr>
        <w:t xml:space="preserve"> O</w:t>
      </w:r>
      <w:r w:rsidR="00C93CC0" w:rsidRPr="00B740B4">
        <w:rPr>
          <w:rFonts w:eastAsia="Times New Roman" w:cs="Times New Roman"/>
        </w:rPr>
        <w:t>r per</w:t>
      </w:r>
      <w:r w:rsidR="002D6E5F" w:rsidRPr="00B740B4">
        <w:rPr>
          <w:rFonts w:eastAsia="Times New Roman" w:cs="Times New Roman"/>
        </w:rPr>
        <w:t>haps the sense of achievement over</w:t>
      </w:r>
      <w:r w:rsidR="00C93CC0" w:rsidRPr="00B740B4">
        <w:rPr>
          <w:rFonts w:eastAsia="Times New Roman" w:cs="Times New Roman"/>
        </w:rPr>
        <w:t xml:space="preserve"> these </w:t>
      </w:r>
      <w:r w:rsidR="002D6E5F" w:rsidRPr="00B740B4">
        <w:rPr>
          <w:rFonts w:eastAsia="Times New Roman" w:cs="Times New Roman"/>
        </w:rPr>
        <w:t xml:space="preserve">projects </w:t>
      </w:r>
      <w:r w:rsidR="00C93CC0" w:rsidRPr="00B740B4">
        <w:rPr>
          <w:rFonts w:eastAsia="Times New Roman" w:cs="Times New Roman"/>
        </w:rPr>
        <w:t>has usurped the place of a desire for a</w:t>
      </w:r>
      <w:r w:rsidR="002D6E5F" w:rsidRPr="00B740B4">
        <w:rPr>
          <w:rFonts w:eastAsia="Times New Roman" w:cs="Times New Roman"/>
        </w:rPr>
        <w:t xml:space="preserve"> sense of </w:t>
      </w:r>
      <w:r w:rsidR="00C93CC0" w:rsidRPr="00B740B4">
        <w:rPr>
          <w:rFonts w:eastAsia="Times New Roman" w:cs="Times New Roman"/>
        </w:rPr>
        <w:t>achievements in the a</w:t>
      </w:r>
      <w:r w:rsidR="00263A61" w:rsidRPr="00B740B4">
        <w:rPr>
          <w:rFonts w:eastAsia="Times New Roman" w:cs="Times New Roman"/>
        </w:rPr>
        <w:t xml:space="preserve">rea of faithfulness </w:t>
      </w:r>
      <w:r w:rsidR="002D4FFF" w:rsidRPr="00B740B4">
        <w:rPr>
          <w:rFonts w:eastAsia="Times New Roman" w:cs="Times New Roman"/>
        </w:rPr>
        <w:t xml:space="preserve">towards </w:t>
      </w:r>
      <w:r w:rsidR="00263A61" w:rsidRPr="00B740B4">
        <w:rPr>
          <w:rFonts w:eastAsia="Times New Roman" w:cs="Times New Roman"/>
        </w:rPr>
        <w:t>his people</w:t>
      </w:r>
      <w:r w:rsidR="00C93CC0" w:rsidRPr="00B740B4">
        <w:rPr>
          <w:rFonts w:eastAsia="Times New Roman" w:cs="Times New Roman"/>
        </w:rPr>
        <w:t xml:space="preserve"> (cf. Jehoiakim, Jer 22:13–19). Human ki</w:t>
      </w:r>
      <w:r w:rsidR="00263A61" w:rsidRPr="00B740B4">
        <w:rPr>
          <w:rFonts w:eastAsia="Times New Roman" w:cs="Times New Roman"/>
        </w:rPr>
        <w:t>ngship is called to reflect the kingship</w:t>
      </w:r>
      <w:r w:rsidR="00C93CC0" w:rsidRPr="00B740B4">
        <w:rPr>
          <w:rFonts w:eastAsia="Times New Roman" w:cs="Times New Roman"/>
        </w:rPr>
        <w:t xml:space="preserve"> of the God who works through it, and to reflect his priorities. Yet further, </w:t>
      </w:r>
      <w:r w:rsidR="002D6E5F" w:rsidRPr="00B740B4">
        <w:rPr>
          <w:rFonts w:eastAsia="Times New Roman" w:cs="Times New Roman"/>
        </w:rPr>
        <w:t xml:space="preserve">even in the absence of pride, </w:t>
      </w:r>
      <w:r w:rsidR="00C93CC0" w:rsidRPr="00B740B4">
        <w:rPr>
          <w:rFonts w:eastAsia="Times New Roman" w:cs="Times New Roman"/>
        </w:rPr>
        <w:t xml:space="preserve">perhaps anything </w:t>
      </w:r>
      <w:r w:rsidR="00263A61" w:rsidRPr="00B740B4">
        <w:rPr>
          <w:rFonts w:eastAsia="Times New Roman" w:cs="Times New Roman"/>
        </w:rPr>
        <w:t>that or anyone who</w:t>
      </w:r>
      <w:r w:rsidR="00C93CC0" w:rsidRPr="00B740B4">
        <w:rPr>
          <w:rFonts w:eastAsia="Times New Roman" w:cs="Times New Roman"/>
        </w:rPr>
        <w:t xml:space="preserve"> becomes great threatens b</w:t>
      </w:r>
      <w:r w:rsidR="002D6E5F" w:rsidRPr="00B740B4">
        <w:rPr>
          <w:rFonts w:eastAsia="Times New Roman" w:cs="Times New Roman"/>
        </w:rPr>
        <w:t xml:space="preserve">y that very fact </w:t>
      </w:r>
      <w:r w:rsidR="00C93CC0" w:rsidRPr="00B740B4">
        <w:rPr>
          <w:rFonts w:eastAsia="Times New Roman" w:cs="Times New Roman"/>
        </w:rPr>
        <w:t>to ri</w:t>
      </w:r>
      <w:r w:rsidR="005374BB">
        <w:rPr>
          <w:rFonts w:eastAsia="Times New Roman" w:cs="Times New Roman"/>
        </w:rPr>
        <w:t>val the greatness of God</w:t>
      </w:r>
      <w:r w:rsidR="00C93CC0" w:rsidRPr="00B740B4">
        <w:rPr>
          <w:rFonts w:eastAsia="Times New Roman" w:cs="Times New Roman"/>
        </w:rPr>
        <w:t xml:space="preserve"> (for “great Babylon,” cf. Rev 18:2). Whenever human beings rejoice in success and achievement, they may be a</w:t>
      </w:r>
      <w:r w:rsidR="002D6E5F" w:rsidRPr="00B740B4">
        <w:rPr>
          <w:rFonts w:eastAsia="Times New Roman" w:cs="Times New Roman"/>
        </w:rPr>
        <w:t xml:space="preserve">bout to experience the </w:t>
      </w:r>
      <w:r w:rsidR="00C93CC0" w:rsidRPr="00B740B4">
        <w:rPr>
          <w:rFonts w:eastAsia="Times New Roman" w:cs="Times New Roman"/>
        </w:rPr>
        <w:t>action of God to remind them and the world of their place as mere creatures before his</w:t>
      </w:r>
      <w:r w:rsidR="002D6E5F" w:rsidRPr="00B740B4">
        <w:rPr>
          <w:rFonts w:eastAsia="Times New Roman" w:cs="Times New Roman"/>
        </w:rPr>
        <w:t xml:space="preserve"> majesty</w:t>
      </w:r>
      <w:r w:rsidR="00C93CC0" w:rsidRPr="00B740B4">
        <w:rPr>
          <w:rFonts w:eastAsia="Times New Roman" w:cs="Times New Roman"/>
        </w:rPr>
        <w:t xml:space="preserve">, the only true majesty. Absolute human power and achievement are only relative in relation to God’s power. Being rich in earthly possessions and achievements must not take the place of being rich </w:t>
      </w:r>
      <w:r w:rsidR="002D4FFF" w:rsidRPr="00B740B4">
        <w:rPr>
          <w:rFonts w:eastAsia="Times New Roman" w:cs="Times New Roman"/>
        </w:rPr>
        <w:t xml:space="preserve">towards </w:t>
      </w:r>
      <w:r w:rsidR="00C93CC0" w:rsidRPr="00B740B4">
        <w:rPr>
          <w:rFonts w:eastAsia="Times New Roman" w:cs="Times New Roman"/>
        </w:rPr>
        <w:t>God (Luke 12:16–21).</w:t>
      </w:r>
      <w:r w:rsidR="00263A61" w:rsidRPr="00B740B4">
        <w:rPr>
          <w:rFonts w:eastAsia="Times New Roman" w:cs="Times New Roman"/>
        </w:rPr>
        <w:t xml:space="preserve"> God characteristically shames the wise and strong by means of the apparently weak and foolish (1 Cor 1:27).</w:t>
      </w:r>
      <w:r w:rsidR="00263A61" w:rsidRPr="00B740B4">
        <w:rPr>
          <w:rFonts w:eastAsia="Times New Roman" w:cs="Times New Roman"/>
          <w:vertAlign w:val="superscript"/>
        </w:rPr>
        <w:footnoteReference w:id="789"/>
      </w:r>
    </w:p>
    <w:p w:rsidR="00263A61" w:rsidRPr="00B740B4" w:rsidRDefault="00C93CC0" w:rsidP="00263A61">
      <w:pPr>
        <w:widowControl w:val="0"/>
        <w:rPr>
          <w:rFonts w:eastAsia="Times New Roman" w:cs="Times New Roman"/>
        </w:rPr>
      </w:pPr>
      <w:r w:rsidRPr="00B740B4">
        <w:rPr>
          <w:rFonts w:eastAsia="Times New Roman" w:cs="Times New Roman"/>
        </w:rPr>
        <w:t>Nebuchadnezzar’s banishment from human society into the wild is his personal and royal experience of that banishment experienced by the OT’s first human beings (that, too,</w:t>
      </w:r>
      <w:r w:rsidR="005374BB">
        <w:rPr>
          <w:rFonts w:eastAsia="Times New Roman" w:cs="Times New Roman"/>
        </w:rPr>
        <w:t xml:space="preserve"> being</w:t>
      </w:r>
      <w:r w:rsidRPr="00B740B4">
        <w:rPr>
          <w:rFonts w:eastAsia="Times New Roman" w:cs="Times New Roman"/>
        </w:rPr>
        <w:t xml:space="preserve"> a story about a quasi-royal figure, and involving a tree of life). “The words were still on the king’s lips” balances “on </w:t>
      </w:r>
      <w:r w:rsidR="005374BB">
        <w:rPr>
          <w:rFonts w:eastAsia="Times New Roman" w:cs="Times New Roman"/>
        </w:rPr>
        <w:t>the day that you eat of it</w:t>
      </w:r>
      <w:r w:rsidRPr="00B740B4">
        <w:rPr>
          <w:rFonts w:eastAsia="Times New Roman" w:cs="Times New Roman"/>
        </w:rPr>
        <w:t>” (c</w:t>
      </w:r>
      <w:r w:rsidR="002D6E5F" w:rsidRPr="00B740B4">
        <w:rPr>
          <w:rFonts w:eastAsia="Times New Roman" w:cs="Times New Roman"/>
        </w:rPr>
        <w:t>f. the “immediately” in Acts 12:23</w:t>
      </w:r>
      <w:r w:rsidRPr="00B740B4">
        <w:rPr>
          <w:rFonts w:eastAsia="Times New Roman" w:cs="Times New Roman"/>
        </w:rPr>
        <w:t>). A particular word or act, arguably no worse than many others, becomes the occasion of a devastating declaration of judgment. The original act of defiance meant banishment for all humanity; yet Adam and Eve’s fellow human beings often earn banishment from the alternative gardens they create for themselves. The desire to be like God led to humanity’s losing even its authority over the animals; yet the members of that humanity are sometimes transformed into beasts when they have sought to be like God (cf. also Ps 49</w:t>
      </w:r>
      <w:r w:rsidR="002D6E5F" w:rsidRPr="00B740B4">
        <w:rPr>
          <w:rFonts w:eastAsia="Times New Roman" w:cs="Times New Roman"/>
        </w:rPr>
        <w:t>:12, 20 [13, 21</w:t>
      </w:r>
      <w:r w:rsidRPr="00B740B4">
        <w:rPr>
          <w:rFonts w:eastAsia="Times New Roman" w:cs="Times New Roman"/>
        </w:rPr>
        <w:t>]).</w:t>
      </w:r>
      <w:r w:rsidR="002D6E5F" w:rsidRPr="00B740B4">
        <w:rPr>
          <w:rStyle w:val="FootnoteReference"/>
          <w:rFonts w:eastAsia="Times New Roman" w:cs="Times New Roman"/>
        </w:rPr>
        <w:footnoteReference w:id="790"/>
      </w:r>
      <w:r w:rsidRPr="00B740B4">
        <w:rPr>
          <w:rFonts w:eastAsia="Times New Roman" w:cs="Times New Roman"/>
        </w:rPr>
        <w:t xml:space="preserve"> Insanity can take the form of religious delusion, but in Nebuchadnezzar’s case it was irreligiou</w:t>
      </w:r>
      <w:r w:rsidR="00131E1B">
        <w:rPr>
          <w:rFonts w:eastAsia="Times New Roman" w:cs="Times New Roman"/>
        </w:rPr>
        <w:t>s delusion that lost him his real humanity</w:t>
      </w:r>
      <w:r w:rsidRPr="00B740B4">
        <w:rPr>
          <w:rFonts w:eastAsia="Times New Roman" w:cs="Times New Roman"/>
        </w:rPr>
        <w:t xml:space="preserve">. </w:t>
      </w:r>
      <w:r w:rsidR="00263A61" w:rsidRPr="00B740B4">
        <w:rPr>
          <w:rFonts w:eastAsia="Times New Roman" w:cs="Times New Roman"/>
        </w:rPr>
        <w:t>Within him “there is a deep vein of irrationality and even madness.”</w:t>
      </w:r>
      <w:r w:rsidR="00263A61" w:rsidRPr="00B740B4">
        <w:rPr>
          <w:rFonts w:eastAsia="Times New Roman" w:cs="Times New Roman"/>
          <w:vertAlign w:val="superscript"/>
        </w:rPr>
        <w:footnoteReference w:id="791"/>
      </w:r>
      <w:r w:rsidR="00263A61" w:rsidRPr="00B740B4">
        <w:rPr>
          <w:rFonts w:eastAsia="Times New Roman" w:cs="Times New Roman"/>
        </w:rPr>
        <w:t xml:space="preserve"> In other words, </w:t>
      </w:r>
      <w:r w:rsidR="00131E1B">
        <w:rPr>
          <w:rFonts w:eastAsia="Times New Roman" w:cs="Times New Roman"/>
        </w:rPr>
        <w:t>if the story speaks of madness, it</w:t>
      </w:r>
      <w:r w:rsidR="00263A61" w:rsidRPr="00B740B4">
        <w:rPr>
          <w:rFonts w:eastAsia="Times New Roman" w:cs="Times New Roman"/>
        </w:rPr>
        <w:t xml:space="preserve"> is making a theological point rather than a psychological one. </w:t>
      </w:r>
    </w:p>
    <w:p w:rsidR="00C93CC0" w:rsidRPr="00B740B4" w:rsidRDefault="00C93CC0" w:rsidP="006010BB">
      <w:pPr>
        <w:widowControl w:val="0"/>
        <w:rPr>
          <w:rFonts w:eastAsia="Times New Roman" w:cs="Times New Roman"/>
        </w:rPr>
      </w:pPr>
      <w:r w:rsidRPr="00B740B4">
        <w:rPr>
          <w:rFonts w:eastAsia="Times New Roman" w:cs="Times New Roman"/>
        </w:rPr>
        <w:t xml:space="preserve">The achievement and the splendor </w:t>
      </w:r>
      <w:r w:rsidR="00263A61" w:rsidRPr="00B740B4">
        <w:rPr>
          <w:rFonts w:eastAsia="Times New Roman" w:cs="Times New Roman"/>
        </w:rPr>
        <w:t xml:space="preserve">then </w:t>
      </w:r>
      <w:r w:rsidR="00131E1B">
        <w:rPr>
          <w:rFonts w:eastAsia="Times New Roman" w:cs="Times New Roman"/>
        </w:rPr>
        <w:t>suddenly seem</w:t>
      </w:r>
      <w:r w:rsidRPr="00B740B4">
        <w:rPr>
          <w:rFonts w:eastAsia="Times New Roman" w:cs="Times New Roman"/>
        </w:rPr>
        <w:t xml:space="preserve"> insignificant. Perhaps one should say</w:t>
      </w:r>
      <w:r w:rsidR="00263A61" w:rsidRPr="00B740B4">
        <w:rPr>
          <w:rFonts w:eastAsia="Times New Roman" w:cs="Times New Roman"/>
        </w:rPr>
        <w:t xml:space="preserve"> that the true insanity belonged to the Nebuchadnezzar who had</w:t>
      </w:r>
      <w:r w:rsidRPr="00B740B4">
        <w:rPr>
          <w:rFonts w:eastAsia="Times New Roman" w:cs="Times New Roman"/>
        </w:rPr>
        <w:t xml:space="preserve"> earlier been talking as if he were the eternal king and </w:t>
      </w:r>
      <w:r w:rsidR="00714EB6" w:rsidRPr="00B740B4">
        <w:rPr>
          <w:rFonts w:eastAsia="Times New Roman" w:cs="Times New Roman"/>
        </w:rPr>
        <w:t xml:space="preserve">as if </w:t>
      </w:r>
      <w:r w:rsidRPr="00B740B4">
        <w:rPr>
          <w:rFonts w:eastAsia="Times New Roman" w:cs="Times New Roman"/>
        </w:rPr>
        <w:t>God di</w:t>
      </w:r>
      <w:r w:rsidR="00131E1B">
        <w:rPr>
          <w:rFonts w:eastAsia="Times New Roman" w:cs="Times New Roman"/>
        </w:rPr>
        <w:t>d not exist. His outwardly weird behavior</w:t>
      </w:r>
      <w:r w:rsidRPr="00B740B4">
        <w:rPr>
          <w:rFonts w:eastAsia="Times New Roman" w:cs="Times New Roman"/>
        </w:rPr>
        <w:t xml:space="preserve"> is the external expression of a delusion </w:t>
      </w:r>
      <w:r w:rsidR="00714EB6" w:rsidRPr="00B740B4">
        <w:rPr>
          <w:rFonts w:eastAsia="Times New Roman" w:cs="Times New Roman"/>
        </w:rPr>
        <w:t xml:space="preserve">of which </w:t>
      </w:r>
      <w:r w:rsidRPr="00B740B4">
        <w:rPr>
          <w:rFonts w:eastAsia="Times New Roman" w:cs="Times New Roman"/>
        </w:rPr>
        <w:t>he has a</w:t>
      </w:r>
      <w:r w:rsidR="00714EB6" w:rsidRPr="00B740B4">
        <w:rPr>
          <w:rFonts w:eastAsia="Times New Roman" w:cs="Times New Roman"/>
        </w:rPr>
        <w:t>lready been the tragic victim</w:t>
      </w:r>
      <w:r w:rsidR="00FE4BDE" w:rsidRPr="00B740B4">
        <w:rPr>
          <w:rFonts w:eastAsia="Times New Roman" w:cs="Times New Roman"/>
        </w:rPr>
        <w:t>. Only a madm</w:t>
      </w:r>
      <w:r w:rsidR="00CE25A5" w:rsidRPr="00B740B4">
        <w:rPr>
          <w:rFonts w:eastAsia="Times New Roman" w:cs="Times New Roman"/>
        </w:rPr>
        <w:t>a</w:t>
      </w:r>
      <w:r w:rsidRPr="00B740B4">
        <w:rPr>
          <w:rFonts w:eastAsia="Times New Roman" w:cs="Times New Roman"/>
        </w:rPr>
        <w:t xml:space="preserve">n thinks he is a king or an emperor: politics is the </w:t>
      </w:r>
      <w:r w:rsidR="00131E1B">
        <w:rPr>
          <w:rFonts w:eastAsia="Times New Roman" w:cs="Times New Roman"/>
        </w:rPr>
        <w:t>house rules of a lunatic asylum</w:t>
      </w:r>
      <w:r w:rsidR="00A53064" w:rsidRPr="00B740B4">
        <w:rPr>
          <w:rFonts w:eastAsia="Times New Roman" w:cs="Times New Roman"/>
          <w:vertAlign w:val="superscript"/>
        </w:rPr>
        <w:footnoteReference w:id="792"/>
      </w:r>
      <w:r w:rsidR="00A53064" w:rsidRPr="00B740B4">
        <w:rPr>
          <w:rFonts w:eastAsia="Times New Roman" w:cs="Times New Roman"/>
        </w:rPr>
        <w:t xml:space="preserve"> </w:t>
      </w:r>
      <w:r w:rsidR="00131E1B">
        <w:rPr>
          <w:rFonts w:eastAsia="Times New Roman" w:cs="Times New Roman"/>
        </w:rPr>
        <w:t>(though</w:t>
      </w:r>
      <w:r w:rsidRPr="00B740B4">
        <w:rPr>
          <w:rFonts w:eastAsia="Times New Roman" w:cs="Times New Roman"/>
        </w:rPr>
        <w:t xml:space="preserve"> those rules are important, because they make the madness as little harmful as possible</w:t>
      </w:r>
      <w:r w:rsidR="00131E1B">
        <w:rPr>
          <w:rFonts w:eastAsia="Times New Roman" w:cs="Times New Roman"/>
        </w:rPr>
        <w:t>)</w:t>
      </w:r>
      <w:r w:rsidRPr="00B740B4">
        <w:rPr>
          <w:rFonts w:eastAsia="Times New Roman" w:cs="Times New Roman"/>
        </w:rPr>
        <w:t>.</w:t>
      </w:r>
    </w:p>
    <w:p w:rsidR="00F86724" w:rsidRPr="00B740B4" w:rsidRDefault="00A53064" w:rsidP="00F86724">
      <w:pPr>
        <w:widowControl w:val="0"/>
        <w:rPr>
          <w:rFonts w:eastAsia="Times New Roman" w:cs="Times New Roman"/>
        </w:rPr>
      </w:pPr>
      <w:r w:rsidRPr="00B740B4">
        <w:rPr>
          <w:rFonts w:eastAsia="Times New Roman" w:cs="Times New Roman"/>
          <w:b/>
        </w:rPr>
        <w:t>34–37</w:t>
      </w:r>
      <w:r w:rsidR="00C93CC0" w:rsidRPr="00B740B4">
        <w:rPr>
          <w:rFonts w:eastAsia="Times New Roman" w:cs="Times New Roman"/>
        </w:rPr>
        <w:t xml:space="preserve"> </w:t>
      </w:r>
      <w:r w:rsidR="00E6244C" w:rsidRPr="00B740B4">
        <w:rPr>
          <w:rFonts w:eastAsia="Times New Roman" w:cs="Times New Roman"/>
        </w:rPr>
        <w:t>As God demonstrated his power and his faithfulness to his word in bringing judgment on Nebuchadnezzar, so he does once again in bringing to an end the time of Nebuchadnezzar’s humiliation. We are not told that Nebuchadnezzar repented before he was restored; indeed, it would be difficult for a man in his condition to do so. The reason for the timing of his restoration lay in the will of God.</w:t>
      </w:r>
      <w:r w:rsidR="00F86724" w:rsidRPr="00B740B4">
        <w:rPr>
          <w:rFonts w:eastAsia="Times New Roman" w:cs="Times New Roman"/>
        </w:rPr>
        <w:t xml:space="preserve"> </w:t>
      </w:r>
    </w:p>
    <w:p w:rsidR="00F86724" w:rsidRPr="00B740B4" w:rsidRDefault="00F86724" w:rsidP="00F86724">
      <w:pPr>
        <w:widowControl w:val="0"/>
        <w:rPr>
          <w:rFonts w:eastAsia="Times New Roman" w:cs="Times New Roman"/>
        </w:rPr>
      </w:pPr>
      <w:r w:rsidRPr="00B740B4">
        <w:rPr>
          <w:rFonts w:eastAsia="Times New Roman" w:cs="Times New Roman"/>
        </w:rPr>
        <w:t>“Chapter 4 is a story about two sovereignties.”</w:t>
      </w:r>
      <w:r w:rsidRPr="00B740B4">
        <w:rPr>
          <w:rFonts w:eastAsia="Times New Roman" w:cs="Times New Roman"/>
          <w:vertAlign w:val="superscript"/>
        </w:rPr>
        <w:footnoteReference w:id="793"/>
      </w:r>
      <w:r w:rsidRPr="00B740B4">
        <w:rPr>
          <w:rFonts w:eastAsia="Times New Roman" w:cs="Times New Roman"/>
        </w:rPr>
        <w:t xml:space="preserve"> Nebuchadnezzar’s </w:t>
      </w:r>
      <w:r w:rsidR="00131E1B">
        <w:rPr>
          <w:rFonts w:eastAsia="Times New Roman" w:cs="Times New Roman"/>
        </w:rPr>
        <w:t xml:space="preserve">confession affirms that his </w:t>
      </w:r>
      <w:r w:rsidRPr="00B740B4">
        <w:rPr>
          <w:rFonts w:eastAsia="Times New Roman" w:cs="Times New Roman"/>
        </w:rPr>
        <w:t>rule can be suspended or term</w:t>
      </w:r>
      <w:r w:rsidR="00131E1B">
        <w:rPr>
          <w:rFonts w:eastAsia="Times New Roman" w:cs="Times New Roman"/>
        </w:rPr>
        <w:t xml:space="preserve">inated; God’s never is. His </w:t>
      </w:r>
      <w:r w:rsidRPr="00B740B4">
        <w:rPr>
          <w:rFonts w:eastAsia="Times New Roman" w:cs="Times New Roman"/>
        </w:rPr>
        <w:t xml:space="preserve">power can be cast aside as a mere feebleness; </w:t>
      </w:r>
      <w:r w:rsidRPr="00B740B4">
        <w:rPr>
          <w:rFonts w:eastAsia="Times New Roman" w:cs="Times New Roman"/>
          <w:i/>
        </w:rPr>
        <w:t>a fortiori</w:t>
      </w:r>
      <w:r w:rsidRPr="00B740B4">
        <w:rPr>
          <w:rFonts w:eastAsia="Times New Roman" w:cs="Times New Roman"/>
        </w:rPr>
        <w:t xml:space="preserve"> the power or opinion of other human beings counts for nothing. Supernatural lookouts scurry to implement God’s will</w:t>
      </w:r>
      <w:r w:rsidR="00131E1B">
        <w:rPr>
          <w:rFonts w:eastAsia="Times New Roman" w:cs="Times New Roman"/>
        </w:rPr>
        <w:t>; the forces of the heavens</w:t>
      </w:r>
      <w:r w:rsidRPr="00B740B4">
        <w:rPr>
          <w:rFonts w:eastAsia="Times New Roman" w:cs="Times New Roman"/>
        </w:rPr>
        <w:t>, are under his unquestioned command; the possibility of rebellion is hardly envisaged (see further Dan 10–12; contrast Isa 24:21). God rules in the heavens, but he also rules on the earth. Reader</w:t>
      </w:r>
      <w:r w:rsidR="00131E1B">
        <w:rPr>
          <w:rFonts w:eastAsia="Times New Roman" w:cs="Times New Roman"/>
        </w:rPr>
        <w:t xml:space="preserve">s of Dan 4 who are </w:t>
      </w:r>
      <w:r w:rsidRPr="00B740B4">
        <w:rPr>
          <w:rFonts w:eastAsia="Times New Roman" w:cs="Times New Roman"/>
        </w:rPr>
        <w:t xml:space="preserve">impressed by earthly powers, and perhaps by heavenly ones, may be encouraged to live by Nebuchadnezzar’s confession. Occasions such as the exodus or the return from exile (or the emptying of the tomb) demonstrate the kinglike authority </w:t>
      </w:r>
      <w:r w:rsidRPr="00B740B4">
        <w:rPr>
          <w:rFonts w:eastAsia="Times New Roman" w:cs="Times New Roman"/>
        </w:rPr>
        <w:lastRenderedPageBreak/>
        <w:t>of God and make it possible to continue to believe in it between times.</w:t>
      </w:r>
    </w:p>
    <w:p w:rsidR="00E6244C" w:rsidRPr="00B740B4" w:rsidRDefault="00E6244C" w:rsidP="006010BB">
      <w:pPr>
        <w:widowControl w:val="0"/>
        <w:rPr>
          <w:rFonts w:eastAsia="Times New Roman" w:cs="Times New Roman"/>
        </w:rPr>
      </w:pPr>
      <w:r w:rsidRPr="00B740B4">
        <w:rPr>
          <w:rFonts w:eastAsia="Times New Roman" w:cs="Times New Roman"/>
        </w:rPr>
        <w:t xml:space="preserve">In recounting </w:t>
      </w:r>
      <w:r w:rsidR="00131E1B">
        <w:rPr>
          <w:rFonts w:eastAsia="Times New Roman" w:cs="Times New Roman"/>
        </w:rPr>
        <w:t>how the restoration came about</w:t>
      </w:r>
      <w:r w:rsidR="00F86724" w:rsidRPr="00B740B4">
        <w:rPr>
          <w:rFonts w:eastAsia="Times New Roman" w:cs="Times New Roman"/>
        </w:rPr>
        <w:t xml:space="preserve">, </w:t>
      </w:r>
      <w:r w:rsidRPr="00B740B4">
        <w:rPr>
          <w:rFonts w:eastAsia="Times New Roman" w:cs="Times New Roman"/>
        </w:rPr>
        <w:t>the chapter closes with a retu</w:t>
      </w:r>
      <w:r w:rsidR="00F86724" w:rsidRPr="00B740B4">
        <w:rPr>
          <w:rFonts w:eastAsia="Times New Roman" w:cs="Times New Roman"/>
        </w:rPr>
        <w:t>rn to Nebuchadnezzar speaking, whic</w:t>
      </w:r>
      <w:r w:rsidR="00131E1B">
        <w:rPr>
          <w:rFonts w:eastAsia="Times New Roman" w:cs="Times New Roman"/>
        </w:rPr>
        <w:t xml:space="preserve">h complicates an understanding </w:t>
      </w:r>
      <w:r w:rsidR="00F86724" w:rsidRPr="00B740B4">
        <w:rPr>
          <w:rFonts w:eastAsia="Times New Roman" w:cs="Times New Roman"/>
        </w:rPr>
        <w:t>of it. W</w:t>
      </w:r>
      <w:r w:rsidRPr="00B740B4">
        <w:rPr>
          <w:rFonts w:eastAsia="Times New Roman" w:cs="Times New Roman"/>
        </w:rPr>
        <w:t>hen the narrator was speaking, we were presumably intended to believe what the narrative said. But when Nebuchadnezzar is speaking, it is a more open question whether we are expected to do so. And there are two ways of reading Nebuchadnezzar.</w:t>
      </w:r>
    </w:p>
    <w:p w:rsidR="0069336E" w:rsidRPr="0069336E" w:rsidRDefault="00E6244C" w:rsidP="0069336E">
      <w:pPr>
        <w:widowControl w:val="0"/>
        <w:rPr>
          <w:rFonts w:eastAsia="Times New Roman" w:cs="Times New Roman"/>
        </w:rPr>
      </w:pPr>
      <w:r w:rsidRPr="00B740B4">
        <w:rPr>
          <w:rFonts w:eastAsia="Times New Roman" w:cs="Times New Roman"/>
        </w:rPr>
        <w:t>One possibility is to take his words at face value. Their implication then is that “an attack of humility also led to sanity.”</w:t>
      </w:r>
      <w:r w:rsidRPr="00B740B4">
        <w:rPr>
          <w:rFonts w:eastAsia="Times New Roman" w:cs="Times New Roman"/>
          <w:vertAlign w:val="superscript"/>
        </w:rPr>
        <w:footnoteReference w:id="794"/>
      </w:r>
      <w:r w:rsidRPr="00B740B4">
        <w:rPr>
          <w:rFonts w:eastAsia="Times New Roman" w:cs="Times New Roman"/>
        </w:rPr>
        <w:t xml:space="preserve"> Nebuchadnezzar </w:t>
      </w:r>
      <w:r w:rsidR="00C93CC0" w:rsidRPr="00B740B4">
        <w:rPr>
          <w:rFonts w:eastAsia="Times New Roman" w:cs="Times New Roman"/>
        </w:rPr>
        <w:t>had looked over Bab</w:t>
      </w:r>
      <w:r w:rsidRPr="00B740B4">
        <w:rPr>
          <w:rFonts w:eastAsia="Times New Roman" w:cs="Times New Roman"/>
        </w:rPr>
        <w:t>ylon with a justifiable pride; n</w:t>
      </w:r>
      <w:r w:rsidR="00C93CC0" w:rsidRPr="00B740B4">
        <w:rPr>
          <w:rFonts w:eastAsia="Times New Roman" w:cs="Times New Roman"/>
        </w:rPr>
        <w:t xml:space="preserve">ow the determined period of his chastisement is over and he looks </w:t>
      </w:r>
      <w:r w:rsidRPr="00B740B4">
        <w:rPr>
          <w:rFonts w:eastAsia="Times New Roman" w:cs="Times New Roman"/>
        </w:rPr>
        <w:t xml:space="preserve">to God in recognition and need. </w:t>
      </w:r>
      <w:r w:rsidR="00C93CC0" w:rsidRPr="00B740B4">
        <w:rPr>
          <w:rFonts w:eastAsia="Times New Roman" w:cs="Times New Roman"/>
        </w:rPr>
        <w:t xml:space="preserve">God’s handling of him was effective. </w:t>
      </w:r>
      <w:r w:rsidR="0027518B" w:rsidRPr="00B740B4">
        <w:rPr>
          <w:rFonts w:eastAsia="Times New Roman" w:cs="Times New Roman"/>
        </w:rPr>
        <w:t>“</w:t>
      </w:r>
      <w:r w:rsidR="0027518B" w:rsidRPr="00B740B4">
        <w:rPr>
          <w:rFonts w:eastAsia="Times New Roman" w:cs="Times New Roman"/>
          <w:bCs/>
        </w:rPr>
        <w:t>The good news for Nebuchadnezzar—and for everyone made insane by power—is that the story turns…. The great usurper has come to his senses.”</w:t>
      </w:r>
      <w:r w:rsidR="0027518B" w:rsidRPr="00B740B4">
        <w:rPr>
          <w:rFonts w:eastAsia="Times New Roman" w:cs="Times New Roman"/>
          <w:bCs/>
          <w:vertAlign w:val="superscript"/>
        </w:rPr>
        <w:footnoteReference w:id="795"/>
      </w:r>
      <w:r w:rsidR="0027518B" w:rsidRPr="00B740B4">
        <w:rPr>
          <w:rFonts w:eastAsia="Times New Roman" w:cs="Times New Roman"/>
          <w:bCs/>
        </w:rPr>
        <w:t xml:space="preserve"> </w:t>
      </w:r>
      <w:r w:rsidR="00131E1B">
        <w:rPr>
          <w:rFonts w:eastAsia="Times New Roman" w:cs="Times New Roman"/>
        </w:rPr>
        <w:t>As was intended</w:t>
      </w:r>
      <w:r w:rsidR="001F74A9" w:rsidRPr="00B740B4">
        <w:rPr>
          <w:rFonts w:eastAsia="Times New Roman" w:cs="Times New Roman"/>
        </w:rPr>
        <w:t xml:space="preserve"> (vv 25, 32</w:t>
      </w:r>
      <w:r w:rsidR="00C93CC0" w:rsidRPr="00B740B4">
        <w:rPr>
          <w:rFonts w:eastAsia="Times New Roman" w:cs="Times New Roman"/>
        </w:rPr>
        <w:t xml:space="preserve">), dethronement and restoration have brought the earthly king to praise and confession before the </w:t>
      </w:r>
      <w:r w:rsidR="00155FA8" w:rsidRPr="00B740B4">
        <w:rPr>
          <w:rFonts w:eastAsia="Times New Roman" w:cs="Times New Roman"/>
        </w:rPr>
        <w:t>One On High</w:t>
      </w:r>
      <w:r w:rsidR="00C93CC0" w:rsidRPr="00B740B4">
        <w:rPr>
          <w:rFonts w:eastAsia="Times New Roman" w:cs="Times New Roman"/>
        </w:rPr>
        <w:t xml:space="preserve"> as the one whose kingship is never set aside. It is th</w:t>
      </w:r>
      <w:r w:rsidR="0027518B" w:rsidRPr="00B740B4">
        <w:rPr>
          <w:rFonts w:eastAsia="Times New Roman" w:cs="Times New Roman"/>
        </w:rPr>
        <w:t>e praise and confession that an</w:t>
      </w:r>
      <w:r w:rsidR="00C93CC0" w:rsidRPr="00B740B4">
        <w:rPr>
          <w:rFonts w:eastAsia="Times New Roman" w:cs="Times New Roman"/>
        </w:rPr>
        <w:t xml:space="preserve"> angel’s </w:t>
      </w:r>
      <w:r w:rsidR="0027518B" w:rsidRPr="00B740B4">
        <w:rPr>
          <w:rFonts w:eastAsia="Times New Roman" w:cs="Times New Roman"/>
        </w:rPr>
        <w:t>witness i</w:t>
      </w:r>
      <w:r w:rsidR="001F74A9" w:rsidRPr="00B740B4">
        <w:rPr>
          <w:rFonts w:eastAsia="Times New Roman" w:cs="Times New Roman"/>
        </w:rPr>
        <w:t>s designed to inspire.</w:t>
      </w:r>
      <w:r w:rsidR="001F74A9" w:rsidRPr="00B740B4">
        <w:rPr>
          <w:rStyle w:val="FootnoteReference"/>
          <w:rFonts w:eastAsia="Times New Roman" w:cs="Times New Roman"/>
        </w:rPr>
        <w:footnoteReference w:id="796"/>
      </w:r>
      <w:r w:rsidR="001F74A9" w:rsidRPr="00B740B4">
        <w:rPr>
          <w:rFonts w:eastAsia="Times New Roman" w:cs="Times New Roman"/>
        </w:rPr>
        <w:t xml:space="preserve"> </w:t>
      </w:r>
      <w:r w:rsidR="00C93CC0" w:rsidRPr="00B740B4">
        <w:rPr>
          <w:rFonts w:eastAsia="Times New Roman" w:cs="Times New Roman"/>
        </w:rPr>
        <w:t>Th</w:t>
      </w:r>
      <w:r w:rsidR="0027518B" w:rsidRPr="00B740B4">
        <w:rPr>
          <w:rFonts w:eastAsia="Times New Roman" w:cs="Times New Roman"/>
        </w:rPr>
        <w:t>us th</w:t>
      </w:r>
      <w:r w:rsidR="00C93CC0" w:rsidRPr="00B740B4">
        <w:rPr>
          <w:rFonts w:eastAsia="Times New Roman" w:cs="Times New Roman"/>
        </w:rPr>
        <w:t xml:space="preserve">e events follow a significant sequence. The time comes to an end; so the king turns to God for mercy; so God restores him to his full humanness; so he opens his mouth in fervent praise and worship. </w:t>
      </w:r>
      <w:r w:rsidR="004757B0" w:rsidRPr="00B740B4">
        <w:rPr>
          <w:rFonts w:eastAsia="Times New Roman" w:cs="Times New Roman"/>
        </w:rPr>
        <w:t>The “new Nebuchadnezzar” makes the confession appropriate to “Yahweh’s s</w:t>
      </w:r>
      <w:r w:rsidR="0027518B" w:rsidRPr="00B740B4">
        <w:rPr>
          <w:rFonts w:eastAsia="Times New Roman" w:cs="Times New Roman"/>
        </w:rPr>
        <w:t>ervant” (Jer 25:9; 27:6; 43:10),</w:t>
      </w:r>
      <w:r w:rsidR="004757B0" w:rsidRPr="00B740B4">
        <w:rPr>
          <w:rStyle w:val="FootnoteReference"/>
          <w:rFonts w:eastAsia="Times New Roman" w:cs="Times New Roman"/>
        </w:rPr>
        <w:footnoteReference w:id="797"/>
      </w:r>
      <w:r w:rsidR="0027518B" w:rsidRPr="00B740B4">
        <w:rPr>
          <w:rFonts w:eastAsia="Times New Roman" w:cs="Times New Roman"/>
        </w:rPr>
        <w:t xml:space="preserve"> </w:t>
      </w:r>
      <w:r w:rsidR="00C93CC0" w:rsidRPr="00B740B4">
        <w:rPr>
          <w:rFonts w:eastAsia="Times New Roman" w:cs="Times New Roman"/>
        </w:rPr>
        <w:t>the confess</w:t>
      </w:r>
      <w:r w:rsidR="00131E1B">
        <w:rPr>
          <w:rFonts w:eastAsia="Times New Roman" w:cs="Times New Roman"/>
        </w:rPr>
        <w:t xml:space="preserve">ion to which Isa 40:12-26 invites Judahites </w:t>
      </w:r>
      <w:r w:rsidR="00C93CC0" w:rsidRPr="00B740B4">
        <w:rPr>
          <w:rFonts w:eastAsia="Times New Roman" w:cs="Times New Roman"/>
        </w:rPr>
        <w:t xml:space="preserve">in </w:t>
      </w:r>
      <w:r w:rsidR="00131E1B">
        <w:rPr>
          <w:rFonts w:eastAsia="Times New Roman" w:cs="Times New Roman"/>
        </w:rPr>
        <w:t>Babylon</w:t>
      </w:r>
      <w:r w:rsidR="00C93CC0" w:rsidRPr="00B740B4">
        <w:rPr>
          <w:rFonts w:eastAsia="Times New Roman" w:cs="Times New Roman"/>
        </w:rPr>
        <w:t>.</w:t>
      </w:r>
      <w:r w:rsidR="001F74A9" w:rsidRPr="00B740B4">
        <w:rPr>
          <w:rStyle w:val="FootnoteReference"/>
          <w:rFonts w:eastAsia="Times New Roman" w:cs="Times New Roman"/>
        </w:rPr>
        <w:footnoteReference w:id="798"/>
      </w:r>
      <w:r w:rsidR="0027518B" w:rsidRPr="00B740B4">
        <w:rPr>
          <w:rFonts w:eastAsia="Times New Roman" w:cs="Times New Roman"/>
        </w:rPr>
        <w:t xml:space="preserve"> </w:t>
      </w:r>
      <w:r w:rsidR="00C93CC0" w:rsidRPr="00B740B4">
        <w:rPr>
          <w:rFonts w:eastAsia="Times New Roman" w:cs="Times New Roman"/>
        </w:rPr>
        <w:t>The confession of God as King might seem to leave no place for human government (cf. Judg 8:2</w:t>
      </w:r>
      <w:r w:rsidR="0027518B" w:rsidRPr="00B740B4">
        <w:rPr>
          <w:rFonts w:eastAsia="Times New Roman" w:cs="Times New Roman"/>
        </w:rPr>
        <w:t xml:space="preserve">3; 1 Sam 8:4–7; 12:12). But rather, </w:t>
      </w:r>
      <w:r w:rsidR="00C93CC0" w:rsidRPr="00B740B4">
        <w:rPr>
          <w:rFonts w:eastAsia="Times New Roman" w:cs="Times New Roman"/>
        </w:rPr>
        <w:t>the chapter continues to assume that if God’s kingship is acknow</w:t>
      </w:r>
      <w:r w:rsidR="0069336E">
        <w:rPr>
          <w:rFonts w:eastAsia="Times New Roman" w:cs="Times New Roman"/>
        </w:rPr>
        <w:t xml:space="preserve">ledged, human kingship can </w:t>
      </w:r>
      <w:r w:rsidR="00C93CC0" w:rsidRPr="00B740B4">
        <w:rPr>
          <w:rFonts w:eastAsia="Times New Roman" w:cs="Times New Roman"/>
        </w:rPr>
        <w:t xml:space="preserve">find its place. </w:t>
      </w:r>
      <w:r w:rsidR="00F86724" w:rsidRPr="00B740B4">
        <w:rPr>
          <w:rFonts w:eastAsia="Times New Roman" w:cs="Times New Roman"/>
        </w:rPr>
        <w:t>“Nebuchadnezzar is responsible for the way he handles power; he can set himself up as sovereign, or he can treat his sovereignty as d</w:t>
      </w:r>
      <w:r w:rsidR="0069336E">
        <w:rPr>
          <w:rFonts w:eastAsia="Times New Roman" w:cs="Times New Roman"/>
        </w:rPr>
        <w:t>erivative from God’s</w:t>
      </w:r>
      <w:r w:rsidR="00F86724" w:rsidRPr="00B740B4">
        <w:rPr>
          <w:rFonts w:eastAsia="Times New Roman" w:cs="Times New Roman"/>
        </w:rPr>
        <w:t>.”</w:t>
      </w:r>
      <w:r w:rsidR="00F86724" w:rsidRPr="00B740B4">
        <w:rPr>
          <w:rFonts w:eastAsia="Times New Roman" w:cs="Times New Roman"/>
          <w:vertAlign w:val="superscript"/>
        </w:rPr>
        <w:footnoteReference w:id="799"/>
      </w:r>
      <w:r w:rsidR="00F86724" w:rsidRPr="00B740B4">
        <w:rPr>
          <w:rFonts w:eastAsia="Times New Roman" w:cs="Times New Roman"/>
        </w:rPr>
        <w:t xml:space="preserve"> </w:t>
      </w:r>
      <w:r w:rsidR="00C93CC0" w:rsidRPr="00B740B4">
        <w:rPr>
          <w:rFonts w:eastAsia="Times New Roman" w:cs="Times New Roman"/>
        </w:rPr>
        <w:t xml:space="preserve">Even the majesty and the glory of human kingship are affirmed, in the context of that confession which is the fruit of personal abasement. It really is “the context”: the confession appears on both sides of the reference to his own glory, acting like a metaphorical </w:t>
      </w:r>
      <w:r w:rsidR="00B82F32" w:rsidRPr="00B740B4">
        <w:rPr>
          <w:rFonts w:eastAsia="Times New Roman" w:cs="Times New Roman"/>
        </w:rPr>
        <w:t>lookout</w:t>
      </w:r>
      <w:r w:rsidR="00C93CC0" w:rsidRPr="00B740B4">
        <w:rPr>
          <w:rFonts w:eastAsia="Times New Roman" w:cs="Times New Roman"/>
        </w:rPr>
        <w:t xml:space="preserve"> in relation to that dangerous self-description. Rule on </w:t>
      </w:r>
      <w:r w:rsidR="001F74A9" w:rsidRPr="00B740B4">
        <w:rPr>
          <w:rFonts w:eastAsia="Times New Roman" w:cs="Times New Roman"/>
        </w:rPr>
        <w:t xml:space="preserve">the </w:t>
      </w:r>
      <w:r w:rsidR="00C93CC0" w:rsidRPr="00B740B4">
        <w:rPr>
          <w:rFonts w:eastAsia="Times New Roman" w:cs="Times New Roman"/>
        </w:rPr>
        <w:t xml:space="preserve">earth as well as the rule of </w:t>
      </w:r>
      <w:r w:rsidR="007864E5" w:rsidRPr="00B740B4">
        <w:rPr>
          <w:rFonts w:eastAsia="Times New Roman" w:cs="Times New Roman"/>
        </w:rPr>
        <w:t xml:space="preserve">the heavens </w:t>
      </w:r>
      <w:r w:rsidR="00C93CC0" w:rsidRPr="00B740B4">
        <w:rPr>
          <w:rFonts w:eastAsia="Times New Roman" w:cs="Times New Roman"/>
        </w:rPr>
        <w:t>come</w:t>
      </w:r>
      <w:r w:rsidR="001F74A9" w:rsidRPr="00B740B4">
        <w:rPr>
          <w:rFonts w:eastAsia="Times New Roman" w:cs="Times New Roman"/>
        </w:rPr>
        <w:t>s</w:t>
      </w:r>
      <w:r w:rsidR="00C93CC0" w:rsidRPr="00B740B4">
        <w:rPr>
          <w:rFonts w:eastAsia="Times New Roman" w:cs="Times New Roman"/>
        </w:rPr>
        <w:t xml:space="preserve"> to belong to the one who becomes</w:t>
      </w:r>
      <w:r w:rsidR="001F74A9" w:rsidRPr="00B740B4">
        <w:rPr>
          <w:rFonts w:eastAsia="Times New Roman" w:cs="Times New Roman"/>
        </w:rPr>
        <w:t xml:space="preserve"> poor in spirit (cf. Matt 5:3).</w:t>
      </w:r>
      <w:r w:rsidR="001F74A9" w:rsidRPr="00B740B4">
        <w:rPr>
          <w:rStyle w:val="FootnoteReference"/>
          <w:rFonts w:eastAsia="Times New Roman" w:cs="Times New Roman"/>
        </w:rPr>
        <w:footnoteReference w:id="800"/>
      </w:r>
      <w:r w:rsidR="001F74A9" w:rsidRPr="00B740B4">
        <w:rPr>
          <w:rFonts w:eastAsia="Times New Roman" w:cs="Times New Roman"/>
        </w:rPr>
        <w:t xml:space="preserve"> </w:t>
      </w:r>
      <w:r w:rsidR="00C93CC0" w:rsidRPr="00B740B4">
        <w:rPr>
          <w:rFonts w:eastAsia="Times New Roman" w:cs="Times New Roman"/>
        </w:rPr>
        <w:t>The king’s sin has been characterized both as pride and as injustice or unconcern. His testimony finally brings the two together. God is the embodiment of faithfulness and justi</w:t>
      </w:r>
      <w:r w:rsidR="00F86724" w:rsidRPr="00B740B4">
        <w:rPr>
          <w:rFonts w:eastAsia="Times New Roman" w:cs="Times New Roman"/>
        </w:rPr>
        <w:t xml:space="preserve">ce and the demolition of pride. </w:t>
      </w:r>
      <w:r w:rsidR="001F74A9" w:rsidRPr="00B740B4">
        <w:rPr>
          <w:rFonts w:eastAsia="Times New Roman" w:cs="Times New Roman"/>
        </w:rPr>
        <w:t xml:space="preserve">Nebuchadnezzar is an example, </w:t>
      </w:r>
      <w:r w:rsidR="00C93CC0" w:rsidRPr="00B740B4">
        <w:rPr>
          <w:rFonts w:eastAsia="Times New Roman" w:cs="Times New Roman"/>
        </w:rPr>
        <w:t xml:space="preserve">a warning of how not to be led astray by power and achievement, </w:t>
      </w:r>
      <w:r w:rsidR="001F74A9" w:rsidRPr="00B740B4">
        <w:rPr>
          <w:rFonts w:eastAsia="Times New Roman" w:cs="Times New Roman"/>
        </w:rPr>
        <w:t xml:space="preserve">and </w:t>
      </w:r>
      <w:r w:rsidR="00C93CC0" w:rsidRPr="00B740B4">
        <w:rPr>
          <w:rFonts w:eastAsia="Times New Roman" w:cs="Times New Roman"/>
        </w:rPr>
        <w:t>a model of how to respond to chastisement and humiliation. He is even more a promise, that earthly authorities are in the hand of God, not merely for the</w:t>
      </w:r>
      <w:r w:rsidR="001F74A9" w:rsidRPr="00B740B4">
        <w:rPr>
          <w:rFonts w:eastAsia="Times New Roman" w:cs="Times New Roman"/>
        </w:rPr>
        <w:t>ir judgment, but for his glory.</w:t>
      </w:r>
      <w:r w:rsidR="00F86724" w:rsidRPr="00B740B4">
        <w:rPr>
          <w:rFonts w:eastAsia="Times New Roman" w:cs="Times New Roman"/>
        </w:rPr>
        <w:t xml:space="preserve"> </w:t>
      </w:r>
      <w:r w:rsidR="00E13251" w:rsidRPr="00B740B4">
        <w:rPr>
          <w:rFonts w:eastAsia="Times New Roman" w:cs="Times New Roman"/>
        </w:rPr>
        <w:t>The account of Nebuchadnezzar in</w:t>
      </w:r>
      <w:r w:rsidR="0069336E">
        <w:rPr>
          <w:rFonts w:eastAsia="Times New Roman" w:cs="Times New Roman"/>
        </w:rPr>
        <w:t xml:space="preserve"> chaps. 1—4 thus comes to a</w:t>
      </w:r>
      <w:r w:rsidR="00E13251" w:rsidRPr="00B740B4">
        <w:rPr>
          <w:rFonts w:eastAsia="Times New Roman" w:cs="Times New Roman"/>
        </w:rPr>
        <w:t xml:space="preserve"> hap</w:t>
      </w:r>
      <w:r w:rsidR="0069336E">
        <w:rPr>
          <w:rFonts w:eastAsia="Times New Roman" w:cs="Times New Roman"/>
        </w:rPr>
        <w:t>p</w:t>
      </w:r>
      <w:r w:rsidR="00E13251" w:rsidRPr="00B740B4">
        <w:rPr>
          <w:rFonts w:eastAsia="Times New Roman" w:cs="Times New Roman"/>
        </w:rPr>
        <w:t>y ending.</w:t>
      </w:r>
      <w:r w:rsidR="0069336E">
        <w:rPr>
          <w:rFonts w:eastAsia="Times New Roman" w:cs="Times New Roman"/>
        </w:rPr>
        <w:t xml:space="preserve"> It is </w:t>
      </w:r>
      <w:r w:rsidR="0069336E" w:rsidRPr="0069336E">
        <w:rPr>
          <w:rFonts w:eastAsia="Times New Roman" w:cs="Times New Roman"/>
        </w:rPr>
        <w:t>a coming-of-age story about Nebuchadnezzar’s personal and spiritual education</w:t>
      </w:r>
      <w:r w:rsidR="0069336E">
        <w:rPr>
          <w:rFonts w:eastAsia="Times New Roman" w:cs="Times New Roman"/>
        </w:rPr>
        <w:t xml:space="preserve"> and his “final transformation</w:t>
      </w:r>
      <w:r w:rsidR="0069336E" w:rsidRPr="0069336E">
        <w:rPr>
          <w:rFonts w:eastAsia="Times New Roman" w:cs="Times New Roman"/>
        </w:rPr>
        <w:t>.</w:t>
      </w:r>
      <w:r w:rsidR="0069336E">
        <w:rPr>
          <w:rFonts w:eastAsia="Times New Roman" w:cs="Times New Roman"/>
        </w:rPr>
        <w:t>” He</w:t>
      </w:r>
      <w:r w:rsidR="0069336E" w:rsidRPr="0069336E">
        <w:rPr>
          <w:rFonts w:eastAsia="Times New Roman" w:cs="Times New Roman"/>
        </w:rPr>
        <w:t xml:space="preserve"> moves from being the confident victor over Judah to recognizing the smartness of some of the people he transported (chap. 1), from anxiety and heavy-handedness to recognition of Yahweh and his servants (chap. 2), from a demand for the acknowledgment of his statue to an insistence on people’s acknowledging Yahweh (chap. 3), and from disdain towards Yahweh’s warnings to praise of Yahweh as the God of the heavens (chap. 4).</w:t>
      </w:r>
      <w:r w:rsidR="0069336E" w:rsidRPr="0069336E">
        <w:rPr>
          <w:rFonts w:eastAsia="Times New Roman" w:cs="Times New Roman"/>
          <w:vertAlign w:val="superscript"/>
        </w:rPr>
        <w:footnoteReference w:id="801"/>
      </w:r>
    </w:p>
    <w:p w:rsidR="001B765E" w:rsidRPr="00B740B4" w:rsidRDefault="00F86724" w:rsidP="001B765E">
      <w:pPr>
        <w:widowControl w:val="0"/>
        <w:rPr>
          <w:rFonts w:eastAsia="Times New Roman" w:cs="Times New Roman"/>
        </w:rPr>
      </w:pPr>
      <w:r w:rsidRPr="00B740B4">
        <w:rPr>
          <w:rFonts w:eastAsia="Times New Roman" w:cs="Times New Roman"/>
        </w:rPr>
        <w:t xml:space="preserve">But </w:t>
      </w:r>
      <w:r w:rsidR="001B765E" w:rsidRPr="00B740B4">
        <w:rPr>
          <w:rFonts w:eastAsia="Times New Roman" w:cs="Times New Roman"/>
        </w:rPr>
        <w:t xml:space="preserve">Calvin comments, “It is not known, however, whether this confession came from a true and </w:t>
      </w:r>
      <w:r w:rsidR="001B765E" w:rsidRPr="00B740B4">
        <w:rPr>
          <w:rFonts w:eastAsia="Times New Roman" w:cs="Times New Roman"/>
        </w:rPr>
        <w:lastRenderedPageBreak/>
        <w:t>genuine penitence. I leave it undecided.”</w:t>
      </w:r>
      <w:r w:rsidR="001B765E" w:rsidRPr="00B740B4">
        <w:rPr>
          <w:rFonts w:eastAsia="Times New Roman" w:cs="Times New Roman"/>
          <w:vertAlign w:val="superscript"/>
        </w:rPr>
        <w:t xml:space="preserve"> </w:t>
      </w:r>
      <w:r w:rsidR="001B765E" w:rsidRPr="00B740B4">
        <w:rPr>
          <w:rFonts w:eastAsia="Times New Roman" w:cs="Times New Roman"/>
          <w:vertAlign w:val="superscript"/>
        </w:rPr>
        <w:footnoteReference w:id="802"/>
      </w:r>
      <w:r w:rsidR="001B765E" w:rsidRPr="00B740B4">
        <w:rPr>
          <w:rFonts w:eastAsia="Times New Roman" w:cs="Times New Roman"/>
        </w:rPr>
        <w:t xml:space="preserve"> </w:t>
      </w:r>
      <w:r w:rsidRPr="00B740B4">
        <w:rPr>
          <w:rFonts w:eastAsia="Times New Roman" w:cs="Times New Roman"/>
        </w:rPr>
        <w:t>And</w:t>
      </w:r>
      <w:r w:rsidR="001B765E" w:rsidRPr="00B740B4">
        <w:rPr>
          <w:rFonts w:eastAsia="Times New Roman" w:cs="Times New Roman"/>
        </w:rPr>
        <w:t xml:space="preserve"> whereas the praise in vv 34 and 36 is nearly all his, his, he, he, his, him, his, his, he, the testimony in </w:t>
      </w:r>
      <w:r w:rsidR="00AF422C">
        <w:rPr>
          <w:rFonts w:eastAsia="Times New Roman" w:cs="Times New Roman"/>
        </w:rPr>
        <w:t>v</w:t>
      </w:r>
      <w:r w:rsidR="001B765E" w:rsidRPr="00B740B4">
        <w:rPr>
          <w:rFonts w:eastAsia="Times New Roman" w:cs="Times New Roman"/>
        </w:rPr>
        <w:t xml:space="preserve"> 35 is all my, my, my, my, me, my, me, I, my, me (with another I in </w:t>
      </w:r>
      <w:r w:rsidR="00AF422C">
        <w:rPr>
          <w:rFonts w:eastAsia="Times New Roman" w:cs="Times New Roman"/>
        </w:rPr>
        <w:t>v</w:t>
      </w:r>
      <w:r w:rsidR="001B765E" w:rsidRPr="00B740B4">
        <w:rPr>
          <w:rFonts w:eastAsia="Times New Roman" w:cs="Times New Roman"/>
        </w:rPr>
        <w:t xml:space="preserve"> 36). So the I’s have it.</w:t>
      </w:r>
      <w:r w:rsidR="001B765E" w:rsidRPr="00B740B4">
        <w:rPr>
          <w:rFonts w:eastAsia="Times New Roman" w:cs="Times New Roman"/>
          <w:vertAlign w:val="superscript"/>
        </w:rPr>
        <w:footnoteReference w:id="803"/>
      </w:r>
      <w:r w:rsidR="001B765E" w:rsidRPr="00B740B4">
        <w:rPr>
          <w:rFonts w:eastAsia="Times New Roman" w:cs="Times New Roman"/>
        </w:rPr>
        <w:t>And Calvin seems n</w:t>
      </w:r>
      <w:r w:rsidR="0069336E">
        <w:rPr>
          <w:rFonts w:eastAsia="Times New Roman" w:cs="Times New Roman"/>
        </w:rPr>
        <w:t>ot to remain undecided: “</w:t>
      </w:r>
      <w:r w:rsidR="001B765E" w:rsidRPr="00B740B4">
        <w:rPr>
          <w:rFonts w:eastAsia="Times New Roman" w:cs="Times New Roman"/>
        </w:rPr>
        <w:t>I rather incline to the opposite conjecture, that he had not put off his errors but had been compelled to give glory to the supreme God.”</w:t>
      </w:r>
      <w:r w:rsidR="001B765E" w:rsidRPr="00B740B4">
        <w:rPr>
          <w:rFonts w:eastAsia="Times New Roman" w:cs="Times New Roman"/>
          <w:vertAlign w:val="superscript"/>
        </w:rPr>
        <w:footnoteReference w:id="804"/>
      </w:r>
    </w:p>
    <w:p w:rsidR="007E4AE5" w:rsidRPr="00B740B4" w:rsidRDefault="007E4AE5" w:rsidP="001F74A9">
      <w:pPr>
        <w:widowControl w:val="0"/>
        <w:rPr>
          <w:rFonts w:eastAsia="Times New Roman" w:cs="Times New Roman"/>
        </w:rPr>
      </w:pPr>
    </w:p>
    <w:p w:rsidR="007E4AE5" w:rsidRPr="00B740B4" w:rsidRDefault="001B765E" w:rsidP="00C51734">
      <w:pPr>
        <w:pStyle w:val="Quote"/>
        <w:rPr>
          <w:rFonts w:eastAsia="Times New Roman"/>
          <w:color w:val="auto"/>
        </w:rPr>
      </w:pPr>
      <w:r w:rsidRPr="00B740B4">
        <w:rPr>
          <w:rFonts w:eastAsia="Times New Roman"/>
          <w:color w:val="auto"/>
        </w:rPr>
        <w:t>T</w:t>
      </w:r>
      <w:r w:rsidR="007E4AE5" w:rsidRPr="00B740B4">
        <w:rPr>
          <w:rFonts w:eastAsia="Times New Roman"/>
          <w:color w:val="auto"/>
        </w:rPr>
        <w:t xml:space="preserve">he account of Nebuchadnezzar’s response to God’s rescue of the three youths in the fiery furnace indicated aspects of the king’s bifurcated character. One the one hand, he praised the “God of Shadrach, Meshach, and Abednego”; on the other hand, Nebuchadnezzar continued his tyranny by decreeing that he would “tear to pieces” anyone who would speak derisively against their God, thus showing the emptiness of his understanding. This dual presentation invites questions about Nebuchadnezzar’s future behavior. Will his praise of God translate into just behavior, or will his unpredictability </w:t>
      </w:r>
      <w:r w:rsidRPr="00B740B4">
        <w:rPr>
          <w:rFonts w:eastAsia="Times New Roman"/>
          <w:color w:val="auto"/>
        </w:rPr>
        <w:t>continue to prove dan</w:t>
      </w:r>
      <w:r w:rsidR="007E4AE5" w:rsidRPr="00B740B4">
        <w:rPr>
          <w:rFonts w:eastAsia="Times New Roman"/>
          <w:color w:val="auto"/>
        </w:rPr>
        <w:t>gerous? The account of Nebuchadnezzar’s dream of the great tree (Dan 4) probes the nature of Nebuchadnezzar’s character and explores God’s concern for the just exercise of human power. By using this dream account as the last episode from Nebuchadnezzar’s life, the author modulates the king’s legacy. He is no longer the invincible conqueror; he is a subject to God’s will. The last words Nebuchadnezzar speaks prove his subordination: “the Most High has sovereignty over the kingdom of mortals and gives it to whom he will” (4:25, 32 [4:22, 29 M</w:t>
      </w:r>
      <w:r w:rsidRPr="00B740B4">
        <w:rPr>
          <w:rFonts w:eastAsia="Times New Roman"/>
          <w:color w:val="auto"/>
        </w:rPr>
        <w:t>T])…. T</w:t>
      </w:r>
      <w:r w:rsidR="007E4AE5" w:rsidRPr="00B740B4">
        <w:rPr>
          <w:rFonts w:eastAsia="Times New Roman"/>
          <w:color w:val="auto"/>
        </w:rPr>
        <w:t>his submission consists of Nebuchadnezzar’s defeat, not of his transformation. With words, Nebuchadnezzar ultimately recognize</w:t>
      </w:r>
      <w:r w:rsidRPr="00B740B4">
        <w:rPr>
          <w:rFonts w:eastAsia="Times New Roman"/>
          <w:color w:val="auto"/>
        </w:rPr>
        <w:t>s God’s power over earthly sov</w:t>
      </w:r>
      <w:r w:rsidR="007E4AE5" w:rsidRPr="00B740B4">
        <w:rPr>
          <w:rFonts w:eastAsia="Times New Roman"/>
          <w:color w:val="auto"/>
        </w:rPr>
        <w:t>ereigns, but he remains blind to its implications. Indeed, Nebuchadnezzar’s words and actions display a significant range of his ability to exercise power, but little change in his character. First a self- congratulatory emperor, he becomes a frightened man upon receiving the dream. The emperor who boasts of his great accomplishments//</w:t>
      </w:r>
      <w:r w:rsidR="007E4AE5" w:rsidRPr="00B740B4">
        <w:rPr>
          <w:color w:val="auto"/>
        </w:rPr>
        <w:t xml:space="preserve"> </w:t>
      </w:r>
      <w:r w:rsidR="007E4AE5" w:rsidRPr="00B740B4">
        <w:rPr>
          <w:rFonts w:eastAsia="Times New Roman"/>
          <w:color w:val="auto"/>
        </w:rPr>
        <w:t>loses not only his kingdom but also must leave his place in society itself. Upon completion of his exi</w:t>
      </w:r>
      <w:r w:rsidRPr="00B740B4">
        <w:rPr>
          <w:rFonts w:eastAsia="Times New Roman"/>
          <w:color w:val="auto"/>
        </w:rPr>
        <w:t>le, he rejoins the human commu</w:t>
      </w:r>
      <w:r w:rsidR="007E4AE5" w:rsidRPr="00B740B4">
        <w:rPr>
          <w:rFonts w:eastAsia="Times New Roman"/>
          <w:color w:val="auto"/>
        </w:rPr>
        <w:t>nity, praising “the Most High” and “the king of Heaven”; his recognition of God, nevertheless, is incomplete. His words of praise ultimately say more about Nebuchadnezzar himself than they do about the God of Israel. Remaining obsessed with power, Nebuchadnezzar proclaims that his sovereignty is greater than any experienced previously. Ultimately, the author uses this ambiguous presentation of Nebuchadnezzar to underscore that God is indeed the final victor over tyrants, and that Jewish life, even under the rule of foreign kings, would continue despite the sudden and unpredictable challenges to security and even to life itself.</w:t>
      </w:r>
      <w:r w:rsidR="007E4AE5" w:rsidRPr="00B740B4">
        <w:rPr>
          <w:rStyle w:val="FootnoteReference"/>
          <w:rFonts w:asciiTheme="minorHAnsi" w:eastAsia="Times New Roman" w:hAnsiTheme="minorHAnsi" w:cs="Times New Roman"/>
          <w:color w:val="auto"/>
          <w:sz w:val="24"/>
          <w:szCs w:val="24"/>
        </w:rPr>
        <w:footnoteReference w:id="805"/>
      </w:r>
    </w:p>
    <w:p w:rsidR="00C51734" w:rsidRPr="00B740B4" w:rsidRDefault="00C51734" w:rsidP="001F74A9">
      <w:pPr>
        <w:widowControl w:val="0"/>
        <w:rPr>
          <w:rFonts w:eastAsia="Times New Roman" w:cs="Times New Roman"/>
        </w:rPr>
      </w:pPr>
    </w:p>
    <w:p w:rsidR="00F86724" w:rsidRDefault="00E13251" w:rsidP="001F74A9">
      <w:pPr>
        <w:widowControl w:val="0"/>
        <w:rPr>
          <w:rFonts w:eastAsia="Times New Roman" w:cs="Times New Roman"/>
        </w:rPr>
      </w:pPr>
      <w:r w:rsidRPr="00B740B4">
        <w:rPr>
          <w:rFonts w:eastAsia="Times New Roman" w:cs="Times New Roman"/>
        </w:rPr>
        <w:t>If insightful exegetes can read the</w:t>
      </w:r>
      <w:r w:rsidR="0069336E">
        <w:rPr>
          <w:rFonts w:eastAsia="Times New Roman" w:cs="Times New Roman"/>
        </w:rPr>
        <w:t xml:space="preserve"> confession either way, we should hardly</w:t>
      </w:r>
      <w:r w:rsidRPr="00B740B4">
        <w:rPr>
          <w:rFonts w:eastAsia="Times New Roman" w:cs="Times New Roman"/>
        </w:rPr>
        <w:t xml:space="preserve"> seek to resolve the question of which way to r</w:t>
      </w:r>
      <w:r w:rsidR="0069336E">
        <w:rPr>
          <w:rFonts w:eastAsia="Times New Roman" w:cs="Times New Roman"/>
        </w:rPr>
        <w:t>ead it. The way the chapter</w:t>
      </w:r>
      <w:r w:rsidRPr="00B740B4">
        <w:rPr>
          <w:rFonts w:eastAsia="Times New Roman" w:cs="Times New Roman"/>
        </w:rPr>
        <w:t xml:space="preserve"> does its work on readers is by making them live inside the questions and the possibilities that the two interpretations raise.</w:t>
      </w:r>
    </w:p>
    <w:p w:rsidR="00922BB9" w:rsidRDefault="00922BB9">
      <w:pPr>
        <w:spacing w:after="200" w:line="276" w:lineRule="auto"/>
        <w:ind w:firstLine="0"/>
        <w:rPr>
          <w:rFonts w:eastAsiaTheme="minorHAnsi" w:cstheme="majorBidi"/>
          <w:b/>
          <w:bCs/>
          <w:iCs/>
          <w:sz w:val="28"/>
        </w:rPr>
      </w:pPr>
      <w:r>
        <w:br w:type="page"/>
      </w:r>
    </w:p>
    <w:p w:rsidR="00E13251" w:rsidRPr="00B740B4" w:rsidRDefault="00E13251" w:rsidP="00096F8C">
      <w:pPr>
        <w:pStyle w:val="Heading1"/>
      </w:pPr>
      <w:r w:rsidRPr="00B740B4">
        <w:lastRenderedPageBreak/>
        <w:t>Belshazzar Fails to Learn from His Father’s Exper</w:t>
      </w:r>
      <w:r w:rsidR="00661970" w:rsidRPr="00B740B4">
        <w:t>ience and Is Put Down (</w:t>
      </w:r>
      <w:r w:rsidRPr="00B740B4">
        <w:t>5:1–31</w:t>
      </w:r>
      <w:r w:rsidR="00661970" w:rsidRPr="00B740B4">
        <w:t xml:space="preserve"> [5:1—6:1</w:t>
      </w:r>
      <w:r w:rsidRPr="00B740B4">
        <w:t>])</w:t>
      </w:r>
    </w:p>
    <w:p w:rsidR="00661970" w:rsidRPr="00B740B4" w:rsidRDefault="00DE41A4" w:rsidP="00661970">
      <w:r w:rsidRPr="00B740B4">
        <w:t xml:space="preserve">As </w:t>
      </w:r>
      <w:r w:rsidR="00661970" w:rsidRPr="00B740B4">
        <w:t>with chap. 4, I fo</w:t>
      </w:r>
      <w:r w:rsidRPr="00B740B4">
        <w:t xml:space="preserve">llow Luther’s chapter division. The medieval </w:t>
      </w:r>
      <w:r w:rsidR="00661970" w:rsidRPr="00B740B4">
        <w:t>division which appears in printed</w:t>
      </w:r>
      <w:r w:rsidRPr="00B740B4">
        <w:t xml:space="preserve"> Hebrew Bibles such as BHS treats </w:t>
      </w:r>
      <w:r w:rsidR="00661970" w:rsidRPr="00B740B4">
        <w:t>5</w:t>
      </w:r>
      <w:r w:rsidRPr="00B740B4">
        <w:t>:31 (EVV) as the first verse of</w:t>
      </w:r>
      <w:r w:rsidR="00661970" w:rsidRPr="00B740B4">
        <w:t xml:space="preserve"> </w:t>
      </w:r>
      <w:r w:rsidR="00922BB9">
        <w:t>chap. 6. By means of its petucha</w:t>
      </w:r>
      <w:r w:rsidR="00661970" w:rsidRPr="00B740B4">
        <w:t xml:space="preserve"> MT itself make</w:t>
      </w:r>
      <w:r w:rsidRPr="00B740B4">
        <w:t>s the chapter break after 5:</w:t>
      </w:r>
      <w:r w:rsidR="00E0128D" w:rsidRPr="00B740B4">
        <w:t xml:space="preserve">30; it </w:t>
      </w:r>
      <w:r w:rsidRPr="00B740B4">
        <w:t xml:space="preserve">then </w:t>
      </w:r>
      <w:r w:rsidR="00E0128D" w:rsidRPr="00B740B4">
        <w:t>has section breaks after v</w:t>
      </w:r>
      <w:r w:rsidR="00AF422C">
        <w:t>v</w:t>
      </w:r>
      <w:r w:rsidR="00E0128D" w:rsidRPr="00B740B4">
        <w:t xml:space="preserve"> 7 and 12.</w:t>
      </w:r>
      <w:r w:rsidR="00D01F2C" w:rsidRPr="00B740B4">
        <w:rPr>
          <w:rStyle w:val="FootnoteReference"/>
        </w:rPr>
        <w:footnoteReference w:id="806"/>
      </w:r>
      <w:r w:rsidR="00D31159">
        <w:t xml:space="preserve"> The distinctive chapter division in printed Hebrew Bibles perhaps issued from misreading a marginal note when the divisions were transferred from the Latin Bible to the Hebrew.</w:t>
      </w:r>
      <w:r w:rsidR="00D31159">
        <w:rPr>
          <w:rStyle w:val="FootnoteReference"/>
        </w:rPr>
        <w:footnoteReference w:id="807"/>
      </w:r>
    </w:p>
    <w:p w:rsidR="00E13251" w:rsidRPr="00B740B4" w:rsidRDefault="00E13251" w:rsidP="009479B1">
      <w:pPr>
        <w:pStyle w:val="Heading2"/>
      </w:pPr>
      <w:r w:rsidRPr="00B740B4">
        <w:t>Pericope Bibliography</w:t>
      </w:r>
    </w:p>
    <w:p w:rsidR="00E13251" w:rsidRPr="00B740B4" w:rsidRDefault="00E13251" w:rsidP="00A05B3A">
      <w:pPr>
        <w:ind w:firstLine="0"/>
      </w:pPr>
      <w:r w:rsidRPr="00B740B4">
        <w:rPr>
          <w:rStyle w:val="b"/>
          <w:color w:val="auto"/>
          <w:sz w:val="22"/>
          <w:szCs w:val="22"/>
        </w:rPr>
        <w:t>Alfrink, B.</w:t>
      </w:r>
      <w:r w:rsidRPr="00B740B4">
        <w:t xml:space="preserve"> “Der letzte König von Babylon.” ———. “Darius Medus.” </w:t>
      </w:r>
      <w:r w:rsidRPr="00B740B4">
        <w:rPr>
          <w:rStyle w:val="b"/>
          <w:color w:val="auto"/>
          <w:sz w:val="22"/>
          <w:szCs w:val="22"/>
        </w:rPr>
        <w:t>Alt, A.</w:t>
      </w:r>
      <w:r w:rsidRPr="00B740B4">
        <w:t xml:space="preserve"> “Zur Menetekel-Inschrift.” </w:t>
      </w:r>
      <w:r w:rsidR="00A97DAE" w:rsidRPr="00B740B4">
        <w:rPr>
          <w:rStyle w:val="b"/>
          <w:color w:val="auto"/>
          <w:sz w:val="22"/>
          <w:szCs w:val="22"/>
        </w:rPr>
        <w:t xml:space="preserve">Anderson, S. D. </w:t>
      </w:r>
      <w:r w:rsidR="00A97DAE" w:rsidRPr="00B740B4">
        <w:rPr>
          <w:rStyle w:val="b"/>
          <w:b w:val="0"/>
          <w:i/>
          <w:color w:val="auto"/>
          <w:sz w:val="22"/>
          <w:szCs w:val="22"/>
        </w:rPr>
        <w:t>Darius the Mede.</w:t>
      </w:r>
      <w:r w:rsidR="00A97DAE" w:rsidRPr="00B740B4">
        <w:rPr>
          <w:rStyle w:val="b"/>
          <w:b w:val="0"/>
          <w:color w:val="auto"/>
          <w:sz w:val="22"/>
          <w:szCs w:val="22"/>
        </w:rPr>
        <w:t xml:space="preserve"> </w:t>
      </w:r>
      <w:r w:rsidR="00851F23" w:rsidRPr="00B740B4">
        <w:rPr>
          <w:rStyle w:val="b"/>
          <w:b w:val="0"/>
          <w:color w:val="auto"/>
          <w:sz w:val="22"/>
          <w:szCs w:val="22"/>
        </w:rPr>
        <w:t xml:space="preserve"> </w:t>
      </w:r>
      <w:r w:rsidR="00851F23" w:rsidRPr="00B740B4">
        <w:rPr>
          <w:rFonts w:eastAsiaTheme="minorHAnsi"/>
          <w:b/>
        </w:rPr>
        <w:t>Arnold, B. T.</w:t>
      </w:r>
      <w:r w:rsidR="00851F23" w:rsidRPr="00B740B4">
        <w:rPr>
          <w:rFonts w:eastAsiaTheme="minorHAnsi"/>
          <w:sz w:val="20"/>
          <w:szCs w:val="20"/>
        </w:rPr>
        <w:t xml:space="preserve">  </w:t>
      </w:r>
      <w:r w:rsidR="00851F23" w:rsidRPr="00B740B4">
        <w:t>“</w:t>
      </w:r>
      <w:r w:rsidR="00851F23" w:rsidRPr="00B740B4">
        <w:rPr>
          <w:rFonts w:eastAsiaTheme="minorHAnsi" w:cs="Times New Roman"/>
        </w:rPr>
        <w:t xml:space="preserve">Wordplay and Narrative Techniques in Daniel 5 and 6.” </w:t>
      </w:r>
      <w:r w:rsidRPr="00B740B4">
        <w:rPr>
          <w:rStyle w:val="b"/>
          <w:color w:val="auto"/>
          <w:sz w:val="22"/>
          <w:szCs w:val="22"/>
        </w:rPr>
        <w:t>Auchincloss, W. S.</w:t>
      </w:r>
      <w:r w:rsidRPr="00B740B4">
        <w:t xml:space="preserve"> “Darius the Median.” </w:t>
      </w:r>
      <w:r w:rsidRPr="00B740B4">
        <w:rPr>
          <w:rStyle w:val="b"/>
          <w:color w:val="auto"/>
          <w:sz w:val="22"/>
          <w:szCs w:val="22"/>
        </w:rPr>
        <w:t>Bauer, H.</w:t>
      </w:r>
      <w:r w:rsidRPr="00B740B4">
        <w:t xml:space="preserve"> “Menetekel.” </w:t>
      </w:r>
      <w:r w:rsidRPr="00B740B4">
        <w:rPr>
          <w:rStyle w:val="b"/>
          <w:color w:val="auto"/>
          <w:sz w:val="22"/>
          <w:szCs w:val="22"/>
        </w:rPr>
        <w:t>Boutflower, C.</w:t>
      </w:r>
      <w:r w:rsidRPr="00B740B4">
        <w:t xml:space="preserve"> “The Historical Value of Daniel v and vi.” ———. “‘</w:t>
      </w:r>
      <w:r w:rsidR="00B17F0C" w:rsidRPr="00B740B4">
        <w:t>Belshazzar the King</w:t>
      </w:r>
      <w:r w:rsidRPr="00B740B4">
        <w:t>.</w:t>
      </w:r>
      <w:r w:rsidR="00B17F0C" w:rsidRPr="00B740B4">
        <w:t>’</w:t>
      </w:r>
      <w:r w:rsidRPr="00B740B4">
        <w:t xml:space="preserve">” </w:t>
      </w:r>
      <w:r w:rsidR="00E76D4F" w:rsidRPr="00B740B4">
        <w:rPr>
          <w:b/>
        </w:rPr>
        <w:t>Broida, M. “</w:t>
      </w:r>
      <w:r w:rsidR="00E76D4F" w:rsidRPr="00B740B4">
        <w:rPr>
          <w:rFonts w:eastAsiaTheme="minorHAnsi" w:cs="Times New Roman"/>
          <w:lang w:bidi="he-IL"/>
        </w:rPr>
        <w:t>Textualizing Divination</w:t>
      </w:r>
      <w:r w:rsidR="00E76D4F" w:rsidRPr="00B740B4">
        <w:rPr>
          <w:rFonts w:ascii="Times New Roman" w:eastAsiaTheme="minorHAnsi" w:hAnsi="Times New Roman" w:cs="Times New Roman"/>
          <w:sz w:val="26"/>
          <w:szCs w:val="26"/>
          <w:lang w:bidi="he-IL"/>
        </w:rPr>
        <w:t xml:space="preserve">.” </w:t>
      </w:r>
      <w:r w:rsidR="00165DF3" w:rsidRPr="00B740B4">
        <w:rPr>
          <w:b/>
        </w:rPr>
        <w:t xml:space="preserve">De Bruyn, J. </w:t>
      </w:r>
      <w:r w:rsidR="00165DF3" w:rsidRPr="00B740B4">
        <w:t>“</w:t>
      </w:r>
      <w:r w:rsidR="00165DF3" w:rsidRPr="00B740B4">
        <w:rPr>
          <w:bCs/>
        </w:rPr>
        <w:t xml:space="preserve">Daniel 5, Elohim and Marduk.” </w:t>
      </w:r>
      <w:r w:rsidRPr="00B740B4">
        <w:rPr>
          <w:rStyle w:val="b"/>
          <w:color w:val="auto"/>
          <w:sz w:val="22"/>
          <w:szCs w:val="22"/>
        </w:rPr>
        <w:t>Bulman, J. M.</w:t>
      </w:r>
      <w:r w:rsidRPr="00B740B4">
        <w:t xml:space="preserve"> “The Identification of Darius the Mede.” </w:t>
      </w:r>
      <w:r w:rsidRPr="00B740B4">
        <w:rPr>
          <w:rStyle w:val="b"/>
          <w:color w:val="auto"/>
          <w:sz w:val="22"/>
          <w:szCs w:val="22"/>
        </w:rPr>
        <w:t>Cerceau,</w:t>
      </w:r>
      <w:r w:rsidR="00FD28AC" w:rsidRPr="00B740B4">
        <w:rPr>
          <w:rStyle w:val="b"/>
          <w:color w:val="auto"/>
          <w:sz w:val="22"/>
          <w:szCs w:val="22"/>
        </w:rPr>
        <w:t xml:space="preserve"> </w:t>
      </w:r>
      <w:r w:rsidRPr="00B740B4">
        <w:rPr>
          <w:rStyle w:val="b"/>
          <w:color w:val="auto"/>
          <w:sz w:val="22"/>
          <w:szCs w:val="22"/>
        </w:rPr>
        <w:t>J.-A. du.</w:t>
      </w:r>
      <w:r w:rsidRPr="00B740B4">
        <w:t xml:space="preserve"> </w:t>
      </w:r>
      <w:r w:rsidRPr="00B740B4">
        <w:rPr>
          <w:rStyle w:val="i"/>
          <w:color w:val="auto"/>
          <w:szCs w:val="22"/>
        </w:rPr>
        <w:t>Balthasar</w:t>
      </w:r>
      <w:r w:rsidRPr="00B740B4">
        <w:t xml:space="preserve">. </w:t>
      </w:r>
      <w:r w:rsidRPr="00B740B4">
        <w:rPr>
          <w:rStyle w:val="b"/>
          <w:color w:val="auto"/>
          <w:sz w:val="22"/>
          <w:szCs w:val="22"/>
        </w:rPr>
        <w:t>Clay, A. T.</w:t>
      </w:r>
      <w:r w:rsidRPr="00B740B4">
        <w:t xml:space="preserve"> “Gobryas.” </w:t>
      </w:r>
      <w:r w:rsidRPr="00B740B4">
        <w:rPr>
          <w:rStyle w:val="b"/>
          <w:color w:val="auto"/>
          <w:sz w:val="22"/>
          <w:szCs w:val="22"/>
        </w:rPr>
        <w:t>Clerice, J. de.</w:t>
      </w:r>
      <w:r w:rsidRPr="00B740B4">
        <w:t xml:space="preserve"> </w:t>
      </w:r>
      <w:r w:rsidRPr="00B740B4">
        <w:rPr>
          <w:rStyle w:val="i"/>
          <w:color w:val="auto"/>
          <w:szCs w:val="22"/>
        </w:rPr>
        <w:t>Dissertatio de epulo Belschasar</w:t>
      </w:r>
      <w:r w:rsidR="00AA393A" w:rsidRPr="00B740B4">
        <w:t xml:space="preserve">. </w:t>
      </w:r>
      <w:r w:rsidRPr="00B740B4">
        <w:rPr>
          <w:rStyle w:val="b"/>
          <w:color w:val="auto"/>
          <w:sz w:val="22"/>
          <w:szCs w:val="22"/>
        </w:rPr>
        <w:t>Clermont-Ganneau, C.</w:t>
      </w:r>
      <w:r w:rsidRPr="00B740B4">
        <w:t xml:space="preserve"> “Mané, thécel, pha</w:t>
      </w:r>
      <w:r w:rsidR="00AA393A" w:rsidRPr="00B740B4">
        <w:t xml:space="preserve">rés et le festin de Balthasar.” </w:t>
      </w:r>
      <w:r w:rsidR="001A6D4F" w:rsidRPr="00B740B4">
        <w:rPr>
          <w:b/>
        </w:rPr>
        <w:t>Colless, B. E.</w:t>
      </w:r>
      <w:r w:rsidR="001A6D4F" w:rsidRPr="00B740B4">
        <w:t xml:space="preserve"> “Cyrus the Persian as Dariu</w:t>
      </w:r>
      <w:r w:rsidR="00A876C4">
        <w:t>s the Mede</w:t>
      </w:r>
      <w:r w:rsidR="001A6D4F" w:rsidRPr="00B740B4">
        <w:t xml:space="preserve">.” </w:t>
      </w:r>
      <w:r w:rsidRPr="00B740B4">
        <w:rPr>
          <w:rStyle w:val="b"/>
          <w:color w:val="auto"/>
          <w:sz w:val="22"/>
          <w:szCs w:val="22"/>
        </w:rPr>
        <w:t>Couroyer, B.</w:t>
      </w:r>
      <w:r w:rsidRPr="00B740B4">
        <w:t xml:space="preserve"> “</w:t>
      </w:r>
      <w:r w:rsidRPr="00B740B4">
        <w:rPr>
          <w:rStyle w:val="theb"/>
          <w:color w:val="auto"/>
        </w:rPr>
        <w:t>Lḥn</w:t>
      </w:r>
      <w:r w:rsidRPr="00B740B4">
        <w:t xml:space="preserve">: chantre?” </w:t>
      </w:r>
      <w:r w:rsidRPr="00B740B4">
        <w:rPr>
          <w:rStyle w:val="b"/>
          <w:color w:val="auto"/>
          <w:sz w:val="22"/>
          <w:szCs w:val="22"/>
        </w:rPr>
        <w:t>Coxon, P. W.</w:t>
      </w:r>
      <w:r w:rsidRPr="00B740B4">
        <w:t xml:space="preserve"> “A Philological Note on </w:t>
      </w:r>
      <w:r w:rsidRPr="00B740B4">
        <w:rPr>
          <w:rStyle w:val="heb"/>
          <w:rFonts w:ascii="Arial" w:hAnsi="Arial" w:cs="Arial"/>
          <w:color w:val="auto"/>
        </w:rPr>
        <w:t>אשתיו</w:t>
      </w:r>
      <w:r w:rsidRPr="00B740B4">
        <w:t xml:space="preserve"> Dan 5 3f.” </w:t>
      </w:r>
      <w:r w:rsidR="002822E4" w:rsidRPr="00B740B4">
        <w:rPr>
          <w:b/>
        </w:rPr>
        <w:t xml:space="preserve">Dobberahn, F. E. </w:t>
      </w:r>
      <w:r w:rsidR="002822E4" w:rsidRPr="00B740B4">
        <w:t>“</w:t>
      </w:r>
      <w:r w:rsidR="002822E4" w:rsidRPr="00B740B4">
        <w:rPr>
          <w:bCs/>
        </w:rPr>
        <w:t>Daniel 5.25.”</w:t>
      </w:r>
      <w:r w:rsidR="002822E4" w:rsidRPr="00B740B4">
        <w:t xml:space="preserve"> </w:t>
      </w:r>
      <w:r w:rsidRPr="00B740B4">
        <w:rPr>
          <w:rStyle w:val="b"/>
          <w:color w:val="auto"/>
          <w:sz w:val="22"/>
          <w:szCs w:val="22"/>
        </w:rPr>
        <w:t>Dougherty, R. P</w:t>
      </w:r>
      <w:r w:rsidRPr="00B740B4">
        <w:t xml:space="preserve"> “Ancient Teimâ and Babylonia.” </w:t>
      </w:r>
      <w:r w:rsidR="002C7EE1" w:rsidRPr="00B740B4">
        <w:t xml:space="preserve">———. </w:t>
      </w:r>
      <w:r w:rsidR="002C7EE1" w:rsidRPr="00B740B4">
        <w:rPr>
          <w:rStyle w:val="i"/>
          <w:color w:val="auto"/>
          <w:szCs w:val="22"/>
        </w:rPr>
        <w:t>Nabonidus and Belshazzar</w:t>
      </w:r>
      <w:r w:rsidR="002C7EE1" w:rsidRPr="00B740B4">
        <w:t xml:space="preserve">. ———. “Nabonidus in Arabia.” </w:t>
      </w:r>
      <w:r w:rsidRPr="00B740B4">
        <w:rPr>
          <w:rStyle w:val="b"/>
          <w:color w:val="auto"/>
          <w:sz w:val="22"/>
          <w:szCs w:val="22"/>
        </w:rPr>
        <w:t>Eissfeldt, O.</w:t>
      </w:r>
      <w:r w:rsidRPr="00B740B4">
        <w:t xml:space="preserve"> “Die Mene</w:t>
      </w:r>
      <w:r w:rsidR="00A876C4">
        <w:t>tekel-Inschrift</w:t>
      </w:r>
      <w:r w:rsidRPr="00B740B4">
        <w:t xml:space="preserve">.” </w:t>
      </w:r>
      <w:r w:rsidRPr="00B740B4">
        <w:rPr>
          <w:rStyle w:val="b"/>
          <w:color w:val="auto"/>
          <w:sz w:val="22"/>
          <w:szCs w:val="22"/>
        </w:rPr>
        <w:t>Emerton, J. A.</w:t>
      </w:r>
      <w:r w:rsidRPr="00B740B4">
        <w:t xml:space="preserve"> “Th</w:t>
      </w:r>
      <w:r w:rsidR="002C7EE1" w:rsidRPr="00B740B4">
        <w:t xml:space="preserve">e Participles in Daniel v. 12.” </w:t>
      </w:r>
      <w:r w:rsidRPr="00B740B4">
        <w:rPr>
          <w:rStyle w:val="b"/>
          <w:color w:val="auto"/>
          <w:sz w:val="22"/>
          <w:szCs w:val="22"/>
        </w:rPr>
        <w:t>Galling, K.</w:t>
      </w:r>
      <w:r w:rsidRPr="00B740B4">
        <w:t xml:space="preserve"> “H. H. Rowley, </w:t>
      </w:r>
      <w:r w:rsidR="002C7EE1" w:rsidRPr="00B740B4">
        <w:rPr>
          <w:rStyle w:val="i"/>
          <w:color w:val="auto"/>
          <w:szCs w:val="22"/>
        </w:rPr>
        <w:t>Darius the Mede….</w:t>
      </w:r>
      <w:r w:rsidR="002C7EE1" w:rsidRPr="00B740B4">
        <w:rPr>
          <w:rStyle w:val="i"/>
          <w:i w:val="0"/>
          <w:color w:val="auto"/>
          <w:szCs w:val="22"/>
        </w:rPr>
        <w:t xml:space="preserve">” </w:t>
      </w:r>
      <w:r w:rsidRPr="00B740B4">
        <w:t xml:space="preserve"> ———. “Die 62 Jahre</w:t>
      </w:r>
      <w:r w:rsidR="002C7EE1" w:rsidRPr="00B740B4">
        <w:t xml:space="preserve"> des Meders Darius in Dan 6 1.” </w:t>
      </w:r>
      <w:r w:rsidRPr="00B740B4">
        <w:rPr>
          <w:rStyle w:val="b"/>
          <w:color w:val="auto"/>
          <w:sz w:val="22"/>
          <w:szCs w:val="22"/>
        </w:rPr>
        <w:t>Genouillac, H. de.</w:t>
      </w:r>
      <w:r w:rsidRPr="00B740B4">
        <w:t xml:space="preserve"> “Nabonide.” </w:t>
      </w:r>
      <w:r w:rsidRPr="00B740B4">
        <w:rPr>
          <w:rStyle w:val="b"/>
          <w:color w:val="auto"/>
          <w:sz w:val="22"/>
          <w:szCs w:val="22"/>
        </w:rPr>
        <w:t>Gibson, M. D.</w:t>
      </w:r>
      <w:r w:rsidR="0098759E" w:rsidRPr="00B740B4">
        <w:t xml:space="preserve"> “Belshazzar’s Feast.” </w:t>
      </w:r>
      <w:r w:rsidR="0098759E" w:rsidRPr="00B740B4">
        <w:rPr>
          <w:b/>
        </w:rPr>
        <w:t>Grabbe, L. L</w:t>
      </w:r>
      <w:r w:rsidR="0098759E" w:rsidRPr="00B740B4">
        <w:t xml:space="preserve">. “Another Look at the </w:t>
      </w:r>
      <w:r w:rsidR="0098759E" w:rsidRPr="00B740B4">
        <w:rPr>
          <w:i/>
        </w:rPr>
        <w:t>Gestalt</w:t>
      </w:r>
      <w:r w:rsidR="0098759E" w:rsidRPr="00B740B4">
        <w:t xml:space="preserve"> of ‘Darius the Mede.’”</w:t>
      </w:r>
      <w:r w:rsidR="00D80BA7">
        <w:t xml:space="preserve"> </w:t>
      </w:r>
      <w:r w:rsidR="00D80BA7" w:rsidRPr="00D80BA7">
        <w:t xml:space="preserve">———. “The Belshazzar of Daniel and the Belshazzar of History.” </w:t>
      </w:r>
      <w:r w:rsidR="0098759E" w:rsidRPr="00B740B4">
        <w:t xml:space="preserve"> </w:t>
      </w:r>
      <w:r w:rsidRPr="00B740B4">
        <w:rPr>
          <w:rStyle w:val="b"/>
          <w:color w:val="auto"/>
          <w:sz w:val="22"/>
          <w:szCs w:val="22"/>
        </w:rPr>
        <w:t>Grelot, P.</w:t>
      </w:r>
      <w:r w:rsidRPr="00B740B4">
        <w:t xml:space="preserve"> “Le chapitre v de </w:t>
      </w:r>
      <w:r w:rsidRPr="00B740B4">
        <w:rPr>
          <w:rStyle w:val="i"/>
          <w:color w:val="auto"/>
          <w:szCs w:val="22"/>
        </w:rPr>
        <w:t>Daniel</w:t>
      </w:r>
      <w:r w:rsidRPr="00B740B4">
        <w:t xml:space="preserve"> dans la Septante.” ———. “L’écri</w:t>
      </w:r>
      <w:r w:rsidR="00B17F0C" w:rsidRPr="00B740B4">
        <w:t xml:space="preserve">ture sur le mur.” </w:t>
      </w:r>
      <w:r w:rsidRPr="00B740B4">
        <w:rPr>
          <w:rStyle w:val="b"/>
          <w:color w:val="auto"/>
          <w:sz w:val="22"/>
          <w:szCs w:val="22"/>
        </w:rPr>
        <w:t>Gruenthaner, M. J.</w:t>
      </w:r>
      <w:r w:rsidRPr="00B740B4">
        <w:t xml:space="preserve"> “The Last King of Babylon.” </w:t>
      </w:r>
      <w:r w:rsidRPr="00B740B4">
        <w:rPr>
          <w:rStyle w:val="b"/>
          <w:color w:val="auto"/>
          <w:sz w:val="22"/>
          <w:szCs w:val="22"/>
        </w:rPr>
        <w:t>Guglielmo, A. de.</w:t>
      </w:r>
      <w:r w:rsidRPr="00B740B4">
        <w:t xml:space="preserve"> “Dan. 5:25.” </w:t>
      </w:r>
      <w:r w:rsidRPr="00B740B4">
        <w:rPr>
          <w:rStyle w:val="b"/>
          <w:color w:val="auto"/>
          <w:sz w:val="22"/>
          <w:szCs w:val="22"/>
        </w:rPr>
        <w:t>Halévy, J.</w:t>
      </w:r>
      <w:r w:rsidRPr="00B740B4">
        <w:t xml:space="preserve"> “Balthasar et Darius le Mède.” </w:t>
      </w:r>
      <w:r w:rsidR="002410DE" w:rsidRPr="00B740B4">
        <w:rPr>
          <w:rFonts w:eastAsiaTheme="minorHAnsi" w:cs="OJGFIJ+TimesNewRomanPSMT"/>
          <w:b/>
        </w:rPr>
        <w:t>Hilton, M</w:t>
      </w:r>
      <w:r w:rsidR="002410DE" w:rsidRPr="00B740B4">
        <w:rPr>
          <w:rFonts w:eastAsiaTheme="minorHAnsi" w:cs="OJGFIJ+TimesNewRomanPSMT"/>
        </w:rPr>
        <w:t xml:space="preserve">. “Babel Reversed.” </w:t>
      </w:r>
      <w:r w:rsidRPr="00B740B4">
        <w:rPr>
          <w:rStyle w:val="b"/>
          <w:color w:val="auto"/>
          <w:sz w:val="22"/>
          <w:szCs w:val="22"/>
        </w:rPr>
        <w:t>Hoffmann, G.</w:t>
      </w:r>
      <w:r w:rsidRPr="00B740B4">
        <w:t xml:space="preserve"> “Mene, mene tekel upharsin.” </w:t>
      </w:r>
      <w:r w:rsidRPr="00B740B4">
        <w:rPr>
          <w:rStyle w:val="b"/>
          <w:color w:val="auto"/>
          <w:sz w:val="22"/>
          <w:szCs w:val="22"/>
        </w:rPr>
        <w:t>Horner, J.</w:t>
      </w:r>
      <w:r w:rsidRPr="00B740B4">
        <w:t xml:space="preserve"> </w:t>
      </w:r>
      <w:r w:rsidRPr="00B740B4">
        <w:rPr>
          <w:rStyle w:val="i"/>
          <w:color w:val="auto"/>
          <w:szCs w:val="22"/>
        </w:rPr>
        <w:t>Daniel, Darius the Median, Cyrus the Great</w:t>
      </w:r>
      <w:r w:rsidR="00D57782" w:rsidRPr="00B740B4">
        <w:t xml:space="preserve">. </w:t>
      </w:r>
      <w:r w:rsidR="008E0249">
        <w:rPr>
          <w:rFonts w:eastAsiaTheme="minorHAnsi" w:cs="TimesNewRomanPS-BoldMT"/>
          <w:b/>
          <w:bCs/>
        </w:rPr>
        <w:t xml:space="preserve">Kirchmayr, K. P. </w:t>
      </w:r>
      <w:r w:rsidR="008E0249">
        <w:rPr>
          <w:rFonts w:eastAsiaTheme="minorHAnsi" w:cs="TimesNewRomanPS-BoldMT"/>
          <w:bCs/>
        </w:rPr>
        <w:t xml:space="preserve">“Mene-tekel-uparsin.” </w:t>
      </w:r>
      <w:r w:rsidRPr="00B740B4">
        <w:rPr>
          <w:rStyle w:val="b"/>
          <w:color w:val="auto"/>
          <w:sz w:val="22"/>
          <w:szCs w:val="22"/>
        </w:rPr>
        <w:t>Koch, K.</w:t>
      </w:r>
      <w:r w:rsidR="00D57782" w:rsidRPr="00B740B4">
        <w:t xml:space="preserve"> “Dareios, der Meder.” </w:t>
      </w:r>
      <w:r w:rsidRPr="00B740B4">
        <w:rPr>
          <w:rStyle w:val="b"/>
          <w:color w:val="auto"/>
          <w:sz w:val="22"/>
          <w:szCs w:val="22"/>
        </w:rPr>
        <w:t>König, E.</w:t>
      </w:r>
      <w:r w:rsidRPr="00B740B4">
        <w:t xml:space="preserve"> “Mené, mené, </w:t>
      </w:r>
      <w:r w:rsidRPr="00B740B4">
        <w:rPr>
          <w:rStyle w:val="theb"/>
          <w:color w:val="auto"/>
        </w:rPr>
        <w:t>teḳél</w:t>
      </w:r>
      <w:r w:rsidRPr="00B740B4">
        <w:t xml:space="preserve"> upharsin.” </w:t>
      </w:r>
      <w:r w:rsidRPr="00B740B4">
        <w:rPr>
          <w:rStyle w:val="b"/>
          <w:color w:val="auto"/>
          <w:sz w:val="22"/>
          <w:szCs w:val="22"/>
        </w:rPr>
        <w:t>König, F. W.</w:t>
      </w:r>
      <w:r w:rsidRPr="00B740B4">
        <w:t xml:space="preserve"> “Naboned und </w:t>
      </w:r>
      <w:r w:rsidRPr="00B740B4">
        <w:rPr>
          <w:rStyle w:val="theb"/>
          <w:color w:val="auto"/>
        </w:rPr>
        <w:t>Kuraš</w:t>
      </w:r>
      <w:r w:rsidRPr="00B740B4">
        <w:t xml:space="preserve">.” </w:t>
      </w:r>
      <w:r w:rsidRPr="00B740B4">
        <w:rPr>
          <w:rStyle w:val="b"/>
          <w:color w:val="auto"/>
          <w:sz w:val="22"/>
          <w:szCs w:val="22"/>
        </w:rPr>
        <w:t>Kraeling, E. G.</w:t>
      </w:r>
      <w:r w:rsidRPr="00B740B4">
        <w:t xml:space="preserve"> “The Handwriting on the Wall.” </w:t>
      </w:r>
      <w:r w:rsidRPr="00B740B4">
        <w:rPr>
          <w:rStyle w:val="b"/>
          <w:color w:val="auto"/>
          <w:sz w:val="22"/>
          <w:szCs w:val="22"/>
        </w:rPr>
        <w:t>Krappe, A. H.</w:t>
      </w:r>
      <w:r w:rsidRPr="00B740B4">
        <w:t xml:space="preserve"> “La vision de Balthassar.” </w:t>
      </w:r>
      <w:r w:rsidRPr="00B740B4">
        <w:rPr>
          <w:rStyle w:val="b"/>
          <w:color w:val="auto"/>
          <w:sz w:val="22"/>
          <w:szCs w:val="22"/>
        </w:rPr>
        <w:t>Lambert, W. G.</w:t>
      </w:r>
      <w:r w:rsidRPr="00B740B4">
        <w:t xml:space="preserve"> “Nabonidus in Arabia.” </w:t>
      </w:r>
      <w:r w:rsidRPr="00B740B4">
        <w:rPr>
          <w:rStyle w:val="b"/>
          <w:color w:val="auto"/>
          <w:sz w:val="22"/>
          <w:szCs w:val="22"/>
        </w:rPr>
        <w:t>Linder, J.</w:t>
      </w:r>
      <w:r w:rsidRPr="00B740B4">
        <w:t xml:space="preserve"> “Der König </w:t>
      </w:r>
      <w:r w:rsidRPr="00B740B4">
        <w:rPr>
          <w:rStyle w:val="theb"/>
          <w:color w:val="auto"/>
        </w:rPr>
        <w:t>Belšaṣṣar</w:t>
      </w:r>
      <w:r w:rsidRPr="00B740B4">
        <w:t xml:space="preserve"> nach dem Buche Daniel und</w:t>
      </w:r>
      <w:r w:rsidR="00C261EA" w:rsidRPr="00B740B4">
        <w:t xml:space="preserve"> </w:t>
      </w:r>
      <w:r w:rsidRPr="00B740B4">
        <w:t>den</w:t>
      </w:r>
      <w:r w:rsidR="00C261EA" w:rsidRPr="00B740B4">
        <w:t xml:space="preserve"> </w:t>
      </w:r>
      <w:r w:rsidRPr="00B740B4">
        <w:t xml:space="preserve">babylonischen keilinschriftlichen Berichten.” </w:t>
      </w:r>
      <w:r w:rsidRPr="00B740B4">
        <w:rPr>
          <w:rStyle w:val="b"/>
          <w:color w:val="auto"/>
          <w:sz w:val="22"/>
          <w:szCs w:val="22"/>
        </w:rPr>
        <w:t>Liptzin, S.</w:t>
      </w:r>
      <w:r w:rsidRPr="00B740B4">
        <w:t xml:space="preserve"> “Belshazzar’s Folly.” </w:t>
      </w:r>
      <w:r w:rsidRPr="00B740B4">
        <w:rPr>
          <w:rStyle w:val="b"/>
          <w:color w:val="auto"/>
          <w:sz w:val="22"/>
          <w:szCs w:val="22"/>
        </w:rPr>
        <w:t>Lister, J. M.</w:t>
      </w:r>
      <w:r w:rsidRPr="00B740B4">
        <w:t xml:space="preserve"> “‘Mene, mene, tekel, upharsin.’” </w:t>
      </w:r>
      <w:r w:rsidR="002A0439" w:rsidRPr="00B740B4">
        <w:rPr>
          <w:b/>
        </w:rPr>
        <w:t>Millard, A. R.</w:t>
      </w:r>
      <w:r w:rsidR="002A0439" w:rsidRPr="00B740B4">
        <w:t xml:space="preserve"> "Daniel and Belshazzar in History." </w:t>
      </w:r>
      <w:r w:rsidRPr="00B740B4">
        <w:rPr>
          <w:rStyle w:val="b"/>
          <w:color w:val="auto"/>
          <w:sz w:val="22"/>
          <w:szCs w:val="22"/>
        </w:rPr>
        <w:t>Nöldeke, T.</w:t>
      </w:r>
      <w:r w:rsidRPr="00B740B4">
        <w:t xml:space="preserve"> “Mene tekel upharsin.” </w:t>
      </w:r>
      <w:r w:rsidR="009E66A4" w:rsidRPr="00B740B4">
        <w:rPr>
          <w:b/>
        </w:rPr>
        <w:t>Pannkuk, J.</w:t>
      </w:r>
      <w:r w:rsidR="009E66A4" w:rsidRPr="00B740B4">
        <w:t xml:space="preserve"> “The Preface to OG Daniel 5.” </w:t>
      </w:r>
      <w:r w:rsidR="0072015E" w:rsidRPr="00B740B4">
        <w:rPr>
          <w:b/>
        </w:rPr>
        <w:t xml:space="preserve">Paul, S. M. </w:t>
      </w:r>
      <w:r w:rsidR="0072015E" w:rsidRPr="00B740B4">
        <w:t>”Decoding a ‘Joint’ Expression in Daniel 5:6, 16.”</w:t>
      </w:r>
      <w:r w:rsidR="0072015E" w:rsidRPr="00B740B4">
        <w:rPr>
          <w:b/>
        </w:rPr>
        <w:t xml:space="preserve"> </w:t>
      </w:r>
      <w:r w:rsidRPr="00B740B4">
        <w:rPr>
          <w:rStyle w:val="b"/>
          <w:color w:val="auto"/>
          <w:sz w:val="22"/>
          <w:szCs w:val="22"/>
        </w:rPr>
        <w:t>Peters, J. P.</w:t>
      </w:r>
      <w:r w:rsidR="00C261EA" w:rsidRPr="00B740B4">
        <w:t xml:space="preserve"> </w:t>
      </w:r>
      <w:r w:rsidR="000E277D" w:rsidRPr="00B740B4">
        <w:t>“Notes on the OT,”</w:t>
      </w:r>
      <w:r w:rsidRPr="00B740B4">
        <w:t xml:space="preserve"> 114–17. </w:t>
      </w:r>
      <w:r w:rsidRPr="00B740B4">
        <w:rPr>
          <w:rStyle w:val="b"/>
          <w:color w:val="auto"/>
          <w:sz w:val="22"/>
          <w:szCs w:val="22"/>
        </w:rPr>
        <w:t>Pinches, T. G.</w:t>
      </w:r>
      <w:r w:rsidRPr="00B740B4">
        <w:t xml:space="preserve"> “Fres</w:t>
      </w:r>
      <w:r w:rsidR="000E277D" w:rsidRPr="00B740B4">
        <w:t xml:space="preserve">h Light on the Book of Daniel.” </w:t>
      </w:r>
      <w:r w:rsidR="00782F6D" w:rsidRPr="00B740B4">
        <w:rPr>
          <w:rFonts w:eastAsia="Times-Roman"/>
          <w:b/>
        </w:rPr>
        <w:t xml:space="preserve">Polaski, D. C. </w:t>
      </w:r>
      <w:r w:rsidR="00782F6D" w:rsidRPr="00B740B4">
        <w:rPr>
          <w:rFonts w:eastAsia="Times-Roman"/>
        </w:rPr>
        <w:t>“</w:t>
      </w:r>
      <w:r w:rsidR="00782F6D" w:rsidRPr="00B740B4">
        <w:rPr>
          <w:rFonts w:eastAsia="Times-Roman"/>
          <w:i/>
        </w:rPr>
        <w:t>Mene, Mene, Tekel, Parsin</w:t>
      </w:r>
      <w:r w:rsidR="00782F6D" w:rsidRPr="00B740B4">
        <w:rPr>
          <w:rFonts w:eastAsia="Times-Roman"/>
        </w:rPr>
        <w:t xml:space="preserve">.” </w:t>
      </w:r>
      <w:r w:rsidRPr="00B740B4">
        <w:rPr>
          <w:rStyle w:val="b"/>
          <w:color w:val="auto"/>
          <w:sz w:val="22"/>
          <w:szCs w:val="22"/>
        </w:rPr>
        <w:t>Prince, J. D.</w:t>
      </w:r>
      <w:r w:rsidRPr="00B740B4">
        <w:t xml:space="preserve"> </w:t>
      </w:r>
      <w:r w:rsidRPr="00B740B4">
        <w:rPr>
          <w:rStyle w:val="i"/>
          <w:color w:val="auto"/>
          <w:szCs w:val="22"/>
        </w:rPr>
        <w:t>Mene Mene Tekel Upharsin</w:t>
      </w:r>
      <w:r w:rsidR="000E277D" w:rsidRPr="00B740B4">
        <w:t xml:space="preserve">. </w:t>
      </w:r>
      <w:r w:rsidRPr="00B740B4">
        <w:rPr>
          <w:rStyle w:val="b"/>
          <w:color w:val="auto"/>
          <w:sz w:val="22"/>
          <w:szCs w:val="22"/>
        </w:rPr>
        <w:t>Robinson, A. C.</w:t>
      </w:r>
      <w:r w:rsidR="000E277D" w:rsidRPr="00B740B4">
        <w:t xml:space="preserve"> “Darius the Median.” </w:t>
      </w:r>
      <w:r w:rsidR="000E277D" w:rsidRPr="00B740B4">
        <w:rPr>
          <w:rStyle w:val="b"/>
          <w:color w:val="auto"/>
          <w:sz w:val="22"/>
          <w:szCs w:val="22"/>
        </w:rPr>
        <w:t>Rowley, H. H</w:t>
      </w:r>
      <w:r w:rsidRPr="00B740B4">
        <w:t xml:space="preserve">. “The Belshazzar of Daniel and of History.” </w:t>
      </w:r>
      <w:r w:rsidR="000E277D" w:rsidRPr="00B740B4">
        <w:t xml:space="preserve">———. </w:t>
      </w:r>
      <w:r w:rsidR="000E277D" w:rsidRPr="00B740B4">
        <w:rPr>
          <w:i/>
        </w:rPr>
        <w:t>Darius the Mede and the Four Wor</w:t>
      </w:r>
      <w:r w:rsidR="00C261EA" w:rsidRPr="00B740B4">
        <w:rPr>
          <w:i/>
        </w:rPr>
        <w:t>ld Empires</w:t>
      </w:r>
      <w:r w:rsidR="000E277D" w:rsidRPr="00B740B4">
        <w:t xml:space="preserve">. </w:t>
      </w:r>
      <w:r w:rsidRPr="00B740B4">
        <w:t xml:space="preserve">———. “The Historicity of the Fifth Chapter of Daniel.” </w:t>
      </w:r>
      <w:r w:rsidR="000C05F0" w:rsidRPr="00B740B4">
        <w:rPr>
          <w:rFonts w:eastAsiaTheme="minorHAnsi" w:cs="Times New Roman"/>
          <w:b/>
        </w:rPr>
        <w:t>Segal, M.</w:t>
      </w:r>
      <w:r w:rsidR="000C05F0" w:rsidRPr="00B740B4">
        <w:rPr>
          <w:rFonts w:eastAsiaTheme="minorHAnsi" w:cs="Times New Roman"/>
        </w:rPr>
        <w:t xml:space="preserve"> “Rereading the Writing on the Wall.” </w:t>
      </w:r>
      <w:r w:rsidRPr="00B740B4">
        <w:rPr>
          <w:rStyle w:val="b"/>
          <w:color w:val="auto"/>
          <w:sz w:val="22"/>
          <w:szCs w:val="22"/>
        </w:rPr>
        <w:t>Shea, W. H.</w:t>
      </w:r>
      <w:r w:rsidR="004E621C" w:rsidRPr="00B740B4">
        <w:t xml:space="preserve"> “Darius the Mede.” ———. </w:t>
      </w:r>
      <w:r w:rsidR="00B37301" w:rsidRPr="00B740B4">
        <w:t xml:space="preserve">“Darius the Mede in His Persian-Babylonian Setting.” ———. </w:t>
      </w:r>
      <w:r w:rsidR="004E621C" w:rsidRPr="00B740B4">
        <w:t xml:space="preserve">“Further Literary Structures in Daniel 2–7,” 277–95. </w:t>
      </w:r>
      <w:r w:rsidRPr="00B740B4">
        <w:t>———. “Nabonidus, Belshazzar, and the Book of Daniel.”</w:t>
      </w:r>
      <w:r w:rsidR="004E621C" w:rsidRPr="00B740B4">
        <w:t xml:space="preserve">———. </w:t>
      </w:r>
      <w:r w:rsidR="00232B2F" w:rsidRPr="00B740B4">
        <w:t>“</w:t>
      </w:r>
      <w:r w:rsidR="00232B2F" w:rsidRPr="00B740B4">
        <w:rPr>
          <w:rFonts w:eastAsiaTheme="minorHAnsi" w:cs="CenturySchoolbook-Bold"/>
          <w:bCs/>
        </w:rPr>
        <w:t>Nabonidus Chronicle.”</w:t>
      </w:r>
      <w:r w:rsidR="00232B2F" w:rsidRPr="00B740B4">
        <w:t xml:space="preserve"> </w:t>
      </w:r>
      <w:r w:rsidR="00232B2F" w:rsidRPr="00B740B4">
        <w:rPr>
          <w:rFonts w:eastAsiaTheme="minorHAnsi" w:cs="CenturySchoolbook-Bold"/>
          <w:bCs/>
        </w:rPr>
        <w:t xml:space="preserve">———. </w:t>
      </w:r>
      <w:r w:rsidR="00232B2F" w:rsidRPr="00B740B4">
        <w:t xml:space="preserve"> “</w:t>
      </w:r>
      <w:r w:rsidR="00232B2F" w:rsidRPr="00B740B4">
        <w:rPr>
          <w:bCs/>
        </w:rPr>
        <w:t xml:space="preserve">The Search for Darius the Mede (Concluded). ———. </w:t>
      </w:r>
      <w:r w:rsidR="004E621C" w:rsidRPr="00B740B4">
        <w:t xml:space="preserve">“An Unrecognized Vassal King of Babylon in the Early Achaemenid Period.” </w:t>
      </w:r>
      <w:r w:rsidRPr="00B740B4">
        <w:rPr>
          <w:rStyle w:val="b"/>
          <w:color w:val="auto"/>
          <w:sz w:val="22"/>
          <w:szCs w:val="22"/>
        </w:rPr>
        <w:t>Smith, S.</w:t>
      </w:r>
      <w:r w:rsidRPr="00B740B4">
        <w:t xml:space="preserve"> </w:t>
      </w:r>
      <w:r w:rsidRPr="00B740B4">
        <w:rPr>
          <w:rStyle w:val="i"/>
          <w:color w:val="auto"/>
          <w:szCs w:val="22"/>
        </w:rPr>
        <w:t>Babylonian Historical Texts Relating to the Capture and Downfall of Babylon</w:t>
      </w:r>
      <w:r w:rsidR="00A876C4">
        <w:t xml:space="preserve">. </w:t>
      </w:r>
      <w:r w:rsidRPr="00B740B4">
        <w:rPr>
          <w:rStyle w:val="b"/>
          <w:color w:val="auto"/>
          <w:sz w:val="22"/>
          <w:szCs w:val="22"/>
        </w:rPr>
        <w:t>Sparks, H. F. D.</w:t>
      </w:r>
      <w:r w:rsidRPr="00B740B4">
        <w:t xml:space="preserve"> “On the Origin of Darius the Mede.” </w:t>
      </w:r>
      <w:r w:rsidR="008C1FF8" w:rsidRPr="000E4008">
        <w:rPr>
          <w:rFonts w:eastAsiaTheme="minorHAnsi" w:cs="TimesNewRoman"/>
          <w:b/>
        </w:rPr>
        <w:t>Stefanovic, Z.</w:t>
      </w:r>
      <w:r w:rsidR="008C1FF8">
        <w:rPr>
          <w:rFonts w:eastAsiaTheme="minorHAnsi" w:cs="TimesNewRoman"/>
        </w:rPr>
        <w:t xml:space="preserve"> “Like Father, Like Son.” </w:t>
      </w:r>
      <w:r w:rsidRPr="00B740B4">
        <w:rPr>
          <w:rStyle w:val="b"/>
          <w:color w:val="auto"/>
          <w:sz w:val="22"/>
          <w:szCs w:val="22"/>
        </w:rPr>
        <w:t>Steyl, C.</w:t>
      </w:r>
      <w:r w:rsidRPr="00B740B4">
        <w:t xml:space="preserve"> “</w:t>
      </w:r>
      <w:r w:rsidRPr="00B740B4">
        <w:rPr>
          <w:rStyle w:val="theb"/>
          <w:color w:val="auto"/>
        </w:rPr>
        <w:t>Měne měne těqel ufarsîn</w:t>
      </w:r>
      <w:r w:rsidR="004E621C" w:rsidRPr="00B740B4">
        <w:rPr>
          <w:rStyle w:val="theb"/>
          <w:color w:val="auto"/>
        </w:rPr>
        <w:t>.</w:t>
      </w:r>
      <w:r w:rsidR="004E621C" w:rsidRPr="00B740B4">
        <w:t xml:space="preserve">’” </w:t>
      </w:r>
      <w:r w:rsidR="00625F34" w:rsidRPr="00B740B4">
        <w:rPr>
          <w:rFonts w:eastAsia="Times-Roman" w:cs="Times-Roman"/>
          <w:b/>
        </w:rPr>
        <w:lastRenderedPageBreak/>
        <w:t>Van Deventer, H. J. M</w:t>
      </w:r>
      <w:r w:rsidR="00625F34" w:rsidRPr="00B740B4">
        <w:rPr>
          <w:rFonts w:eastAsia="Times-Roman" w:cs="Times-Roman"/>
        </w:rPr>
        <w:t>. “Another Wise Queen (Mother).” ———.</w:t>
      </w:r>
      <w:r w:rsidR="000B6BD4" w:rsidRPr="00B740B4">
        <w:rPr>
          <w:b/>
          <w:bCs/>
        </w:rPr>
        <w:t xml:space="preserve"> </w:t>
      </w:r>
      <w:r w:rsidR="000B6BD4" w:rsidRPr="00B740B4">
        <w:rPr>
          <w:rFonts w:ascii="Calibri" w:eastAsia="Times New Roman" w:hAnsi="Calibri" w:cs="Times New Roman"/>
          <w:b/>
          <w:bCs/>
          <w:szCs w:val="20"/>
        </w:rPr>
        <w:t xml:space="preserve"> </w:t>
      </w:r>
      <w:r w:rsidR="000B6BD4" w:rsidRPr="00B740B4">
        <w:rPr>
          <w:bCs/>
        </w:rPr>
        <w:t>“Would the Actually ‘Powerful’ Please Stand?”</w:t>
      </w:r>
      <w:r w:rsidR="000B6BD4" w:rsidRPr="00B740B4">
        <w:rPr>
          <w:b/>
          <w:bCs/>
        </w:rPr>
        <w:t xml:space="preserve"> </w:t>
      </w:r>
      <w:r w:rsidR="000E1FDC" w:rsidRPr="00B740B4">
        <w:rPr>
          <w:b/>
          <w:bCs/>
        </w:rPr>
        <w:t xml:space="preserve">Waterhouse, S. D. </w:t>
      </w:r>
      <w:r w:rsidR="000E1FDC" w:rsidRPr="00B740B4">
        <w:rPr>
          <w:bCs/>
        </w:rPr>
        <w:t xml:space="preserve">“Why was Darius the Mede Expunged from History?” in Merling (ed.), </w:t>
      </w:r>
      <w:r w:rsidR="000E1FDC" w:rsidRPr="00B740B4">
        <w:rPr>
          <w:bCs/>
          <w:i/>
        </w:rPr>
        <w:t>To Understand the Scriptures</w:t>
      </w:r>
      <w:r w:rsidR="000E1FDC" w:rsidRPr="00B740B4">
        <w:rPr>
          <w:bCs/>
        </w:rPr>
        <w:t xml:space="preserve">, 173-89. </w:t>
      </w:r>
      <w:r w:rsidRPr="00B740B4">
        <w:rPr>
          <w:rStyle w:val="b"/>
          <w:color w:val="auto"/>
          <w:sz w:val="22"/>
          <w:szCs w:val="22"/>
        </w:rPr>
        <w:t>Whitcomb, J. H.</w:t>
      </w:r>
      <w:r w:rsidRPr="00B740B4">
        <w:t xml:space="preserve"> </w:t>
      </w:r>
      <w:r w:rsidRPr="00B740B4">
        <w:rPr>
          <w:rStyle w:val="i"/>
          <w:color w:val="auto"/>
          <w:szCs w:val="22"/>
        </w:rPr>
        <w:t>Darius the Mede</w:t>
      </w:r>
      <w:r w:rsidR="004E621C" w:rsidRPr="00B740B4">
        <w:t xml:space="preserve">. </w:t>
      </w:r>
      <w:r w:rsidRPr="00B740B4">
        <w:rPr>
          <w:rStyle w:val="b"/>
          <w:color w:val="auto"/>
          <w:sz w:val="22"/>
          <w:szCs w:val="22"/>
        </w:rPr>
        <w:t>Wilson, R. D.</w:t>
      </w:r>
      <w:r w:rsidRPr="00B740B4">
        <w:t xml:space="preserve"> </w:t>
      </w:r>
      <w:r w:rsidR="004E621C" w:rsidRPr="00B740B4">
        <w:rPr>
          <w:i/>
        </w:rPr>
        <w:t>Studies in the Book of Daniel</w:t>
      </w:r>
      <w:r w:rsidR="004E621C" w:rsidRPr="00B740B4">
        <w:t xml:space="preserve"> </w:t>
      </w:r>
      <w:r w:rsidRPr="00B740B4">
        <w:t>1:</w:t>
      </w:r>
      <w:r w:rsidR="00A97DAE" w:rsidRPr="00B740B4">
        <w:t xml:space="preserve">96–263. ———. “Darius the Mede.”  </w:t>
      </w:r>
      <w:r w:rsidRPr="00B740B4">
        <w:rPr>
          <w:rStyle w:val="b"/>
          <w:color w:val="auto"/>
          <w:sz w:val="22"/>
          <w:szCs w:val="22"/>
        </w:rPr>
        <w:t>Wiseman, D. J.,</w:t>
      </w:r>
      <w:r w:rsidRPr="00B740B4">
        <w:t xml:space="preserve"> et al. </w:t>
      </w:r>
      <w:r w:rsidRPr="00B740B4">
        <w:rPr>
          <w:rStyle w:val="i"/>
          <w:color w:val="auto"/>
          <w:szCs w:val="22"/>
        </w:rPr>
        <w:t>Notes</w:t>
      </w:r>
      <w:r w:rsidR="00A97DAE" w:rsidRPr="00B740B4">
        <w:rPr>
          <w:rStyle w:val="i"/>
          <w:color w:val="auto"/>
          <w:szCs w:val="22"/>
        </w:rPr>
        <w:t xml:space="preserve"> </w:t>
      </w:r>
      <w:r w:rsidR="00A97DAE" w:rsidRPr="00B740B4">
        <w:rPr>
          <w:i/>
        </w:rPr>
        <w:t>on Some Problems in the Book of Daniel</w:t>
      </w:r>
      <w:r w:rsidR="00C261EA" w:rsidRPr="00B740B4">
        <w:t>,</w:t>
      </w:r>
      <w:r w:rsidRPr="00B740B4">
        <w:t xml:space="preserve"> 9–16. </w:t>
      </w:r>
      <w:r w:rsidR="005E5063" w:rsidRPr="00B740B4">
        <w:rPr>
          <w:rStyle w:val="b"/>
          <w:color w:val="auto"/>
          <w:sz w:val="22"/>
          <w:szCs w:val="22"/>
        </w:rPr>
        <w:t>Wolters, A. “</w:t>
      </w:r>
      <w:r w:rsidR="005E5063" w:rsidRPr="00B740B4">
        <w:rPr>
          <w:rFonts w:eastAsiaTheme="minorHAnsi"/>
          <w:iCs/>
        </w:rPr>
        <w:t xml:space="preserve">Belshazzar's Feast and the Cult of the Moon God Sîn.” </w:t>
      </w:r>
      <w:r w:rsidR="003C562F" w:rsidRPr="00B740B4">
        <w:rPr>
          <w:rFonts w:eastAsiaTheme="minorHAnsi"/>
          <w:iCs/>
        </w:rPr>
        <w:t xml:space="preserve">———. </w:t>
      </w:r>
      <w:r w:rsidR="003C562F" w:rsidRPr="00B740B4">
        <w:rPr>
          <w:rStyle w:val="nlmyear"/>
        </w:rPr>
        <w:t>“</w:t>
      </w:r>
      <w:r w:rsidR="003C562F" w:rsidRPr="00B740B4">
        <w:rPr>
          <w:rStyle w:val="nlmarticle-title"/>
        </w:rPr>
        <w:t>The Riddle of the Scales in Daniel 5</w:t>
      </w:r>
      <w:r w:rsidR="003C562F" w:rsidRPr="00B740B4">
        <w:t xml:space="preserve">.” ———. </w:t>
      </w:r>
      <w:r w:rsidR="003C562F" w:rsidRPr="00B740B4">
        <w:rPr>
          <w:rFonts w:eastAsiaTheme="minorHAnsi"/>
          <w:iCs/>
        </w:rPr>
        <w:t>“Untying the King’s Knots.”</w:t>
      </w:r>
      <w:r w:rsidR="003C562F" w:rsidRPr="00B740B4">
        <w:rPr>
          <w:rFonts w:eastAsiaTheme="minorHAnsi"/>
          <w:b/>
          <w:iCs/>
        </w:rPr>
        <w:t xml:space="preserve">  </w:t>
      </w:r>
      <w:r w:rsidR="00221E50" w:rsidRPr="00B740B4">
        <w:rPr>
          <w:rFonts w:eastAsiaTheme="minorHAnsi"/>
          <w:b/>
          <w:iCs/>
        </w:rPr>
        <w:t>Young, I.</w:t>
      </w:r>
      <w:r w:rsidR="00221E50" w:rsidRPr="00B740B4">
        <w:rPr>
          <w:rFonts w:eastAsiaTheme="minorHAnsi"/>
          <w:iCs/>
        </w:rPr>
        <w:t xml:space="preserve"> “The Original Problem.”</w:t>
      </w:r>
      <w:r w:rsidR="00221E50" w:rsidRPr="00B740B4">
        <w:rPr>
          <w:rFonts w:eastAsiaTheme="minorHAnsi"/>
          <w:b/>
          <w:iCs/>
        </w:rPr>
        <w:t xml:space="preserve"> </w:t>
      </w:r>
      <w:r w:rsidRPr="00B740B4">
        <w:rPr>
          <w:rStyle w:val="b"/>
          <w:color w:val="auto"/>
          <w:sz w:val="22"/>
          <w:szCs w:val="22"/>
        </w:rPr>
        <w:t>Zimmermann, F.</w:t>
      </w:r>
      <w:r w:rsidRPr="00B740B4">
        <w:t xml:space="preserve"> “The Writing on the Wall.” </w:t>
      </w:r>
    </w:p>
    <w:p w:rsidR="00E13251" w:rsidRPr="00B740B4" w:rsidRDefault="00E13251" w:rsidP="009479B1">
      <w:pPr>
        <w:pStyle w:val="Heading2"/>
      </w:pPr>
      <w:r w:rsidRPr="00B740B4">
        <w:t>Translation</w:t>
      </w:r>
    </w:p>
    <w:p w:rsidR="00DC5105" w:rsidRPr="00B740B4" w:rsidRDefault="00E13251" w:rsidP="00661970">
      <w:r w:rsidRPr="00B740B4">
        <w:rPr>
          <w:rStyle w:val="ver"/>
        </w:rPr>
        <w:t>1</w:t>
      </w:r>
      <w:r w:rsidR="00A97DAE" w:rsidRPr="00B740B4">
        <w:rPr>
          <w:rStyle w:val="i"/>
          <w:color w:val="auto"/>
        </w:rPr>
        <w:t xml:space="preserve">King </w:t>
      </w:r>
      <w:r w:rsidR="00481E3E" w:rsidRPr="00B740B4">
        <w:rPr>
          <w:i/>
          <w:szCs w:val="24"/>
        </w:rPr>
        <w:t>B</w:t>
      </w:r>
      <w:r w:rsidR="003D0206">
        <w:rPr>
          <w:i/>
          <w:szCs w:val="24"/>
        </w:rPr>
        <w:t>elš</w:t>
      </w:r>
      <w:r w:rsidR="00A97DAE" w:rsidRPr="00B740B4">
        <w:rPr>
          <w:i/>
          <w:szCs w:val="24"/>
        </w:rPr>
        <w:t xml:space="preserve">a’ṣṣar </w:t>
      </w:r>
      <w:r w:rsidRPr="00B740B4">
        <w:rPr>
          <w:rStyle w:val="fnref"/>
        </w:rPr>
        <w:t>a</w:t>
      </w:r>
      <w:r w:rsidRPr="00B740B4">
        <w:t xml:space="preserve"> </w:t>
      </w:r>
      <w:r w:rsidR="00070178" w:rsidRPr="00B740B4">
        <w:rPr>
          <w:rStyle w:val="i"/>
          <w:color w:val="auto"/>
        </w:rPr>
        <w:t>gave a great dinner</w:t>
      </w:r>
      <w:r w:rsidRPr="00B740B4">
        <w:rPr>
          <w:rStyle w:val="i"/>
          <w:color w:val="auto"/>
        </w:rPr>
        <w:t xml:space="preserve"> for his thousand </w:t>
      </w:r>
      <w:r w:rsidR="00973FEA" w:rsidRPr="00B740B4">
        <w:rPr>
          <w:rStyle w:val="i"/>
          <w:color w:val="auto"/>
        </w:rPr>
        <w:t>lord</w:t>
      </w:r>
      <w:r w:rsidRPr="00B740B4">
        <w:rPr>
          <w:rStyle w:val="i"/>
          <w:color w:val="auto"/>
        </w:rPr>
        <w:t>s,</w:t>
      </w:r>
      <w:r w:rsidRPr="00B740B4">
        <w:rPr>
          <w:rStyle w:val="fnref"/>
        </w:rPr>
        <w:t>b</w:t>
      </w:r>
      <w:r w:rsidRPr="00B740B4">
        <w:t xml:space="preserve"> </w:t>
      </w:r>
      <w:r w:rsidRPr="00B740B4">
        <w:rPr>
          <w:rStyle w:val="i"/>
          <w:color w:val="auto"/>
        </w:rPr>
        <w:t>and he was drinking wine</w:t>
      </w:r>
      <w:r w:rsidRPr="00B740B4">
        <w:t xml:space="preserve"> </w:t>
      </w:r>
      <w:r w:rsidRPr="00B740B4">
        <w:rPr>
          <w:rStyle w:val="fnref"/>
        </w:rPr>
        <w:t>c</w:t>
      </w:r>
      <w:r w:rsidRPr="00B740B4">
        <w:rPr>
          <w:rStyle w:val="i"/>
          <w:color w:val="auto"/>
        </w:rPr>
        <w:t>in the company of</w:t>
      </w:r>
      <w:r w:rsidRPr="00B740B4">
        <w:rPr>
          <w:rStyle w:val="fnref"/>
        </w:rPr>
        <w:t>c</w:t>
      </w:r>
      <w:r w:rsidRPr="00B740B4">
        <w:rPr>
          <w:rStyle w:val="i"/>
          <w:color w:val="auto"/>
        </w:rPr>
        <w:t>these thousand.</w:t>
      </w:r>
      <w:r w:rsidRPr="00B740B4">
        <w:t xml:space="preserve"> </w:t>
      </w:r>
      <w:r w:rsidRPr="00B740B4">
        <w:rPr>
          <w:rStyle w:val="ver"/>
        </w:rPr>
        <w:t>2</w:t>
      </w:r>
      <w:r w:rsidRPr="00B740B4">
        <w:rPr>
          <w:rStyle w:val="fnref"/>
        </w:rPr>
        <w:t>a</w:t>
      </w:r>
      <w:r w:rsidRPr="00B740B4">
        <w:rPr>
          <w:rStyle w:val="i"/>
          <w:color w:val="auto"/>
        </w:rPr>
        <w:t>When he tasted</w:t>
      </w:r>
      <w:r w:rsidRPr="00B740B4">
        <w:rPr>
          <w:rStyle w:val="fnref"/>
        </w:rPr>
        <w:t>a</w:t>
      </w:r>
      <w:r w:rsidRPr="00B740B4">
        <w:t xml:space="preserve"> </w:t>
      </w:r>
      <w:r w:rsidRPr="00B740B4">
        <w:rPr>
          <w:rStyle w:val="i"/>
          <w:color w:val="auto"/>
        </w:rPr>
        <w:t xml:space="preserve">the wine, </w:t>
      </w:r>
      <w:r w:rsidR="003D0206">
        <w:rPr>
          <w:rStyle w:val="i"/>
          <w:color w:val="auto"/>
        </w:rPr>
        <w:t>Belš</w:t>
      </w:r>
      <w:r w:rsidR="00A97DAE" w:rsidRPr="00B740B4">
        <w:rPr>
          <w:rStyle w:val="i"/>
          <w:color w:val="auto"/>
        </w:rPr>
        <w:t xml:space="preserve">a’ṣṣar </w:t>
      </w:r>
      <w:r w:rsidR="00ED4749">
        <w:rPr>
          <w:rStyle w:val="i"/>
          <w:color w:val="auto"/>
        </w:rPr>
        <w:t xml:space="preserve">said </w:t>
      </w:r>
      <w:r w:rsidRPr="00B740B4">
        <w:rPr>
          <w:rStyle w:val="i"/>
          <w:color w:val="auto"/>
        </w:rPr>
        <w:t>to bring the gold and silver</w:t>
      </w:r>
      <w:r w:rsidR="00A15C99" w:rsidRPr="00B740B4">
        <w:rPr>
          <w:rStyle w:val="i"/>
          <w:color w:val="auto"/>
        </w:rPr>
        <w:t xml:space="preserve"> vessels which his father </w:t>
      </w:r>
      <w:r w:rsidR="00A15C99" w:rsidRPr="00B740B4">
        <w:rPr>
          <w:i/>
          <w:szCs w:val="24"/>
        </w:rPr>
        <w:t>Nebukadne’ṣṣar</w:t>
      </w:r>
      <w:r w:rsidRPr="00B740B4">
        <w:rPr>
          <w:rStyle w:val="i"/>
          <w:color w:val="auto"/>
        </w:rPr>
        <w:t xml:space="preserve"> had taken </w:t>
      </w:r>
      <w:r w:rsidR="00725056" w:rsidRPr="00B740B4">
        <w:rPr>
          <w:rStyle w:val="i"/>
          <w:color w:val="auto"/>
        </w:rPr>
        <w:t xml:space="preserve">out </w:t>
      </w:r>
      <w:r w:rsidR="00DD4D47" w:rsidRPr="00B740B4">
        <w:rPr>
          <w:rStyle w:val="i"/>
          <w:color w:val="auto"/>
        </w:rPr>
        <w:t>from the palace</w:t>
      </w:r>
      <w:r w:rsidRPr="00B740B4">
        <w:rPr>
          <w:rStyle w:val="i"/>
          <w:color w:val="auto"/>
        </w:rPr>
        <w:t xml:space="preserve"> in Jerusalem, so that the king and his </w:t>
      </w:r>
      <w:r w:rsidR="00973FEA" w:rsidRPr="00B740B4">
        <w:rPr>
          <w:rStyle w:val="i"/>
          <w:color w:val="auto"/>
        </w:rPr>
        <w:t>lord</w:t>
      </w:r>
      <w:r w:rsidRPr="00B740B4">
        <w:rPr>
          <w:rStyle w:val="i"/>
          <w:color w:val="auto"/>
        </w:rPr>
        <w:t>s, his consorts, and his mistresses</w:t>
      </w:r>
      <w:r w:rsidRPr="00B740B4">
        <w:rPr>
          <w:rStyle w:val="fnref"/>
        </w:rPr>
        <w:t>b</w:t>
      </w:r>
      <w:r w:rsidRPr="00B740B4">
        <w:t xml:space="preserve"> </w:t>
      </w:r>
      <w:r w:rsidRPr="00B740B4">
        <w:rPr>
          <w:rStyle w:val="i"/>
          <w:color w:val="auto"/>
        </w:rPr>
        <w:t>could drink from them.</w:t>
      </w:r>
      <w:r w:rsidRPr="00B740B4">
        <w:t xml:space="preserve"> </w:t>
      </w:r>
      <w:r w:rsidRPr="00B740B4">
        <w:rPr>
          <w:rStyle w:val="ver"/>
        </w:rPr>
        <w:t>3</w:t>
      </w:r>
      <w:r w:rsidR="002D4AC4">
        <w:rPr>
          <w:rStyle w:val="ver"/>
        </w:rPr>
        <w:t>a</w:t>
      </w:r>
      <w:r w:rsidRPr="00B740B4">
        <w:rPr>
          <w:rStyle w:val="i"/>
          <w:color w:val="auto"/>
        </w:rPr>
        <w:t>The</w:t>
      </w:r>
      <w:r w:rsidR="000B2400">
        <w:rPr>
          <w:rStyle w:val="i"/>
          <w:color w:val="auto"/>
        </w:rPr>
        <w:t xml:space="preserve">y brought the </w:t>
      </w:r>
      <w:r w:rsidRPr="00B740B4">
        <w:rPr>
          <w:rStyle w:val="i"/>
          <w:color w:val="auto"/>
        </w:rPr>
        <w:t xml:space="preserve"> gold</w:t>
      </w:r>
      <w:r w:rsidR="002D4AC4">
        <w:rPr>
          <w:rStyle w:val="fnref"/>
        </w:rPr>
        <w:t>b</w:t>
      </w:r>
      <w:r w:rsidRPr="00B740B4">
        <w:t xml:space="preserve"> </w:t>
      </w:r>
      <w:r w:rsidRPr="00B740B4">
        <w:rPr>
          <w:rStyle w:val="i"/>
          <w:color w:val="auto"/>
        </w:rPr>
        <w:t xml:space="preserve">vessels which had been taken </w:t>
      </w:r>
      <w:r w:rsidR="00725056" w:rsidRPr="00B740B4">
        <w:rPr>
          <w:rStyle w:val="i"/>
          <w:color w:val="auto"/>
        </w:rPr>
        <w:t xml:space="preserve">out </w:t>
      </w:r>
      <w:r w:rsidRPr="00B740B4">
        <w:rPr>
          <w:rStyle w:val="i"/>
          <w:color w:val="auto"/>
        </w:rPr>
        <w:t>from</w:t>
      </w:r>
      <w:r w:rsidRPr="00B740B4">
        <w:t xml:space="preserve"> </w:t>
      </w:r>
      <w:r w:rsidR="002D4AC4">
        <w:rPr>
          <w:rStyle w:val="fnref"/>
        </w:rPr>
        <w:t>c</w:t>
      </w:r>
      <w:r w:rsidR="00680705" w:rsidRPr="00B740B4">
        <w:rPr>
          <w:rStyle w:val="i"/>
          <w:color w:val="auto"/>
        </w:rPr>
        <w:t>the palace</w:t>
      </w:r>
      <w:r w:rsidRPr="00B740B4">
        <w:rPr>
          <w:rStyle w:val="i"/>
          <w:color w:val="auto"/>
        </w:rPr>
        <w:t xml:space="preserve"> in the house of God</w:t>
      </w:r>
      <w:r w:rsidR="002D4AC4">
        <w:rPr>
          <w:rStyle w:val="fnref"/>
        </w:rPr>
        <w:t>c</w:t>
      </w:r>
      <w:r w:rsidRPr="00B740B4">
        <w:t xml:space="preserve"> </w:t>
      </w:r>
      <w:r w:rsidR="00711AA3" w:rsidRPr="00B740B4">
        <w:rPr>
          <w:rStyle w:val="i"/>
          <w:color w:val="auto"/>
        </w:rPr>
        <w:t xml:space="preserve">in </w:t>
      </w:r>
      <w:r w:rsidR="005758F2">
        <w:rPr>
          <w:i/>
          <w:szCs w:val="24"/>
        </w:rPr>
        <w:t>Yeruš</w:t>
      </w:r>
      <w:r w:rsidR="00711AA3" w:rsidRPr="00B740B4">
        <w:rPr>
          <w:i/>
          <w:szCs w:val="24"/>
        </w:rPr>
        <w:t>alem</w:t>
      </w:r>
      <w:r w:rsidRPr="00B740B4">
        <w:rPr>
          <w:rStyle w:val="i"/>
          <w:color w:val="auto"/>
        </w:rPr>
        <w:t xml:space="preserve">, and the king and his </w:t>
      </w:r>
      <w:r w:rsidR="00973FEA" w:rsidRPr="00B740B4">
        <w:rPr>
          <w:rStyle w:val="i"/>
          <w:color w:val="auto"/>
        </w:rPr>
        <w:t>lord</w:t>
      </w:r>
      <w:r w:rsidRPr="00B740B4">
        <w:rPr>
          <w:rStyle w:val="i"/>
          <w:color w:val="auto"/>
        </w:rPr>
        <w:t>s, his c</w:t>
      </w:r>
      <w:r w:rsidR="008E785C" w:rsidRPr="00B740B4">
        <w:rPr>
          <w:rStyle w:val="i"/>
          <w:color w:val="auto"/>
        </w:rPr>
        <w:t xml:space="preserve">onsorts, and his mistresses </w:t>
      </w:r>
      <w:r w:rsidR="005758F2">
        <w:rPr>
          <w:rStyle w:val="i"/>
          <w:color w:val="auto"/>
        </w:rPr>
        <w:t>dra</w:t>
      </w:r>
      <w:r w:rsidRPr="00B740B4">
        <w:rPr>
          <w:rStyle w:val="i"/>
          <w:color w:val="auto"/>
        </w:rPr>
        <w:t>nk</w:t>
      </w:r>
      <w:r w:rsidR="002D4AC4">
        <w:rPr>
          <w:rStyle w:val="fnref"/>
        </w:rPr>
        <w:t>d</w:t>
      </w:r>
      <w:r w:rsidRPr="00B740B4">
        <w:t xml:space="preserve"> </w:t>
      </w:r>
      <w:r w:rsidRPr="00B740B4">
        <w:rPr>
          <w:rStyle w:val="i"/>
          <w:color w:val="auto"/>
        </w:rPr>
        <w:t>from them.</w:t>
      </w:r>
      <w:r w:rsidRPr="00B740B4">
        <w:t xml:space="preserve"> </w:t>
      </w:r>
      <w:r w:rsidRPr="00B740B4">
        <w:rPr>
          <w:rStyle w:val="ver"/>
        </w:rPr>
        <w:t>4</w:t>
      </w:r>
      <w:r w:rsidRPr="00B740B4">
        <w:rPr>
          <w:rStyle w:val="i"/>
          <w:color w:val="auto"/>
        </w:rPr>
        <w:t>As they drank the wine, they praised the gods of gold and silver, of bronze, iron, wood, and stone.</w:t>
      </w:r>
      <w:r w:rsidRPr="00B740B4">
        <w:t xml:space="preserve"> </w:t>
      </w:r>
    </w:p>
    <w:p w:rsidR="00E13251" w:rsidRPr="00B740B4" w:rsidRDefault="00E13251" w:rsidP="00661970">
      <w:r w:rsidRPr="00B740B4">
        <w:rPr>
          <w:rStyle w:val="ver"/>
        </w:rPr>
        <w:t>5</w:t>
      </w:r>
      <w:r w:rsidRPr="00B740B4">
        <w:rPr>
          <w:rStyle w:val="i"/>
          <w:color w:val="auto"/>
        </w:rPr>
        <w:t xml:space="preserve">That very moment the </w:t>
      </w:r>
      <w:r w:rsidR="005758F2">
        <w:rPr>
          <w:rStyle w:val="i"/>
          <w:color w:val="auto"/>
        </w:rPr>
        <w:t xml:space="preserve">fingers of a human hand went </w:t>
      </w:r>
      <w:r w:rsidR="00725056" w:rsidRPr="00B740B4">
        <w:rPr>
          <w:rStyle w:val="i"/>
          <w:color w:val="auto"/>
        </w:rPr>
        <w:t>out</w:t>
      </w:r>
      <w:r w:rsidRPr="00B740B4">
        <w:rPr>
          <w:rStyle w:val="fnref"/>
        </w:rPr>
        <w:t>a</w:t>
      </w:r>
      <w:r w:rsidRPr="00B740B4">
        <w:t xml:space="preserve"> </w:t>
      </w:r>
      <w:r w:rsidRPr="00B740B4">
        <w:rPr>
          <w:rStyle w:val="i"/>
          <w:color w:val="auto"/>
        </w:rPr>
        <w:t xml:space="preserve">and </w:t>
      </w:r>
      <w:r w:rsidR="00827615">
        <w:rPr>
          <w:rStyle w:val="i"/>
          <w:color w:val="auto"/>
        </w:rPr>
        <w:t>they were writing</w:t>
      </w:r>
      <w:r w:rsidRPr="00B740B4">
        <w:rPr>
          <w:rStyle w:val="i"/>
          <w:color w:val="auto"/>
        </w:rPr>
        <w:t xml:space="preserve"> on the plaster of the wall of the royal palace, over against the candelabra. The king could see the actual</w:t>
      </w:r>
      <w:r w:rsidRPr="00B740B4">
        <w:rPr>
          <w:rStyle w:val="fnref"/>
        </w:rPr>
        <w:t>b</w:t>
      </w:r>
      <w:r w:rsidRPr="00B740B4">
        <w:t xml:space="preserve"> </w:t>
      </w:r>
      <w:r w:rsidRPr="00B740B4">
        <w:rPr>
          <w:rStyle w:val="i"/>
          <w:color w:val="auto"/>
        </w:rPr>
        <w:t xml:space="preserve">hand as it </w:t>
      </w:r>
      <w:r w:rsidR="00827615">
        <w:rPr>
          <w:rStyle w:val="i"/>
          <w:color w:val="auto"/>
        </w:rPr>
        <w:t>was writing</w:t>
      </w:r>
      <w:r w:rsidRPr="00B740B4">
        <w:rPr>
          <w:rStyle w:val="i"/>
          <w:color w:val="auto"/>
        </w:rPr>
        <w:t>.</w:t>
      </w:r>
      <w:r w:rsidRPr="00B740B4">
        <w:t xml:space="preserve"> </w:t>
      </w:r>
      <w:r w:rsidRPr="00B740B4">
        <w:rPr>
          <w:rStyle w:val="ver"/>
        </w:rPr>
        <w:t>6</w:t>
      </w:r>
      <w:r w:rsidR="00630C44" w:rsidRPr="00B740B4">
        <w:rPr>
          <w:rStyle w:val="i"/>
          <w:color w:val="auto"/>
        </w:rPr>
        <w:t>The king</w:t>
      </w:r>
      <w:r w:rsidR="00AC6022" w:rsidRPr="00B740B4">
        <w:rPr>
          <w:rStyle w:val="i"/>
          <w:color w:val="auto"/>
          <w:vertAlign w:val="superscript"/>
        </w:rPr>
        <w:t>a</w:t>
      </w:r>
      <w:r w:rsidR="00630C44" w:rsidRPr="00B740B4">
        <w:rPr>
          <w:rStyle w:val="i"/>
          <w:color w:val="auto"/>
        </w:rPr>
        <w:t>—his face fell</w:t>
      </w:r>
      <w:r w:rsidR="00AC6022" w:rsidRPr="00B740B4">
        <w:rPr>
          <w:rStyle w:val="fnref"/>
        </w:rPr>
        <w:t>b</w:t>
      </w:r>
      <w:r w:rsidRPr="00B740B4">
        <w:t xml:space="preserve"> </w:t>
      </w:r>
      <w:r w:rsidRPr="00B740B4">
        <w:rPr>
          <w:rStyle w:val="i"/>
          <w:color w:val="auto"/>
        </w:rPr>
        <w:t>and his mind was filled with alarm.</w:t>
      </w:r>
      <w:r w:rsidRPr="00B740B4">
        <w:t xml:space="preserve"> </w:t>
      </w:r>
      <w:r w:rsidR="00EF7791" w:rsidRPr="00B740B4">
        <w:rPr>
          <w:rStyle w:val="i"/>
          <w:color w:val="auto"/>
        </w:rPr>
        <w:t>The knots of his hips</w:t>
      </w:r>
      <w:r w:rsidR="00C24D27" w:rsidRPr="00B740B4">
        <w:rPr>
          <w:rStyle w:val="i"/>
          <w:color w:val="auto"/>
        </w:rPr>
        <w:t xml:space="preserve"> went loose </w:t>
      </w:r>
      <w:r w:rsidRPr="00B740B4">
        <w:rPr>
          <w:rStyle w:val="i"/>
          <w:color w:val="auto"/>
        </w:rPr>
        <w:t>and his knees knocked against each other.</w:t>
      </w:r>
      <w:r w:rsidRPr="00B740B4">
        <w:t xml:space="preserve"> </w:t>
      </w:r>
      <w:r w:rsidRPr="00B740B4">
        <w:rPr>
          <w:rStyle w:val="ver"/>
        </w:rPr>
        <w:t>7</w:t>
      </w:r>
      <w:r w:rsidRPr="00B740B4">
        <w:rPr>
          <w:rStyle w:val="i"/>
          <w:color w:val="auto"/>
        </w:rPr>
        <w:t xml:space="preserve">The king called in a loud voice </w:t>
      </w:r>
      <w:r w:rsidR="005758F2">
        <w:rPr>
          <w:rStyle w:val="i"/>
          <w:color w:val="auto"/>
        </w:rPr>
        <w:t xml:space="preserve">to fetch </w:t>
      </w:r>
      <w:r w:rsidRPr="00B740B4">
        <w:rPr>
          <w:rStyle w:val="i"/>
          <w:color w:val="auto"/>
        </w:rPr>
        <w:t>the chanters,</w:t>
      </w:r>
      <w:r w:rsidRPr="00B740B4">
        <w:rPr>
          <w:rStyle w:val="fnref"/>
        </w:rPr>
        <w:t>a</w:t>
      </w:r>
      <w:r w:rsidRPr="00B740B4">
        <w:t xml:space="preserve"> </w:t>
      </w:r>
      <w:r w:rsidR="003D37D0" w:rsidRPr="00B740B4">
        <w:rPr>
          <w:rStyle w:val="i"/>
          <w:color w:val="auto"/>
        </w:rPr>
        <w:t>the Kasdites</w:t>
      </w:r>
      <w:r w:rsidRPr="00B740B4">
        <w:rPr>
          <w:rStyle w:val="i"/>
          <w:color w:val="auto"/>
        </w:rPr>
        <w:t>, and th</w:t>
      </w:r>
      <w:r w:rsidR="005758F2">
        <w:rPr>
          <w:rStyle w:val="i"/>
          <w:color w:val="auto"/>
        </w:rPr>
        <w:t>e exorcists. He averred</w:t>
      </w:r>
      <w:r w:rsidR="003D37D0" w:rsidRPr="00B740B4">
        <w:rPr>
          <w:rStyle w:val="i"/>
          <w:color w:val="auto"/>
        </w:rPr>
        <w:t xml:space="preserve"> to the Babylonian expert</w:t>
      </w:r>
      <w:r w:rsidRPr="00B740B4">
        <w:rPr>
          <w:rStyle w:val="i"/>
          <w:color w:val="auto"/>
        </w:rPr>
        <w:t>s, “Anyone who can read out this inscription and explain its interpretation shall wear the purple, with the gold chain</w:t>
      </w:r>
      <w:r w:rsidRPr="00B740B4">
        <w:rPr>
          <w:rStyle w:val="fnref"/>
        </w:rPr>
        <w:t>b</w:t>
      </w:r>
      <w:r w:rsidRPr="00B740B4">
        <w:t xml:space="preserve"> </w:t>
      </w:r>
      <w:r w:rsidR="00CE7047" w:rsidRPr="00B740B4">
        <w:t>a</w:t>
      </w:r>
      <w:r w:rsidRPr="00B740B4">
        <w:rPr>
          <w:rStyle w:val="i"/>
          <w:color w:val="auto"/>
        </w:rPr>
        <w:t xml:space="preserve">round his neck, and </w:t>
      </w:r>
      <w:r w:rsidR="003D37D0" w:rsidRPr="00B740B4">
        <w:rPr>
          <w:rStyle w:val="i"/>
          <w:color w:val="auto"/>
        </w:rPr>
        <w:t xml:space="preserve">shall </w:t>
      </w:r>
      <w:r w:rsidRPr="00B740B4">
        <w:rPr>
          <w:rStyle w:val="i"/>
          <w:color w:val="auto"/>
        </w:rPr>
        <w:t>rule as a Deputy</w:t>
      </w:r>
      <w:r w:rsidRPr="00B740B4">
        <w:rPr>
          <w:rStyle w:val="fnref"/>
        </w:rPr>
        <w:t>c</w:t>
      </w:r>
      <w:r w:rsidRPr="00B740B4">
        <w:t xml:space="preserve"> </w:t>
      </w:r>
      <w:r w:rsidRPr="00B740B4">
        <w:rPr>
          <w:rStyle w:val="i"/>
          <w:color w:val="auto"/>
        </w:rPr>
        <w:t>in the kingdom.</w:t>
      </w:r>
      <w:r w:rsidR="00A15C99" w:rsidRPr="00B740B4">
        <w:rPr>
          <w:rStyle w:val="i"/>
          <w:color w:val="auto"/>
        </w:rPr>
        <w:t>”</w:t>
      </w:r>
      <w:r w:rsidRPr="00B740B4">
        <w:t xml:space="preserve"> </w:t>
      </w:r>
      <w:r w:rsidRPr="00B740B4">
        <w:rPr>
          <w:rStyle w:val="ver"/>
        </w:rPr>
        <w:t>8</w:t>
      </w:r>
      <w:r w:rsidRPr="00B740B4">
        <w:rPr>
          <w:rStyle w:val="fnref"/>
        </w:rPr>
        <w:t>a</w:t>
      </w:r>
      <w:r w:rsidR="005758F2">
        <w:rPr>
          <w:rStyle w:val="i"/>
          <w:color w:val="auto"/>
        </w:rPr>
        <w:t>A</w:t>
      </w:r>
      <w:r w:rsidRPr="00B740B4">
        <w:rPr>
          <w:rStyle w:val="i"/>
          <w:color w:val="auto"/>
        </w:rPr>
        <w:t xml:space="preserve">ll the </w:t>
      </w:r>
      <w:r w:rsidR="00A5649E">
        <w:rPr>
          <w:rStyle w:val="i"/>
          <w:color w:val="auto"/>
        </w:rPr>
        <w:t>king’s</w:t>
      </w:r>
      <w:r w:rsidRPr="00B740B4">
        <w:rPr>
          <w:rStyle w:val="fnref"/>
        </w:rPr>
        <w:t>b</w:t>
      </w:r>
      <w:r w:rsidRPr="00B740B4">
        <w:t xml:space="preserve"> </w:t>
      </w:r>
      <w:r w:rsidR="00C70F60" w:rsidRPr="00B740B4">
        <w:rPr>
          <w:rStyle w:val="i"/>
          <w:color w:val="auto"/>
        </w:rPr>
        <w:t>expert</w:t>
      </w:r>
      <w:r w:rsidRPr="00B740B4">
        <w:rPr>
          <w:rStyle w:val="i"/>
          <w:color w:val="auto"/>
        </w:rPr>
        <w:t>s came in,</w:t>
      </w:r>
      <w:r w:rsidRPr="00B740B4">
        <w:rPr>
          <w:rStyle w:val="fnref"/>
        </w:rPr>
        <w:t>a</w:t>
      </w:r>
      <w:r w:rsidRPr="00B740B4">
        <w:t xml:space="preserve"> </w:t>
      </w:r>
      <w:r w:rsidRPr="00B740B4">
        <w:rPr>
          <w:rStyle w:val="i"/>
          <w:color w:val="auto"/>
        </w:rPr>
        <w:t>but they could not r</w:t>
      </w:r>
      <w:r w:rsidR="005758F2">
        <w:rPr>
          <w:rStyle w:val="i"/>
          <w:color w:val="auto"/>
        </w:rPr>
        <w:t xml:space="preserve">ead out the inscription or let </w:t>
      </w:r>
      <w:r w:rsidRPr="00B740B4">
        <w:rPr>
          <w:rStyle w:val="i"/>
          <w:color w:val="auto"/>
        </w:rPr>
        <w:t xml:space="preserve">the king </w:t>
      </w:r>
      <w:r w:rsidR="005758F2">
        <w:rPr>
          <w:rStyle w:val="i"/>
          <w:color w:val="auto"/>
        </w:rPr>
        <w:t xml:space="preserve">know </w:t>
      </w:r>
      <w:r w:rsidRPr="00B740B4">
        <w:rPr>
          <w:rStyle w:val="i"/>
          <w:color w:val="auto"/>
        </w:rPr>
        <w:t>the interpretation.</w:t>
      </w:r>
      <w:r w:rsidRPr="00B740B4">
        <w:t xml:space="preserve"> </w:t>
      </w:r>
      <w:r w:rsidRPr="00B740B4">
        <w:rPr>
          <w:rStyle w:val="ver"/>
        </w:rPr>
        <w:t>9</w:t>
      </w:r>
      <w:r w:rsidRPr="00B740B4">
        <w:rPr>
          <w:rStyle w:val="i"/>
          <w:color w:val="auto"/>
        </w:rPr>
        <w:t xml:space="preserve">King </w:t>
      </w:r>
      <w:r w:rsidR="003D0206">
        <w:rPr>
          <w:rStyle w:val="i"/>
          <w:color w:val="auto"/>
        </w:rPr>
        <w:t>Belš</w:t>
      </w:r>
      <w:r w:rsidR="00A97DAE" w:rsidRPr="00B740B4">
        <w:rPr>
          <w:rStyle w:val="i"/>
          <w:color w:val="auto"/>
        </w:rPr>
        <w:t xml:space="preserve">a’ṣṣar </w:t>
      </w:r>
      <w:r w:rsidRPr="00B740B4">
        <w:rPr>
          <w:rStyle w:val="i"/>
          <w:color w:val="auto"/>
        </w:rPr>
        <w:t>grew very</w:t>
      </w:r>
      <w:r w:rsidRPr="00B740B4">
        <w:t xml:space="preserve"> </w:t>
      </w:r>
      <w:r w:rsidR="00CE7047" w:rsidRPr="00B740B4">
        <w:rPr>
          <w:rStyle w:val="i"/>
          <w:color w:val="auto"/>
        </w:rPr>
        <w:t>alarmed.</w:t>
      </w:r>
      <w:r w:rsidR="005758F2">
        <w:rPr>
          <w:rStyle w:val="i"/>
          <w:color w:val="auto"/>
        </w:rPr>
        <w:t xml:space="preserve"> H</w:t>
      </w:r>
      <w:r w:rsidR="00C70F60" w:rsidRPr="00B740B4">
        <w:rPr>
          <w:rStyle w:val="i"/>
          <w:color w:val="auto"/>
        </w:rPr>
        <w:t xml:space="preserve">is face </w:t>
      </w:r>
      <w:r w:rsidR="00081BE6" w:rsidRPr="00B740B4">
        <w:rPr>
          <w:rStyle w:val="i"/>
          <w:color w:val="auto"/>
        </w:rPr>
        <w:t>fell further</w:t>
      </w:r>
      <w:r w:rsidR="00CE7047" w:rsidRPr="00B740B4">
        <w:rPr>
          <w:rStyle w:val="i"/>
          <w:color w:val="auto"/>
        </w:rPr>
        <w:t>,</w:t>
      </w:r>
      <w:r w:rsidR="00081BE6" w:rsidRPr="00B740B4">
        <w:rPr>
          <w:rStyle w:val="i"/>
          <w:color w:val="auto"/>
          <w:vertAlign w:val="superscript"/>
        </w:rPr>
        <w:t>a</w:t>
      </w:r>
      <w:r w:rsidR="00CE7047" w:rsidRPr="00B740B4">
        <w:rPr>
          <w:rStyle w:val="i"/>
          <w:color w:val="auto"/>
        </w:rPr>
        <w:t xml:space="preserve"> </w:t>
      </w:r>
      <w:r w:rsidR="00C70F60" w:rsidRPr="00B740B4">
        <w:rPr>
          <w:rStyle w:val="i"/>
          <w:color w:val="auto"/>
        </w:rPr>
        <w:t>and</w:t>
      </w:r>
      <w:r w:rsidRPr="00B740B4">
        <w:rPr>
          <w:rStyle w:val="i"/>
          <w:color w:val="auto"/>
        </w:rPr>
        <w:t xml:space="preserve"> his </w:t>
      </w:r>
      <w:r w:rsidR="00973FEA" w:rsidRPr="00B740B4">
        <w:rPr>
          <w:rStyle w:val="i"/>
          <w:color w:val="auto"/>
        </w:rPr>
        <w:t>lord</w:t>
      </w:r>
      <w:r w:rsidRPr="00B740B4">
        <w:rPr>
          <w:rStyle w:val="i"/>
          <w:color w:val="auto"/>
        </w:rPr>
        <w:t>s were put in turmoil.</w:t>
      </w:r>
    </w:p>
    <w:p w:rsidR="00E13251" w:rsidRPr="00B740B4" w:rsidRDefault="00E13251" w:rsidP="00661970">
      <w:r w:rsidRPr="00B740B4">
        <w:rPr>
          <w:rStyle w:val="ver"/>
        </w:rPr>
        <w:t>10</w:t>
      </w:r>
      <w:r w:rsidR="00560838" w:rsidRPr="00B740B4">
        <w:rPr>
          <w:rStyle w:val="i"/>
          <w:color w:val="auto"/>
        </w:rPr>
        <w:t xml:space="preserve">Because of the talk </w:t>
      </w:r>
      <w:r w:rsidR="00CE7047" w:rsidRPr="00B740B4">
        <w:rPr>
          <w:rStyle w:val="i"/>
          <w:color w:val="auto"/>
        </w:rPr>
        <w:t xml:space="preserve">on the part of </w:t>
      </w:r>
      <w:r w:rsidR="00B72C9E" w:rsidRPr="00B740B4">
        <w:rPr>
          <w:rStyle w:val="i"/>
          <w:color w:val="auto"/>
        </w:rPr>
        <w:t xml:space="preserve">the king and his </w:t>
      </w:r>
      <w:r w:rsidR="00973FEA" w:rsidRPr="00B740B4">
        <w:rPr>
          <w:rStyle w:val="i"/>
          <w:color w:val="auto"/>
        </w:rPr>
        <w:t>lord</w:t>
      </w:r>
      <w:r w:rsidRPr="00B740B4">
        <w:rPr>
          <w:rStyle w:val="i"/>
          <w:color w:val="auto"/>
        </w:rPr>
        <w:t>s,</w:t>
      </w:r>
      <w:r w:rsidRPr="00B740B4">
        <w:t xml:space="preserve"> </w:t>
      </w:r>
      <w:r w:rsidR="00CE7047" w:rsidRPr="00B740B4">
        <w:rPr>
          <w:rStyle w:val="i"/>
          <w:color w:val="auto"/>
        </w:rPr>
        <w:t>the queen</w:t>
      </w:r>
      <w:r w:rsidRPr="00B740B4">
        <w:t xml:space="preserve"> </w:t>
      </w:r>
      <w:r w:rsidRPr="00B740B4">
        <w:rPr>
          <w:rStyle w:val="i"/>
          <w:color w:val="auto"/>
        </w:rPr>
        <w:t>came into the b</w:t>
      </w:r>
      <w:r w:rsidR="00B72C9E" w:rsidRPr="00B740B4">
        <w:rPr>
          <w:rStyle w:val="i"/>
          <w:color w:val="auto"/>
        </w:rPr>
        <w:t>anqueting hall. The queen averr</w:t>
      </w:r>
      <w:r w:rsidRPr="00B740B4">
        <w:rPr>
          <w:rStyle w:val="i"/>
          <w:color w:val="auto"/>
        </w:rPr>
        <w:t xml:space="preserve">ed, “Long live the king! </w:t>
      </w:r>
      <w:r w:rsidR="00B72C9E" w:rsidRPr="00B740B4">
        <w:rPr>
          <w:rStyle w:val="i"/>
          <w:color w:val="auto"/>
        </w:rPr>
        <w:t>Your thoughts should not alarm</w:t>
      </w:r>
      <w:r w:rsidR="00973FEA" w:rsidRPr="00B740B4">
        <w:rPr>
          <w:rStyle w:val="i"/>
          <w:color w:val="auto"/>
        </w:rPr>
        <w:t xml:space="preserve"> yo</w:t>
      </w:r>
      <w:r w:rsidR="00B72C9E" w:rsidRPr="00B740B4">
        <w:rPr>
          <w:rStyle w:val="i"/>
          <w:color w:val="auto"/>
        </w:rPr>
        <w:t>u and your face should not fall</w:t>
      </w:r>
      <w:r w:rsidRPr="00B740B4">
        <w:rPr>
          <w:rStyle w:val="i"/>
          <w:color w:val="auto"/>
        </w:rPr>
        <w:t>.</w:t>
      </w:r>
      <w:r w:rsidRPr="00B740B4">
        <w:t xml:space="preserve"> </w:t>
      </w:r>
      <w:r w:rsidRPr="00B740B4">
        <w:rPr>
          <w:rStyle w:val="ver"/>
        </w:rPr>
        <w:t>11</w:t>
      </w:r>
      <w:r w:rsidRPr="00B740B4">
        <w:rPr>
          <w:rStyle w:val="i"/>
          <w:color w:val="auto"/>
        </w:rPr>
        <w:t>There is a man in your kingdom who has the spirit of holy deity</w:t>
      </w:r>
      <w:r w:rsidR="00BA0348" w:rsidRPr="00B740B4">
        <w:rPr>
          <w:rStyle w:val="i"/>
          <w:color w:val="auto"/>
          <w:vertAlign w:val="superscript"/>
        </w:rPr>
        <w:t>a</w:t>
      </w:r>
      <w:r w:rsidRPr="00B740B4">
        <w:rPr>
          <w:rStyle w:val="i"/>
          <w:color w:val="auto"/>
        </w:rPr>
        <w:t xml:space="preserve"> in him. In your father’s time he was found to have insight and ability,</w:t>
      </w:r>
      <w:r w:rsidR="00BA0348" w:rsidRPr="00B740B4">
        <w:rPr>
          <w:rStyle w:val="fnref"/>
        </w:rPr>
        <w:t>b</w:t>
      </w:r>
      <w:r w:rsidRPr="00B740B4">
        <w:t xml:space="preserve"> </w:t>
      </w:r>
      <w:r w:rsidR="00973FEA" w:rsidRPr="00B740B4">
        <w:rPr>
          <w:rStyle w:val="i"/>
          <w:color w:val="auto"/>
        </w:rPr>
        <w:t>and an expertise like the expertise</w:t>
      </w:r>
      <w:r w:rsidRPr="00B740B4">
        <w:rPr>
          <w:rStyle w:val="i"/>
          <w:color w:val="auto"/>
        </w:rPr>
        <w:t xml:space="preserve"> of the gods. King </w:t>
      </w:r>
      <w:r w:rsidR="006B6EC5" w:rsidRPr="00B740B4">
        <w:rPr>
          <w:rStyle w:val="i"/>
          <w:color w:val="auto"/>
        </w:rPr>
        <w:t>Nebukadne’ṣṣar</w:t>
      </w:r>
      <w:r w:rsidRPr="00B740B4">
        <w:rPr>
          <w:rStyle w:val="i"/>
          <w:color w:val="auto"/>
        </w:rPr>
        <w:t>, your father, made him head of the</w:t>
      </w:r>
      <w:r w:rsidRPr="00B740B4">
        <w:t xml:space="preserve"> </w:t>
      </w:r>
      <w:r w:rsidR="00BA0348" w:rsidRPr="00B740B4">
        <w:rPr>
          <w:rStyle w:val="fnref"/>
        </w:rPr>
        <w:t>c</w:t>
      </w:r>
      <w:r w:rsidR="00973FEA" w:rsidRPr="00B740B4">
        <w:rPr>
          <w:rStyle w:val="i"/>
          <w:color w:val="auto"/>
        </w:rPr>
        <w:t>diviners, chanters, Kasdite</w:t>
      </w:r>
      <w:r w:rsidRPr="00B740B4">
        <w:rPr>
          <w:rStyle w:val="i"/>
          <w:color w:val="auto"/>
        </w:rPr>
        <w:t>s, and exorcists</w:t>
      </w:r>
      <w:r w:rsidR="00BA0348" w:rsidRPr="00B740B4">
        <w:rPr>
          <w:rStyle w:val="fnref"/>
        </w:rPr>
        <w:t>c</w:t>
      </w:r>
      <w:r w:rsidRPr="00B740B4">
        <w:rPr>
          <w:rStyle w:val="i"/>
          <w:color w:val="auto"/>
        </w:rPr>
        <w:t>—your father as king.</w:t>
      </w:r>
      <w:r w:rsidR="00BA0348" w:rsidRPr="00B740B4">
        <w:rPr>
          <w:rStyle w:val="fnref"/>
        </w:rPr>
        <w:t>d</w:t>
      </w:r>
      <w:r w:rsidRPr="00B740B4">
        <w:t xml:space="preserve"> </w:t>
      </w:r>
      <w:r w:rsidRPr="00B740B4">
        <w:rPr>
          <w:rStyle w:val="ver"/>
        </w:rPr>
        <w:t>12</w:t>
      </w:r>
      <w:r w:rsidRPr="00B740B4">
        <w:rPr>
          <w:rStyle w:val="i"/>
          <w:color w:val="auto"/>
        </w:rPr>
        <w:t>Since this Dani</w:t>
      </w:r>
      <w:r w:rsidR="00711AA3" w:rsidRPr="00B740B4">
        <w:rPr>
          <w:rStyle w:val="i"/>
          <w:color w:val="auto"/>
        </w:rPr>
        <w:t>yy</w:t>
      </w:r>
      <w:r w:rsidRPr="00B740B4">
        <w:rPr>
          <w:rStyle w:val="i"/>
          <w:color w:val="auto"/>
        </w:rPr>
        <w:t>e</w:t>
      </w:r>
      <w:r w:rsidR="00711AA3" w:rsidRPr="00B740B4">
        <w:rPr>
          <w:rStyle w:val="i"/>
          <w:color w:val="auto"/>
        </w:rPr>
        <w:t>’</w:t>
      </w:r>
      <w:r w:rsidRPr="00B740B4">
        <w:rPr>
          <w:rStyle w:val="i"/>
          <w:color w:val="auto"/>
        </w:rPr>
        <w:t xml:space="preserve">l, </w:t>
      </w:r>
      <w:r w:rsidR="00973FEA" w:rsidRPr="00B740B4">
        <w:rPr>
          <w:rStyle w:val="i"/>
          <w:color w:val="auto"/>
        </w:rPr>
        <w:t xml:space="preserve">whom the king named </w:t>
      </w:r>
      <w:r w:rsidR="005F68BF">
        <w:rPr>
          <w:i/>
          <w:szCs w:val="24"/>
        </w:rPr>
        <w:t>Belṭ</w:t>
      </w:r>
      <w:r w:rsidR="005758F2">
        <w:rPr>
          <w:i/>
          <w:szCs w:val="24"/>
        </w:rPr>
        <w:t>eš</w:t>
      </w:r>
      <w:r w:rsidR="005F68BF">
        <w:rPr>
          <w:i/>
          <w:szCs w:val="24"/>
        </w:rPr>
        <w:t>a’ṣṣar</w:t>
      </w:r>
      <w:r w:rsidRPr="00B740B4">
        <w:rPr>
          <w:rStyle w:val="i"/>
          <w:color w:val="auto"/>
        </w:rPr>
        <w:t>, was found to have a remarkable spirit, knowledge, and ability,</w:t>
      </w:r>
      <w:r w:rsidRPr="00B740B4">
        <w:t xml:space="preserve"> </w:t>
      </w:r>
      <w:r w:rsidRPr="00B740B4">
        <w:rPr>
          <w:rStyle w:val="fnref"/>
        </w:rPr>
        <w:t>a</w:t>
      </w:r>
      <w:r w:rsidRPr="00B740B4">
        <w:rPr>
          <w:rStyle w:val="i"/>
          <w:color w:val="auto"/>
        </w:rPr>
        <w:t>interpreting dreams</w:t>
      </w:r>
      <w:r w:rsidR="00EF7791" w:rsidRPr="00B740B4">
        <w:rPr>
          <w:rStyle w:val="i"/>
          <w:color w:val="auto"/>
        </w:rPr>
        <w:t>, explaining puzzles, and loosen</w:t>
      </w:r>
      <w:r w:rsidRPr="00B740B4">
        <w:rPr>
          <w:rStyle w:val="i"/>
          <w:color w:val="auto"/>
        </w:rPr>
        <w:t>ing enigmas,</w:t>
      </w:r>
      <w:r w:rsidRPr="00B740B4">
        <w:rPr>
          <w:rStyle w:val="fnref"/>
        </w:rPr>
        <w:t>a</w:t>
      </w:r>
      <w:r w:rsidR="00C24D27" w:rsidRPr="00B740B4">
        <w:rPr>
          <w:rStyle w:val="fnref"/>
        </w:rPr>
        <w:t xml:space="preserve"> </w:t>
      </w:r>
      <w:r w:rsidRPr="00B740B4">
        <w:rPr>
          <w:rStyle w:val="i"/>
          <w:color w:val="auto"/>
        </w:rPr>
        <w:t>Dani</w:t>
      </w:r>
      <w:r w:rsidR="00711AA3" w:rsidRPr="00B740B4">
        <w:rPr>
          <w:rStyle w:val="i"/>
          <w:color w:val="auto"/>
        </w:rPr>
        <w:t>yy</w:t>
      </w:r>
      <w:r w:rsidRPr="00B740B4">
        <w:rPr>
          <w:rStyle w:val="i"/>
          <w:color w:val="auto"/>
        </w:rPr>
        <w:t>e</w:t>
      </w:r>
      <w:r w:rsidR="00711AA3" w:rsidRPr="00B740B4">
        <w:rPr>
          <w:rStyle w:val="i"/>
          <w:color w:val="auto"/>
        </w:rPr>
        <w:t>’</w:t>
      </w:r>
      <w:r w:rsidRPr="00B740B4">
        <w:rPr>
          <w:rStyle w:val="i"/>
          <w:color w:val="auto"/>
        </w:rPr>
        <w:t>l should be summoned now, and he will explain the interpretation.”</w:t>
      </w:r>
    </w:p>
    <w:p w:rsidR="00E13251" w:rsidRPr="00B740B4" w:rsidRDefault="00E13251" w:rsidP="00661970">
      <w:r w:rsidRPr="00B740B4">
        <w:rPr>
          <w:rStyle w:val="ver"/>
        </w:rPr>
        <w:t>13</w:t>
      </w:r>
      <w:r w:rsidR="00EB1FBA" w:rsidRPr="00B740B4">
        <w:rPr>
          <w:rStyle w:val="i"/>
          <w:color w:val="auto"/>
        </w:rPr>
        <w:t>So D</w:t>
      </w:r>
      <w:r w:rsidRPr="00B740B4">
        <w:rPr>
          <w:rStyle w:val="i"/>
          <w:color w:val="auto"/>
        </w:rPr>
        <w:t>ani</w:t>
      </w:r>
      <w:r w:rsidR="00EB1FBA" w:rsidRPr="00B740B4">
        <w:rPr>
          <w:rStyle w:val="i"/>
          <w:color w:val="auto"/>
        </w:rPr>
        <w:t>yy</w:t>
      </w:r>
      <w:r w:rsidRPr="00B740B4">
        <w:rPr>
          <w:rStyle w:val="i"/>
          <w:color w:val="auto"/>
        </w:rPr>
        <w:t>e</w:t>
      </w:r>
      <w:r w:rsidR="00EB1FBA" w:rsidRPr="00B740B4">
        <w:rPr>
          <w:rStyle w:val="i"/>
          <w:color w:val="auto"/>
        </w:rPr>
        <w:t>’</w:t>
      </w:r>
      <w:r w:rsidRPr="00B740B4">
        <w:rPr>
          <w:rStyle w:val="i"/>
          <w:color w:val="auto"/>
        </w:rPr>
        <w:t>l was brought b</w:t>
      </w:r>
      <w:r w:rsidR="00EB1FBA" w:rsidRPr="00B740B4">
        <w:rPr>
          <w:rStyle w:val="i"/>
          <w:color w:val="auto"/>
        </w:rPr>
        <w:t>efore the king. The king averr</w:t>
      </w:r>
      <w:r w:rsidRPr="00B740B4">
        <w:rPr>
          <w:rStyle w:val="i"/>
          <w:color w:val="auto"/>
        </w:rPr>
        <w:t xml:space="preserve">ed </w:t>
      </w:r>
      <w:r w:rsidR="00EB1FBA" w:rsidRPr="00B740B4">
        <w:rPr>
          <w:rStyle w:val="i"/>
          <w:color w:val="auto"/>
        </w:rPr>
        <w:t xml:space="preserve">to </w:t>
      </w:r>
      <w:r w:rsidRPr="00B740B4">
        <w:rPr>
          <w:rStyle w:val="i"/>
          <w:color w:val="auto"/>
        </w:rPr>
        <w:t>Dani</w:t>
      </w:r>
      <w:r w:rsidR="00EB1FBA" w:rsidRPr="00B740B4">
        <w:rPr>
          <w:rStyle w:val="i"/>
          <w:color w:val="auto"/>
        </w:rPr>
        <w:t>yy</w:t>
      </w:r>
      <w:r w:rsidRPr="00B740B4">
        <w:rPr>
          <w:rStyle w:val="i"/>
          <w:color w:val="auto"/>
        </w:rPr>
        <w:t>e</w:t>
      </w:r>
      <w:r w:rsidR="00EB1FBA" w:rsidRPr="00B740B4">
        <w:rPr>
          <w:rStyle w:val="i"/>
          <w:color w:val="auto"/>
        </w:rPr>
        <w:t>’</w:t>
      </w:r>
      <w:r w:rsidRPr="00B740B4">
        <w:rPr>
          <w:rStyle w:val="i"/>
          <w:color w:val="auto"/>
        </w:rPr>
        <w:t>l: “So you are Dani</w:t>
      </w:r>
      <w:r w:rsidR="00EB1FBA" w:rsidRPr="00B740B4">
        <w:rPr>
          <w:rStyle w:val="i"/>
          <w:color w:val="auto"/>
        </w:rPr>
        <w:t>yy</w:t>
      </w:r>
      <w:r w:rsidRPr="00B740B4">
        <w:rPr>
          <w:rStyle w:val="i"/>
          <w:color w:val="auto"/>
        </w:rPr>
        <w:t>e</w:t>
      </w:r>
      <w:r w:rsidR="00EB1FBA" w:rsidRPr="00B740B4">
        <w:rPr>
          <w:rStyle w:val="i"/>
          <w:color w:val="auto"/>
        </w:rPr>
        <w:t>’l, one of the Yehudite</w:t>
      </w:r>
      <w:r w:rsidRPr="00B740B4">
        <w:rPr>
          <w:rStyle w:val="i"/>
          <w:color w:val="auto"/>
        </w:rPr>
        <w:t xml:space="preserve"> exiles whom my father as king b</w:t>
      </w:r>
      <w:r w:rsidR="00EB1FBA" w:rsidRPr="00B740B4">
        <w:rPr>
          <w:rStyle w:val="i"/>
          <w:color w:val="auto"/>
        </w:rPr>
        <w:t>rought from Yehud</w:t>
      </w:r>
      <w:r w:rsidRPr="00B740B4">
        <w:rPr>
          <w:rStyle w:val="i"/>
          <w:color w:val="auto"/>
        </w:rPr>
        <w:t>ah?</w:t>
      </w:r>
      <w:r w:rsidR="00EB1FBA" w:rsidRPr="00B740B4">
        <w:rPr>
          <w:rStyle w:val="i"/>
          <w:color w:val="auto"/>
        </w:rPr>
        <w:t xml:space="preserve"> </w:t>
      </w:r>
      <w:r w:rsidRPr="00B740B4">
        <w:rPr>
          <w:rStyle w:val="ver"/>
        </w:rPr>
        <w:t>14</w:t>
      </w:r>
      <w:r w:rsidRPr="00B740B4">
        <w:rPr>
          <w:rStyle w:val="i"/>
          <w:color w:val="auto"/>
        </w:rPr>
        <w:t>I have heard tell of you, that the spirit of deity</w:t>
      </w:r>
      <w:r w:rsidRPr="00B740B4">
        <w:rPr>
          <w:rStyle w:val="fnref"/>
        </w:rPr>
        <w:t>a</w:t>
      </w:r>
      <w:r w:rsidRPr="00B740B4">
        <w:t xml:space="preserve"> </w:t>
      </w:r>
      <w:r w:rsidRPr="00B740B4">
        <w:rPr>
          <w:rStyle w:val="i"/>
          <w:color w:val="auto"/>
        </w:rPr>
        <w:t>is in you. You have been found to have insight a</w:t>
      </w:r>
      <w:r w:rsidR="00EB1FBA" w:rsidRPr="00B740B4">
        <w:rPr>
          <w:rStyle w:val="i"/>
          <w:color w:val="auto"/>
        </w:rPr>
        <w:t>nd ability and remarkable expertise</w:t>
      </w:r>
      <w:r w:rsidRPr="00B740B4">
        <w:rPr>
          <w:rStyle w:val="i"/>
          <w:color w:val="auto"/>
        </w:rPr>
        <w:t>.</w:t>
      </w:r>
      <w:r w:rsidRPr="00B740B4">
        <w:t xml:space="preserve"> </w:t>
      </w:r>
      <w:r w:rsidRPr="00B740B4">
        <w:rPr>
          <w:rStyle w:val="ver"/>
        </w:rPr>
        <w:t>15</w:t>
      </w:r>
      <w:r w:rsidR="00EB1FBA" w:rsidRPr="00B740B4">
        <w:rPr>
          <w:rStyle w:val="i"/>
          <w:color w:val="auto"/>
        </w:rPr>
        <w:t>The expert</w:t>
      </w:r>
      <w:r w:rsidRPr="00B740B4">
        <w:rPr>
          <w:rStyle w:val="i"/>
          <w:color w:val="auto"/>
        </w:rPr>
        <w:t xml:space="preserve">s (the chanters) have just been brought before me to read out this inscription and tell me its interpretation, but they were unable to explain the </w:t>
      </w:r>
      <w:r w:rsidR="00EB1FBA" w:rsidRPr="00B740B4">
        <w:rPr>
          <w:rStyle w:val="i"/>
          <w:color w:val="auto"/>
        </w:rPr>
        <w:t xml:space="preserve">thing’s </w:t>
      </w:r>
      <w:r w:rsidR="00C27F0C" w:rsidRPr="00B740B4">
        <w:rPr>
          <w:rStyle w:val="i"/>
          <w:color w:val="auto"/>
        </w:rPr>
        <w:t>i</w:t>
      </w:r>
      <w:r w:rsidR="00EB1FBA" w:rsidRPr="00B740B4">
        <w:rPr>
          <w:rStyle w:val="i"/>
          <w:color w:val="auto"/>
        </w:rPr>
        <w:t>nterpretation</w:t>
      </w:r>
      <w:r w:rsidRPr="00B740B4">
        <w:rPr>
          <w:rStyle w:val="i"/>
          <w:color w:val="auto"/>
        </w:rPr>
        <w:t>.</w:t>
      </w:r>
      <w:r w:rsidRPr="00B740B4">
        <w:t xml:space="preserve"> </w:t>
      </w:r>
      <w:r w:rsidRPr="00B740B4">
        <w:rPr>
          <w:rStyle w:val="ver"/>
        </w:rPr>
        <w:t>16</w:t>
      </w:r>
      <w:r w:rsidRPr="00B740B4">
        <w:rPr>
          <w:rStyle w:val="i"/>
          <w:color w:val="auto"/>
        </w:rPr>
        <w:t>But I myself</w:t>
      </w:r>
      <w:r w:rsidRPr="00B740B4">
        <w:rPr>
          <w:rStyle w:val="fnref"/>
        </w:rPr>
        <w:t>a</w:t>
      </w:r>
      <w:r w:rsidRPr="00B740B4">
        <w:t xml:space="preserve"> </w:t>
      </w:r>
      <w:r w:rsidRPr="00B740B4">
        <w:rPr>
          <w:rStyle w:val="i"/>
          <w:color w:val="auto"/>
        </w:rPr>
        <w:t>have heard tell of you, that you can give interpretations and resolve enigmas. Now, if you can r</w:t>
      </w:r>
      <w:r w:rsidR="000721D3">
        <w:rPr>
          <w:rStyle w:val="i"/>
          <w:color w:val="auto"/>
        </w:rPr>
        <w:t>ead out the inscription and let</w:t>
      </w:r>
      <w:r w:rsidRPr="00B740B4">
        <w:rPr>
          <w:rStyle w:val="i"/>
          <w:color w:val="auto"/>
        </w:rPr>
        <w:t xml:space="preserve"> me </w:t>
      </w:r>
      <w:r w:rsidR="000721D3">
        <w:rPr>
          <w:rStyle w:val="i"/>
          <w:color w:val="auto"/>
        </w:rPr>
        <w:t xml:space="preserve">know </w:t>
      </w:r>
      <w:r w:rsidRPr="00B740B4">
        <w:rPr>
          <w:rStyle w:val="i"/>
          <w:color w:val="auto"/>
        </w:rPr>
        <w:t xml:space="preserve">its interpretation, you shall wear the purple, with the gold chain </w:t>
      </w:r>
      <w:r w:rsidR="00551C4C" w:rsidRPr="00B740B4">
        <w:rPr>
          <w:rStyle w:val="i"/>
          <w:color w:val="auto"/>
        </w:rPr>
        <w:t>a</w:t>
      </w:r>
      <w:r w:rsidRPr="00B740B4">
        <w:rPr>
          <w:rStyle w:val="i"/>
          <w:color w:val="auto"/>
        </w:rPr>
        <w:t>round your neck, and rule as a Deputy in the kingdom.”</w:t>
      </w:r>
    </w:p>
    <w:p w:rsidR="001E2B7E" w:rsidRPr="00B740B4" w:rsidRDefault="00E13251" w:rsidP="00661970">
      <w:r w:rsidRPr="00B740B4">
        <w:rPr>
          <w:rStyle w:val="ver"/>
        </w:rPr>
        <w:t>17</w:t>
      </w:r>
      <w:r w:rsidR="00EB1FBA" w:rsidRPr="00B740B4">
        <w:rPr>
          <w:rStyle w:val="i"/>
          <w:color w:val="auto"/>
        </w:rPr>
        <w:t>Daniyye’l responded</w:t>
      </w:r>
      <w:r w:rsidRPr="00B740B4">
        <w:rPr>
          <w:rStyle w:val="i"/>
          <w:color w:val="auto"/>
        </w:rPr>
        <w:t xml:space="preserve"> before the king, “You may keep your gifts, or give your rewards</w:t>
      </w:r>
      <w:r w:rsidRPr="00B740B4">
        <w:rPr>
          <w:rStyle w:val="fnref"/>
        </w:rPr>
        <w:t>a</w:t>
      </w:r>
      <w:r w:rsidRPr="00B740B4">
        <w:t xml:space="preserve"> </w:t>
      </w:r>
      <w:r w:rsidRPr="00B740B4">
        <w:rPr>
          <w:rStyle w:val="i"/>
          <w:color w:val="auto"/>
        </w:rPr>
        <w:t>to some other man. Nevertheless, I will read out the inscr</w:t>
      </w:r>
      <w:r w:rsidR="000721D3">
        <w:rPr>
          <w:rStyle w:val="i"/>
          <w:color w:val="auto"/>
        </w:rPr>
        <w:t>iption for your majesty and let</w:t>
      </w:r>
      <w:r w:rsidRPr="00B740B4">
        <w:rPr>
          <w:rStyle w:val="i"/>
          <w:color w:val="auto"/>
        </w:rPr>
        <w:t xml:space="preserve"> him </w:t>
      </w:r>
      <w:r w:rsidR="000721D3">
        <w:rPr>
          <w:rStyle w:val="i"/>
          <w:color w:val="auto"/>
        </w:rPr>
        <w:t xml:space="preserve">know </w:t>
      </w:r>
      <w:r w:rsidRPr="00B740B4">
        <w:rPr>
          <w:rStyle w:val="i"/>
          <w:color w:val="auto"/>
        </w:rPr>
        <w:t>the interpretation.</w:t>
      </w:r>
      <w:r w:rsidRPr="00B740B4">
        <w:t xml:space="preserve"> </w:t>
      </w:r>
      <w:r w:rsidRPr="00B740B4">
        <w:rPr>
          <w:rStyle w:val="ver"/>
        </w:rPr>
        <w:t>18</w:t>
      </w:r>
      <w:r w:rsidRPr="00B740B4">
        <w:rPr>
          <w:rStyle w:val="i"/>
          <w:color w:val="auto"/>
        </w:rPr>
        <w:t>You</w:t>
      </w:r>
      <w:r w:rsidR="00EB1FBA" w:rsidRPr="00B740B4">
        <w:rPr>
          <w:rStyle w:val="i"/>
          <w:color w:val="auto"/>
        </w:rPr>
        <w:t>, you</w:t>
      </w:r>
      <w:r w:rsidR="00F90F38" w:rsidRPr="00B740B4">
        <w:rPr>
          <w:rStyle w:val="i"/>
          <w:color w:val="auto"/>
        </w:rPr>
        <w:t>r majesty:</w:t>
      </w:r>
      <w:r w:rsidRPr="00B740B4">
        <w:rPr>
          <w:rStyle w:val="fnref"/>
        </w:rPr>
        <w:t>a</w:t>
      </w:r>
      <w:r w:rsidRPr="00B740B4">
        <w:t xml:space="preserve"> </w:t>
      </w:r>
      <w:r w:rsidR="00551C4C" w:rsidRPr="00B740B4">
        <w:rPr>
          <w:rStyle w:val="i"/>
          <w:color w:val="auto"/>
        </w:rPr>
        <w:t xml:space="preserve">God On </w:t>
      </w:r>
      <w:r w:rsidRPr="00B740B4">
        <w:rPr>
          <w:rStyle w:val="i"/>
          <w:color w:val="auto"/>
        </w:rPr>
        <w:t>High gave</w:t>
      </w:r>
      <w:r w:rsidRPr="00B740B4">
        <w:t xml:space="preserve"> </w:t>
      </w:r>
      <w:r w:rsidRPr="00B740B4">
        <w:rPr>
          <w:rStyle w:val="fnref"/>
        </w:rPr>
        <w:t>b</w:t>
      </w:r>
      <w:r w:rsidRPr="00B740B4">
        <w:rPr>
          <w:rStyle w:val="i"/>
          <w:color w:val="auto"/>
        </w:rPr>
        <w:t>royal authority and glorious splendor</w:t>
      </w:r>
      <w:r w:rsidRPr="00B740B4">
        <w:rPr>
          <w:rStyle w:val="fnref"/>
        </w:rPr>
        <w:t>b</w:t>
      </w:r>
      <w:r w:rsidRPr="00B740B4">
        <w:t xml:space="preserve"> </w:t>
      </w:r>
      <w:r w:rsidRPr="00B740B4">
        <w:rPr>
          <w:rStyle w:val="i"/>
          <w:color w:val="auto"/>
        </w:rPr>
        <w:t xml:space="preserve">to your father </w:t>
      </w:r>
      <w:r w:rsidR="006B6EC5" w:rsidRPr="00B740B4">
        <w:rPr>
          <w:rStyle w:val="i"/>
          <w:color w:val="auto"/>
        </w:rPr>
        <w:t>Nebukadne’ṣṣar</w:t>
      </w:r>
      <w:r w:rsidRPr="00B740B4">
        <w:rPr>
          <w:rStyle w:val="i"/>
          <w:color w:val="auto"/>
        </w:rPr>
        <w:t>.</w:t>
      </w:r>
      <w:r w:rsidRPr="00B740B4">
        <w:t xml:space="preserve"> </w:t>
      </w:r>
      <w:r w:rsidRPr="00B740B4">
        <w:rPr>
          <w:rStyle w:val="ver"/>
        </w:rPr>
        <w:t>19</w:t>
      </w:r>
      <w:r w:rsidRPr="00B740B4">
        <w:rPr>
          <w:rStyle w:val="i"/>
          <w:color w:val="auto"/>
        </w:rPr>
        <w:t>Because of the authority that had been given him, people of all races, nations, and languages stood in fear and trembling before him. He would kill whom he wished and spare whom he wished, elevate whom he wished and humble whom he wished.</w:t>
      </w:r>
      <w:r w:rsidRPr="00B740B4">
        <w:t xml:space="preserve"> </w:t>
      </w:r>
      <w:r w:rsidRPr="00B740B4">
        <w:rPr>
          <w:rStyle w:val="ver"/>
        </w:rPr>
        <w:t>20</w:t>
      </w:r>
      <w:r w:rsidRPr="00B740B4">
        <w:rPr>
          <w:rStyle w:val="i"/>
          <w:color w:val="auto"/>
        </w:rPr>
        <w:t xml:space="preserve">But when his attitude became </w:t>
      </w:r>
      <w:r w:rsidRPr="00B740B4">
        <w:rPr>
          <w:rStyle w:val="i"/>
          <w:color w:val="auto"/>
        </w:rPr>
        <w:lastRenderedPageBreak/>
        <w:t>elevated and his spirit arrogant, so that he behaved presumptuously, he was deposed from his royal throne, and honor</w:t>
      </w:r>
      <w:r w:rsidRPr="00B740B4">
        <w:t xml:space="preserve"> </w:t>
      </w:r>
      <w:r w:rsidRPr="00B740B4">
        <w:rPr>
          <w:rStyle w:val="i"/>
          <w:color w:val="auto"/>
        </w:rPr>
        <w:t>was taken away from him.</w:t>
      </w:r>
      <w:r w:rsidRPr="00B740B4">
        <w:t xml:space="preserve"> </w:t>
      </w:r>
      <w:r w:rsidRPr="00B740B4">
        <w:rPr>
          <w:rStyle w:val="ver"/>
        </w:rPr>
        <w:t>21</w:t>
      </w:r>
      <w:r w:rsidRPr="00B740B4">
        <w:rPr>
          <w:rStyle w:val="i"/>
          <w:color w:val="auto"/>
        </w:rPr>
        <w:t>He was led away from human society, his mind became</w:t>
      </w:r>
      <w:r w:rsidRPr="00B740B4">
        <w:rPr>
          <w:rStyle w:val="fnref"/>
        </w:rPr>
        <w:t>a</w:t>
      </w:r>
      <w:r w:rsidRPr="00B740B4">
        <w:t xml:space="preserve"> </w:t>
      </w:r>
      <w:r w:rsidRPr="00B740B4">
        <w:rPr>
          <w:rStyle w:val="i"/>
          <w:color w:val="auto"/>
        </w:rPr>
        <w:t>like an animal’s,</w:t>
      </w:r>
      <w:r w:rsidR="00DC4B1F" w:rsidRPr="00B740B4">
        <w:rPr>
          <w:rStyle w:val="i"/>
          <w:color w:val="auto"/>
        </w:rPr>
        <w:t xml:space="preserve"> and he lived with the wild donkey</w:t>
      </w:r>
      <w:r w:rsidRPr="00B740B4">
        <w:rPr>
          <w:rStyle w:val="i"/>
          <w:color w:val="auto"/>
        </w:rPr>
        <w:t>s.</w:t>
      </w:r>
      <w:r w:rsidRPr="00B740B4">
        <w:rPr>
          <w:rStyle w:val="fnref"/>
        </w:rPr>
        <w:t>b</w:t>
      </w:r>
      <w:r w:rsidRPr="00B740B4">
        <w:t xml:space="preserve"> </w:t>
      </w:r>
      <w:r w:rsidRPr="00B740B4">
        <w:rPr>
          <w:rStyle w:val="i"/>
          <w:color w:val="auto"/>
        </w:rPr>
        <w:t>He was fed plants like an ox and his body was watered with the dew from the heavens, until he ca</w:t>
      </w:r>
      <w:r w:rsidR="00DC4B1F" w:rsidRPr="00B740B4">
        <w:rPr>
          <w:rStyle w:val="i"/>
          <w:color w:val="auto"/>
        </w:rPr>
        <w:t xml:space="preserve">me to acknowledge that God On </w:t>
      </w:r>
      <w:r w:rsidRPr="00B740B4">
        <w:rPr>
          <w:rStyle w:val="i"/>
          <w:color w:val="auto"/>
        </w:rPr>
        <w:t>High rules over human kingship and sets over it whomever he wishes.</w:t>
      </w:r>
      <w:r w:rsidRPr="00B740B4">
        <w:t xml:space="preserve"> </w:t>
      </w:r>
    </w:p>
    <w:p w:rsidR="002D4AC4" w:rsidRDefault="00E13251" w:rsidP="00661970">
      <w:r w:rsidRPr="00B740B4">
        <w:rPr>
          <w:rStyle w:val="ver"/>
        </w:rPr>
        <w:t>22</w:t>
      </w:r>
      <w:r w:rsidRPr="00B740B4">
        <w:rPr>
          <w:rStyle w:val="i"/>
          <w:color w:val="auto"/>
        </w:rPr>
        <w:t>As his son</w:t>
      </w:r>
      <w:r w:rsidRPr="00B740B4">
        <w:rPr>
          <w:rStyle w:val="fnref"/>
        </w:rPr>
        <w:t>a</w:t>
      </w:r>
      <w:r w:rsidRPr="00B740B4">
        <w:t xml:space="preserve"> </w:t>
      </w:r>
      <w:r w:rsidRPr="00B740B4">
        <w:rPr>
          <w:rStyle w:val="i"/>
          <w:color w:val="auto"/>
        </w:rPr>
        <w:t xml:space="preserve">you, </w:t>
      </w:r>
      <w:r w:rsidR="000721D3">
        <w:rPr>
          <w:rStyle w:val="i"/>
          <w:color w:val="auto"/>
        </w:rPr>
        <w:t>Bēlša’ṣṣar</w:t>
      </w:r>
      <w:r w:rsidRPr="00B740B4">
        <w:rPr>
          <w:rStyle w:val="i"/>
          <w:color w:val="auto"/>
        </w:rPr>
        <w:t>, have not humbled your attitude because</w:t>
      </w:r>
      <w:r w:rsidRPr="00B740B4">
        <w:rPr>
          <w:rStyle w:val="fnref"/>
        </w:rPr>
        <w:t>b</w:t>
      </w:r>
      <w:r w:rsidRPr="00B740B4">
        <w:t xml:space="preserve"> </w:t>
      </w:r>
      <w:r w:rsidRPr="00B740B4">
        <w:rPr>
          <w:rStyle w:val="i"/>
          <w:color w:val="auto"/>
        </w:rPr>
        <w:t>you knew all this,</w:t>
      </w:r>
      <w:r w:rsidRPr="00B740B4">
        <w:t xml:space="preserve"> </w:t>
      </w:r>
      <w:r w:rsidRPr="00B740B4">
        <w:rPr>
          <w:rStyle w:val="ver"/>
        </w:rPr>
        <w:t>23</w:t>
      </w:r>
      <w:r w:rsidRPr="00B740B4">
        <w:rPr>
          <w:rStyle w:val="i"/>
          <w:color w:val="auto"/>
        </w:rPr>
        <w:t xml:space="preserve">but have elevated yourself above the Lord of </w:t>
      </w:r>
      <w:r w:rsidR="009F7125" w:rsidRPr="00B740B4">
        <w:rPr>
          <w:rStyle w:val="i"/>
          <w:color w:val="auto"/>
        </w:rPr>
        <w:t>the H</w:t>
      </w:r>
      <w:r w:rsidRPr="00B740B4">
        <w:rPr>
          <w:rStyle w:val="i"/>
          <w:color w:val="auto"/>
        </w:rPr>
        <w:t>eaven</w:t>
      </w:r>
      <w:r w:rsidR="009F7125" w:rsidRPr="00B740B4">
        <w:rPr>
          <w:rStyle w:val="i"/>
          <w:color w:val="auto"/>
        </w:rPr>
        <w:t>s</w:t>
      </w:r>
      <w:r w:rsidRPr="00B740B4">
        <w:rPr>
          <w:rStyle w:val="i"/>
          <w:color w:val="auto"/>
        </w:rPr>
        <w:t xml:space="preserve">. The vessels from his house have been brought before you, and you and your </w:t>
      </w:r>
      <w:r w:rsidR="00973FEA" w:rsidRPr="00B740B4">
        <w:rPr>
          <w:rStyle w:val="i"/>
          <w:color w:val="auto"/>
        </w:rPr>
        <w:t>lord</w:t>
      </w:r>
      <w:r w:rsidRPr="00B740B4">
        <w:rPr>
          <w:rStyle w:val="i"/>
          <w:color w:val="auto"/>
        </w:rPr>
        <w:t>s, your consorts, and your mistres</w:t>
      </w:r>
      <w:r w:rsidR="00551C4C" w:rsidRPr="00B740B4">
        <w:rPr>
          <w:rStyle w:val="i"/>
          <w:color w:val="auto"/>
        </w:rPr>
        <w:t>ses have drunk wine from them and y</w:t>
      </w:r>
      <w:r w:rsidRPr="00B740B4">
        <w:rPr>
          <w:rStyle w:val="i"/>
          <w:color w:val="auto"/>
        </w:rPr>
        <w:t>ou have praised the gods of</w:t>
      </w:r>
      <w:r w:rsidRPr="00B740B4">
        <w:t xml:space="preserve"> </w:t>
      </w:r>
      <w:r w:rsidRPr="00B740B4">
        <w:rPr>
          <w:rStyle w:val="fnref"/>
        </w:rPr>
        <w:t>a</w:t>
      </w:r>
      <w:r w:rsidRPr="00B740B4">
        <w:rPr>
          <w:rStyle w:val="i"/>
          <w:color w:val="auto"/>
        </w:rPr>
        <w:t>silver and gold,</w:t>
      </w:r>
      <w:r w:rsidRPr="00B740B4">
        <w:rPr>
          <w:rStyle w:val="fnref"/>
        </w:rPr>
        <w:t>a</w:t>
      </w:r>
      <w:r w:rsidRPr="00B740B4">
        <w:t xml:space="preserve"> </w:t>
      </w:r>
      <w:r w:rsidRPr="00B740B4">
        <w:rPr>
          <w:rStyle w:val="i"/>
          <w:color w:val="auto"/>
        </w:rPr>
        <w:t xml:space="preserve">of bronze, iron, wood, and stone, which cannot see or hear or know, and </w:t>
      </w:r>
      <w:r w:rsidR="000721D3">
        <w:rPr>
          <w:rStyle w:val="i"/>
          <w:color w:val="auto"/>
        </w:rPr>
        <w:t xml:space="preserve">have </w:t>
      </w:r>
      <w:r w:rsidRPr="00B740B4">
        <w:rPr>
          <w:rStyle w:val="i"/>
          <w:color w:val="auto"/>
        </w:rPr>
        <w:t>not glorified the God</w:t>
      </w:r>
      <w:r w:rsidRPr="00B740B4">
        <w:t xml:space="preserve"> </w:t>
      </w:r>
      <w:r w:rsidRPr="00B740B4">
        <w:rPr>
          <w:rStyle w:val="fnref"/>
        </w:rPr>
        <w:t>b</w:t>
      </w:r>
      <w:r w:rsidRPr="00B740B4">
        <w:rPr>
          <w:rStyle w:val="i"/>
          <w:color w:val="auto"/>
        </w:rPr>
        <w:t>who has your li</w:t>
      </w:r>
      <w:r w:rsidR="009F7125" w:rsidRPr="00B740B4">
        <w:rPr>
          <w:rStyle w:val="i"/>
          <w:color w:val="auto"/>
        </w:rPr>
        <w:t xml:space="preserve">febreath and all your ways </w:t>
      </w:r>
      <w:r w:rsidRPr="00B740B4">
        <w:rPr>
          <w:rStyle w:val="i"/>
          <w:color w:val="auto"/>
        </w:rPr>
        <w:t>in his hand.</w:t>
      </w:r>
      <w:r w:rsidRPr="00B740B4">
        <w:rPr>
          <w:rStyle w:val="fnref"/>
        </w:rPr>
        <w:t>b</w:t>
      </w:r>
      <w:r w:rsidRPr="00B740B4">
        <w:t xml:space="preserve"> </w:t>
      </w:r>
      <w:r w:rsidRPr="00B740B4">
        <w:rPr>
          <w:rStyle w:val="ver"/>
        </w:rPr>
        <w:t>24</w:t>
      </w:r>
      <w:r w:rsidRPr="00B740B4">
        <w:rPr>
          <w:rStyle w:val="i"/>
          <w:color w:val="auto"/>
        </w:rPr>
        <w:t>That is why from his presence a hand was sent and this inscription written.</w:t>
      </w:r>
      <w:r w:rsidRPr="00B740B4">
        <w:t xml:space="preserve"> </w:t>
      </w:r>
      <w:r w:rsidRPr="00B740B4">
        <w:rPr>
          <w:rStyle w:val="ver"/>
        </w:rPr>
        <w:t>25</w:t>
      </w:r>
      <w:r w:rsidRPr="00B740B4">
        <w:rPr>
          <w:rStyle w:val="i"/>
          <w:color w:val="auto"/>
        </w:rPr>
        <w:t>This is the inscription that was written: ‘</w:t>
      </w:r>
      <w:r w:rsidRPr="00B740B4">
        <w:rPr>
          <w:rStyle w:val="fnref"/>
        </w:rPr>
        <w:t>a</w:t>
      </w:r>
      <w:r w:rsidRPr="00B740B4">
        <w:rPr>
          <w:rStyle w:val="i"/>
          <w:color w:val="auto"/>
        </w:rPr>
        <w:t>Counted at a mina,</w:t>
      </w:r>
      <w:r w:rsidRPr="00B740B4">
        <w:rPr>
          <w:rStyle w:val="fnref"/>
        </w:rPr>
        <w:t>a</w:t>
      </w:r>
      <w:r w:rsidRPr="00B740B4">
        <w:t xml:space="preserve"> </w:t>
      </w:r>
      <w:r w:rsidR="00FF334A" w:rsidRPr="00B740B4">
        <w:rPr>
          <w:rStyle w:val="i"/>
          <w:color w:val="auto"/>
        </w:rPr>
        <w:t>a sheq</w:t>
      </w:r>
      <w:r w:rsidRPr="00B740B4">
        <w:rPr>
          <w:rStyle w:val="i"/>
          <w:color w:val="auto"/>
        </w:rPr>
        <w:t>el,</w:t>
      </w:r>
      <w:r w:rsidRPr="00B740B4">
        <w:rPr>
          <w:rStyle w:val="fnref"/>
        </w:rPr>
        <w:t>b</w:t>
      </w:r>
      <w:r w:rsidRPr="00B740B4">
        <w:t xml:space="preserve"> </w:t>
      </w:r>
      <w:r w:rsidRPr="00B740B4">
        <w:rPr>
          <w:rStyle w:val="i"/>
          <w:color w:val="auto"/>
        </w:rPr>
        <w:t>and two halves,</w:t>
      </w:r>
      <w:r w:rsidRPr="00B740B4">
        <w:rPr>
          <w:rStyle w:val="fnref"/>
        </w:rPr>
        <w:t>c</w:t>
      </w:r>
      <w:r w:rsidRPr="00B740B4">
        <w:rPr>
          <w:rStyle w:val="i"/>
          <w:color w:val="auto"/>
        </w:rPr>
        <w:t>’</w:t>
      </w:r>
      <w:r w:rsidRPr="00B740B4">
        <w:t xml:space="preserve"> </w:t>
      </w:r>
      <w:r w:rsidRPr="00B740B4">
        <w:rPr>
          <w:rStyle w:val="ver"/>
        </w:rPr>
        <w:t>26</w:t>
      </w:r>
      <w:r w:rsidRPr="00B740B4">
        <w:rPr>
          <w:rStyle w:val="i"/>
          <w:color w:val="auto"/>
        </w:rPr>
        <w:t>This is the interpretation of the words. ‘A</w:t>
      </w:r>
      <w:r w:rsidRPr="00B740B4">
        <w:t xml:space="preserve"> mina</w:t>
      </w:r>
      <w:r w:rsidRPr="00B740B4">
        <w:rPr>
          <w:rStyle w:val="i"/>
          <w:color w:val="auto"/>
        </w:rPr>
        <w:t>’ means ‘God</w:t>
      </w:r>
      <w:r w:rsidRPr="00B740B4">
        <w:t xml:space="preserve"> counted out </w:t>
      </w:r>
      <w:r w:rsidRPr="00B740B4">
        <w:rPr>
          <w:rStyle w:val="i"/>
          <w:color w:val="auto"/>
        </w:rPr>
        <w:t>the days of your kingship and handed it over’.</w:t>
      </w:r>
      <w:r w:rsidRPr="00B740B4">
        <w:rPr>
          <w:rStyle w:val="fnref"/>
        </w:rPr>
        <w:t>a</w:t>
      </w:r>
      <w:r w:rsidRPr="00B740B4">
        <w:t xml:space="preserve"> </w:t>
      </w:r>
      <w:r w:rsidRPr="00B740B4">
        <w:rPr>
          <w:rStyle w:val="ver"/>
        </w:rPr>
        <w:t>27</w:t>
      </w:r>
      <w:r w:rsidRPr="00B740B4">
        <w:rPr>
          <w:rStyle w:val="i"/>
          <w:color w:val="auto"/>
        </w:rPr>
        <w:t>‘A</w:t>
      </w:r>
      <w:r w:rsidR="00FF334A" w:rsidRPr="00B740B4">
        <w:t xml:space="preserve"> sheq</w:t>
      </w:r>
      <w:r w:rsidRPr="00B740B4">
        <w:t>el</w:t>
      </w:r>
      <w:r w:rsidRPr="00B740B4">
        <w:rPr>
          <w:rStyle w:val="i"/>
          <w:color w:val="auto"/>
        </w:rPr>
        <w:t>’ means ‘You have been</w:t>
      </w:r>
      <w:r w:rsidRPr="00B740B4">
        <w:t xml:space="preserve"> weighed </w:t>
      </w:r>
      <w:r w:rsidRPr="00B740B4">
        <w:rPr>
          <w:rStyle w:val="i"/>
          <w:color w:val="auto"/>
        </w:rPr>
        <w:t>on the scales and found deficient.’</w:t>
      </w:r>
      <w:r w:rsidRPr="00B740B4">
        <w:t xml:space="preserve"> </w:t>
      </w:r>
      <w:r w:rsidRPr="00B740B4">
        <w:rPr>
          <w:rStyle w:val="ver"/>
        </w:rPr>
        <w:t>28</w:t>
      </w:r>
      <w:r w:rsidRPr="00B740B4">
        <w:rPr>
          <w:rStyle w:val="i"/>
          <w:color w:val="auto"/>
        </w:rPr>
        <w:t>‘A</w:t>
      </w:r>
      <w:r w:rsidRPr="00B740B4">
        <w:t xml:space="preserve"> half</w:t>
      </w:r>
      <w:r w:rsidRPr="00B740B4">
        <w:rPr>
          <w:rStyle w:val="i"/>
          <w:color w:val="auto"/>
        </w:rPr>
        <w:t>’ means ‘Your kingship has been</w:t>
      </w:r>
      <w:r w:rsidRPr="00B740B4">
        <w:t xml:space="preserve"> broken in half </w:t>
      </w:r>
      <w:r w:rsidR="007E3892" w:rsidRPr="00B740B4">
        <w:rPr>
          <w:rStyle w:val="i"/>
          <w:color w:val="auto"/>
        </w:rPr>
        <w:t>and given to Maday</w:t>
      </w:r>
      <w:r w:rsidRPr="00B740B4">
        <w:rPr>
          <w:rStyle w:val="i"/>
          <w:color w:val="auto"/>
        </w:rPr>
        <w:t xml:space="preserve"> and</w:t>
      </w:r>
      <w:r w:rsidR="007E3892" w:rsidRPr="00B740B4">
        <w:t xml:space="preserve"> </w:t>
      </w:r>
      <w:r w:rsidR="007E3892" w:rsidRPr="00B740B4">
        <w:rPr>
          <w:i/>
        </w:rPr>
        <w:t>Paras</w:t>
      </w:r>
      <w:r w:rsidRPr="00B740B4">
        <w:rPr>
          <w:rStyle w:val="i"/>
          <w:color w:val="auto"/>
        </w:rPr>
        <w:t>.’”</w:t>
      </w:r>
      <w:r w:rsidR="000721D3">
        <w:rPr>
          <w:rStyle w:val="i"/>
          <w:color w:val="auto"/>
        </w:rPr>
        <w:t xml:space="preserve"> </w:t>
      </w:r>
      <w:r w:rsidRPr="00B740B4">
        <w:t xml:space="preserve"> </w:t>
      </w:r>
    </w:p>
    <w:p w:rsidR="00E13251" w:rsidRPr="00B740B4" w:rsidRDefault="00E13251" w:rsidP="00661970">
      <w:r w:rsidRPr="00B740B4">
        <w:rPr>
          <w:rStyle w:val="ver"/>
        </w:rPr>
        <w:t>29</w:t>
      </w:r>
      <w:r w:rsidR="003D0206">
        <w:rPr>
          <w:rStyle w:val="i"/>
          <w:color w:val="auto"/>
        </w:rPr>
        <w:t>Belš</w:t>
      </w:r>
      <w:r w:rsidR="00A97DAE" w:rsidRPr="00B740B4">
        <w:rPr>
          <w:rStyle w:val="i"/>
          <w:color w:val="auto"/>
        </w:rPr>
        <w:t xml:space="preserve">a’ṣṣar </w:t>
      </w:r>
      <w:r w:rsidR="001A5193" w:rsidRPr="00B740B4">
        <w:rPr>
          <w:rStyle w:val="i"/>
          <w:color w:val="auto"/>
        </w:rPr>
        <w:t xml:space="preserve"> said</w:t>
      </w:r>
      <w:r w:rsidRPr="00B740B4">
        <w:rPr>
          <w:rStyle w:val="i"/>
          <w:color w:val="auto"/>
        </w:rPr>
        <w:t xml:space="preserve"> to clothe</w:t>
      </w:r>
      <w:r w:rsidRPr="00B740B4">
        <w:rPr>
          <w:rStyle w:val="fnref"/>
        </w:rPr>
        <w:t>a</w:t>
      </w:r>
      <w:r w:rsidRPr="00B740B4">
        <w:t xml:space="preserve"> </w:t>
      </w:r>
      <w:r w:rsidR="00834A5F" w:rsidRPr="00B740B4">
        <w:rPr>
          <w:rStyle w:val="i"/>
          <w:color w:val="auto"/>
        </w:rPr>
        <w:t>Daniyye’l</w:t>
      </w:r>
      <w:r w:rsidRPr="00B740B4">
        <w:rPr>
          <w:rStyle w:val="i"/>
          <w:color w:val="auto"/>
        </w:rPr>
        <w:t xml:space="preserve"> in the purple, with the gold chain </w:t>
      </w:r>
      <w:r w:rsidR="007E3892" w:rsidRPr="00B740B4">
        <w:rPr>
          <w:rStyle w:val="i"/>
          <w:color w:val="auto"/>
        </w:rPr>
        <w:t>a</w:t>
      </w:r>
      <w:r w:rsidRPr="00B740B4">
        <w:rPr>
          <w:rStyle w:val="i"/>
          <w:color w:val="auto"/>
        </w:rPr>
        <w:t>round his neck, and a proclamation was issued concerning him, that he would rule as a Deputy in the kingdom.</w:t>
      </w:r>
      <w:r w:rsidRPr="00B740B4">
        <w:t xml:space="preserve"> </w:t>
      </w:r>
      <w:r w:rsidRPr="00B740B4">
        <w:rPr>
          <w:rStyle w:val="ver"/>
        </w:rPr>
        <w:t>30</w:t>
      </w:r>
      <w:r w:rsidRPr="00B740B4">
        <w:rPr>
          <w:rStyle w:val="i"/>
          <w:color w:val="auto"/>
        </w:rPr>
        <w:t xml:space="preserve">That very night </w:t>
      </w:r>
      <w:r w:rsidR="003D0206">
        <w:rPr>
          <w:rStyle w:val="i"/>
          <w:color w:val="auto"/>
        </w:rPr>
        <w:t>Belš’</w:t>
      </w:r>
      <w:r w:rsidR="00A97DAE" w:rsidRPr="00B740B4">
        <w:rPr>
          <w:rStyle w:val="i"/>
          <w:color w:val="auto"/>
        </w:rPr>
        <w:t xml:space="preserve">aṣṣar </w:t>
      </w:r>
      <w:r w:rsidRPr="00B740B4">
        <w:rPr>
          <w:rStyle w:val="fnref"/>
        </w:rPr>
        <w:t>a</w:t>
      </w:r>
      <w:r w:rsidRPr="00B740B4">
        <w:t xml:space="preserve"> </w:t>
      </w:r>
      <w:r w:rsidR="007E3892" w:rsidRPr="00B740B4">
        <w:rPr>
          <w:rStyle w:val="i"/>
          <w:color w:val="auto"/>
        </w:rPr>
        <w:t>the Kasdite</w:t>
      </w:r>
      <w:r w:rsidRPr="00B740B4">
        <w:rPr>
          <w:rStyle w:val="i"/>
          <w:color w:val="auto"/>
        </w:rPr>
        <w:t xml:space="preserve"> king was killed,</w:t>
      </w:r>
      <w:r w:rsidRPr="00B740B4">
        <w:t xml:space="preserve"> </w:t>
      </w:r>
      <w:r w:rsidR="006318BC" w:rsidRPr="00B740B4">
        <w:rPr>
          <w:rStyle w:val="ver"/>
        </w:rPr>
        <w:t>31</w:t>
      </w:r>
      <w:r w:rsidRPr="00B740B4">
        <w:rPr>
          <w:rStyle w:val="i"/>
          <w:color w:val="auto"/>
        </w:rPr>
        <w:t>a</w:t>
      </w:r>
      <w:r w:rsidR="005973C1">
        <w:rPr>
          <w:rStyle w:val="i"/>
          <w:color w:val="auto"/>
        </w:rPr>
        <w:t>nd Dareyaweš</w:t>
      </w:r>
      <w:r w:rsidR="00CB0116">
        <w:rPr>
          <w:rStyle w:val="i"/>
          <w:color w:val="auto"/>
        </w:rPr>
        <w:t xml:space="preserve"> the Medite</w:t>
      </w:r>
      <w:r w:rsidRPr="00B740B4">
        <w:rPr>
          <w:rStyle w:val="i"/>
          <w:color w:val="auto"/>
        </w:rPr>
        <w:t xml:space="preserve"> acquired</w:t>
      </w:r>
      <w:r w:rsidRPr="00B740B4">
        <w:rPr>
          <w:rStyle w:val="fnref"/>
        </w:rPr>
        <w:t>a</w:t>
      </w:r>
      <w:r w:rsidRPr="00B740B4">
        <w:t xml:space="preserve"> </w:t>
      </w:r>
      <w:r w:rsidRPr="00B740B4">
        <w:rPr>
          <w:rStyle w:val="i"/>
          <w:color w:val="auto"/>
        </w:rPr>
        <w:t>the kingship as</w:t>
      </w:r>
      <w:r w:rsidRPr="00B740B4">
        <w:rPr>
          <w:rStyle w:val="fnref"/>
        </w:rPr>
        <w:t>b</w:t>
      </w:r>
      <w:r w:rsidRPr="00B740B4">
        <w:t xml:space="preserve"> </w:t>
      </w:r>
      <w:r w:rsidRPr="00B740B4">
        <w:rPr>
          <w:rStyle w:val="i"/>
          <w:color w:val="auto"/>
        </w:rPr>
        <w:t>a man of sixty-two years.</w:t>
      </w:r>
    </w:p>
    <w:p w:rsidR="00BA0348" w:rsidRPr="00B740B4" w:rsidRDefault="00BA0348" w:rsidP="009479B1">
      <w:pPr>
        <w:pStyle w:val="Heading2"/>
      </w:pPr>
      <w:r w:rsidRPr="00B740B4">
        <w:t>Notes</w:t>
      </w:r>
    </w:p>
    <w:p w:rsidR="00BA0348" w:rsidRPr="00B740B4" w:rsidRDefault="00BA0348" w:rsidP="00BA0348">
      <w:r w:rsidRPr="00B740B4">
        <w:rPr>
          <w:rStyle w:val="fnnum"/>
          <w:color w:val="auto"/>
        </w:rPr>
        <w:t>1.a.</w:t>
      </w:r>
      <w:r w:rsidRPr="00B740B4">
        <w:t xml:space="preserve"> </w:t>
      </w:r>
      <w:r w:rsidRPr="00B740B4">
        <w:rPr>
          <w:rStyle w:val="heb"/>
          <w:rFonts w:ascii="Arial" w:hAnsi="Arial" w:cs="Arial"/>
          <w:color w:val="auto"/>
        </w:rPr>
        <w:t>בלשאצר</w:t>
      </w:r>
      <w:r w:rsidRPr="00B740B4">
        <w:t xml:space="preserve">, </w:t>
      </w:r>
      <w:r w:rsidRPr="00B740B4">
        <w:rPr>
          <w:rStyle w:val="theb"/>
          <w:color w:val="auto"/>
        </w:rPr>
        <w:t>Bēl-šar-uṣur,</w:t>
      </w:r>
      <w:r w:rsidRPr="00B740B4">
        <w:t xml:space="preserve"> “Bel protect the king.” One might h</w:t>
      </w:r>
      <w:r w:rsidR="00EB73E0" w:rsidRPr="00B740B4">
        <w:t>ave expected in BA</w:t>
      </w:r>
      <w:r w:rsidRPr="00B740B4">
        <w:t xml:space="preserve"> </w:t>
      </w:r>
      <w:r w:rsidRPr="00B740B4">
        <w:rPr>
          <w:rStyle w:val="heb"/>
          <w:rFonts w:ascii="Arial" w:hAnsi="Arial" w:cs="Arial"/>
          <w:color w:val="auto"/>
        </w:rPr>
        <w:t>בלשראצר</w:t>
      </w:r>
      <w:r w:rsidRPr="00B740B4">
        <w:t xml:space="preserve"> (cf. Nērgal šar-’eṣer, Jer 39:3) (Plöger). </w:t>
      </w:r>
      <w:r w:rsidRPr="00B740B4">
        <w:rPr>
          <w:rStyle w:val="heb"/>
          <w:rFonts w:ascii="Arial" w:hAnsi="Arial" w:cs="Arial"/>
          <w:color w:val="auto"/>
        </w:rPr>
        <w:t>בלאשצר</w:t>
      </w:r>
      <w:r w:rsidRPr="00B740B4">
        <w:t xml:space="preserve"> (5:30; 7:1; 8:1) is more anomalous: see n. 30.a.</w:t>
      </w:r>
    </w:p>
    <w:p w:rsidR="00BA0348" w:rsidRPr="00B740B4" w:rsidRDefault="00BA0348" w:rsidP="00BA0348">
      <w:r w:rsidRPr="00B740B4">
        <w:rPr>
          <w:rStyle w:val="fnnum"/>
          <w:color w:val="auto"/>
        </w:rPr>
        <w:t>1.b.</w:t>
      </w:r>
      <w:r w:rsidRPr="00B740B4">
        <w:t xml:space="preserve"> Taking the whole phrase</w:t>
      </w:r>
      <w:r w:rsidR="00DD4D47" w:rsidRPr="00B740B4">
        <w:t xml:space="preserve"> </w:t>
      </w:r>
      <w:r w:rsidR="00DD4D47" w:rsidRPr="00B740B4">
        <w:rPr>
          <w:rFonts w:ascii="Arial" w:hAnsi="Arial" w:cs="Arial"/>
        </w:rPr>
        <w:t>אלף</w:t>
      </w:r>
      <w:r w:rsidR="00DD4D47" w:rsidRPr="00B740B4">
        <w:t xml:space="preserve"> </w:t>
      </w:r>
      <w:r w:rsidRPr="00B740B4">
        <w:t xml:space="preserve"> </w:t>
      </w:r>
      <w:r w:rsidRPr="00B740B4">
        <w:rPr>
          <w:rStyle w:val="heb"/>
          <w:rFonts w:ascii="Arial" w:hAnsi="Arial" w:cs="Arial"/>
          <w:color w:val="auto"/>
        </w:rPr>
        <w:t>לרברבנוהי</w:t>
      </w:r>
      <w:r w:rsidRPr="00B740B4">
        <w:rPr>
          <w:rStyle w:val="heb"/>
          <w:color w:val="auto"/>
        </w:rPr>
        <w:t xml:space="preserve"> </w:t>
      </w:r>
      <w:r w:rsidRPr="00B740B4">
        <w:t>as determinate; cf. Th, BL 95k, against NRSV, Ehrlich “1000 of his lords.” Cf. 7:24 “the ten horns,” not “ten of the horns.”</w:t>
      </w:r>
    </w:p>
    <w:p w:rsidR="00BA0348" w:rsidRPr="00B740B4" w:rsidRDefault="00BA0348" w:rsidP="00BA0348">
      <w:r w:rsidRPr="00B740B4">
        <w:rPr>
          <w:rStyle w:val="fnnum"/>
          <w:color w:val="auto"/>
        </w:rPr>
        <w:t>1.c-</w:t>
      </w:r>
      <w:r w:rsidRPr="00B740B4">
        <w:rPr>
          <w:rStyle w:val="fnnum"/>
          <w:rFonts w:asciiTheme="minorHAnsi" w:hAnsiTheme="minorHAnsi"/>
          <w:color w:val="auto"/>
        </w:rPr>
        <w:t>c.</w:t>
      </w:r>
      <w:r w:rsidRPr="00B740B4">
        <w:t xml:space="preserve"> Cf. </w:t>
      </w:r>
      <w:r w:rsidRPr="00B740B4">
        <w:rPr>
          <w:rStyle w:val="sm"/>
          <w:rFonts w:asciiTheme="minorHAnsi" w:hAnsiTheme="minorHAnsi"/>
          <w:color w:val="auto"/>
          <w:sz w:val="22"/>
          <w:szCs w:val="22"/>
        </w:rPr>
        <w:t>jb</w:t>
      </w:r>
      <w:r w:rsidRPr="00B740B4">
        <w:t xml:space="preserve">; for the king to dine with them was an exceptional event. But </w:t>
      </w:r>
      <w:r w:rsidRPr="00B740B4">
        <w:rPr>
          <w:rStyle w:val="heb"/>
          <w:rFonts w:ascii="Arial" w:hAnsi="Arial" w:cs="Arial"/>
          <w:color w:val="auto"/>
        </w:rPr>
        <w:t>לקבל</w:t>
      </w:r>
      <w:r w:rsidRPr="00B740B4">
        <w:t xml:space="preserve"> may suggest “before them,” i.e., sitting at high table facing them (making a display of himself?).</w:t>
      </w:r>
    </w:p>
    <w:p w:rsidR="00BA0348" w:rsidRPr="00B740B4" w:rsidRDefault="00B566C6" w:rsidP="00BA0348">
      <w:r>
        <w:rPr>
          <w:rStyle w:val="fnnum"/>
          <w:color w:val="auto"/>
        </w:rPr>
        <w:t xml:space="preserve"> </w:t>
      </w:r>
      <w:r w:rsidR="00BA0348" w:rsidRPr="00B740B4">
        <w:rPr>
          <w:rStyle w:val="fnnum"/>
          <w:color w:val="auto"/>
        </w:rPr>
        <w:t>2.a-a.</w:t>
      </w:r>
      <w:r w:rsidR="00BA0348" w:rsidRPr="00B740B4">
        <w:t xml:space="preserve"> </w:t>
      </w:r>
      <w:r w:rsidR="00BA0348" w:rsidRPr="00B740B4">
        <w:rPr>
          <w:rStyle w:val="heb"/>
          <w:rFonts w:ascii="Arial" w:hAnsi="Arial" w:cs="Arial"/>
          <w:color w:val="auto"/>
        </w:rPr>
        <w:t>בטעם</w:t>
      </w:r>
      <w:r w:rsidR="00BA0348" w:rsidRPr="00B740B4">
        <w:t>, perhaps implyin</w:t>
      </w:r>
      <w:r w:rsidR="004E107A" w:rsidRPr="00B740B4">
        <w:t>g “under the influence of” (</w:t>
      </w:r>
      <w:r w:rsidR="00DD4D47" w:rsidRPr="00B740B4">
        <w:t xml:space="preserve">e.g., </w:t>
      </w:r>
      <w:r w:rsidR="004E107A" w:rsidRPr="00B740B4">
        <w:t xml:space="preserve">Meadowcroft, </w:t>
      </w:r>
      <w:r w:rsidR="004E107A" w:rsidRPr="00B740B4">
        <w:rPr>
          <w:i/>
        </w:rPr>
        <w:t>Aramaic Daniel and Greek Daniel</w:t>
      </w:r>
      <w:r w:rsidR="004E107A" w:rsidRPr="00B740B4">
        <w:t xml:space="preserve">, 59-60; </w:t>
      </w:r>
      <w:r w:rsidR="00BA0348" w:rsidRPr="00B740B4">
        <w:t>and the story in Esth 1:10).</w:t>
      </w:r>
    </w:p>
    <w:p w:rsidR="00BA0348" w:rsidRPr="00B740B4" w:rsidRDefault="00BA0348" w:rsidP="00BA0348">
      <w:r w:rsidRPr="00B740B4">
        <w:rPr>
          <w:rStyle w:val="fnnum"/>
          <w:color w:val="auto"/>
        </w:rPr>
        <w:t>2.b</w:t>
      </w:r>
      <w:r w:rsidR="000721D3">
        <w:rPr>
          <w:rStyle w:val="fnnum"/>
          <w:color w:val="auto"/>
        </w:rPr>
        <w:t>.</w:t>
      </w:r>
      <w:r w:rsidR="000721D3">
        <w:rPr>
          <w:rStyle w:val="heb"/>
          <w:rFonts w:ascii="Arial" w:hAnsi="Arial" w:cs="Arial"/>
          <w:color w:val="auto"/>
        </w:rPr>
        <w:t xml:space="preserve"> </w:t>
      </w:r>
      <w:r w:rsidRPr="00B740B4">
        <w:rPr>
          <w:rStyle w:val="heb"/>
          <w:rFonts w:ascii="Arial" w:hAnsi="Arial" w:cs="Arial"/>
          <w:color w:val="auto"/>
        </w:rPr>
        <w:t xml:space="preserve">ה </w:t>
      </w:r>
      <w:r w:rsidR="000721D3" w:rsidRPr="000721D3">
        <w:rPr>
          <w:rFonts w:ascii="Arial" w:hAnsi="Arial" w:cs="Arial"/>
        </w:rPr>
        <w:t>ת ולחנ</w:t>
      </w:r>
      <w:r w:rsidR="000721D3">
        <w:rPr>
          <w:rStyle w:val="heb"/>
          <w:rFonts w:ascii="Arial" w:hAnsi="Arial" w:cs="Arial"/>
          <w:color w:val="auto"/>
        </w:rPr>
        <w:t xml:space="preserve"> </w:t>
      </w:r>
      <w:r w:rsidRPr="00B740B4">
        <w:rPr>
          <w:rFonts w:ascii="Arial" w:hAnsi="Arial" w:cs="Arial"/>
        </w:rPr>
        <w:t>שגלתה</w:t>
      </w:r>
      <w:r w:rsidRPr="00B740B4">
        <w:t>: Apparently Akk. terms for the more high-ranking of the king’s wives and for other women from the royal household. The first is usually taken to mean “she of the palace” (cf. Newsom), thou</w:t>
      </w:r>
      <w:r w:rsidR="000721D3">
        <w:t xml:space="preserve">gh Feigin (“Word Studies,”  47) </w:t>
      </w:r>
      <w:r w:rsidRPr="00B740B4">
        <w:t>doubts this understanding and argues for “la</w:t>
      </w:r>
      <w:r w:rsidR="00DD4D47" w:rsidRPr="00B740B4">
        <w:t>dy of the harem” more generally</w:t>
      </w:r>
      <w:r w:rsidRPr="00B740B4">
        <w:t xml:space="preserve">. The second might denote senior figures in the harem or might simply signify secondary wives (see </w:t>
      </w:r>
      <w:r w:rsidRPr="00B740B4">
        <w:rPr>
          <w:i/>
        </w:rPr>
        <w:t>HALOT</w:t>
      </w:r>
      <w:r w:rsidRPr="00B740B4">
        <w:t>;</w:t>
      </w:r>
      <w:r w:rsidRPr="00B740B4">
        <w:rPr>
          <w:i/>
        </w:rPr>
        <w:t xml:space="preserve"> </w:t>
      </w:r>
      <w:r w:rsidRPr="00B740B4">
        <w:rPr>
          <w:rStyle w:val="i"/>
          <w:color w:val="auto"/>
          <w:szCs w:val="22"/>
        </w:rPr>
        <w:t>CAD</w:t>
      </w:r>
      <w:r w:rsidRPr="00B740B4">
        <w:t xml:space="preserve"> E:</w:t>
      </w:r>
      <w:r w:rsidR="000721D3">
        <w:t xml:space="preserve"> </w:t>
      </w:r>
      <w:r w:rsidRPr="00B740B4">
        <w:t>61–62; A/</w:t>
      </w:r>
      <w:r w:rsidR="00F20AC6">
        <w:t>1:</w:t>
      </w:r>
      <w:r w:rsidRPr="00B740B4">
        <w:t>294; Diakonoff, “Some Remarks on I 568.”</w:t>
      </w:r>
      <w:r w:rsidR="00DD4D47" w:rsidRPr="00B740B4">
        <w:t xml:space="preserve"> But t</w:t>
      </w:r>
      <w:r w:rsidRPr="00B740B4">
        <w:t xml:space="preserve">here is a disparaging tone about the two words, esp. in the pl., and about the combination. The women contrast unfavorably with </w:t>
      </w:r>
      <w:r w:rsidRPr="00B740B4">
        <w:rPr>
          <w:rStyle w:val="heb"/>
          <w:rFonts w:ascii="Arial" w:hAnsi="Arial" w:cs="Arial"/>
          <w:color w:val="auto"/>
        </w:rPr>
        <w:t>מלכתא</w:t>
      </w:r>
      <w:r w:rsidRPr="00B740B4">
        <w:t xml:space="preserve"> “the queen” who appears in v 10, since the terms here do not denote people who exercise authority</w:t>
      </w:r>
      <w:r w:rsidR="00DD4D47" w:rsidRPr="00B740B4">
        <w:t xml:space="preserve"> in the way that she does</w:t>
      </w:r>
      <w:r w:rsidR="000721D3">
        <w:t>; cf.</w:t>
      </w:r>
      <w:r w:rsidRPr="00B740B4">
        <w:t xml:space="preserve"> the two classes of women of the palace and of the ha</w:t>
      </w:r>
      <w:r w:rsidR="002D10AB" w:rsidRPr="00B740B4">
        <w:t>rem in 1 Kgs 11:3; Cant 6:8 (</w:t>
      </w:r>
      <w:r w:rsidRPr="00B740B4">
        <w:t xml:space="preserve">Landsberger, “Akkadische-hebräische Wortgleichungen,” 198–204; Oppenheim, </w:t>
      </w:r>
      <w:r w:rsidR="00C216D7">
        <w:rPr>
          <w:i/>
        </w:rPr>
        <w:t xml:space="preserve">Ancient </w:t>
      </w:r>
      <w:r w:rsidRPr="00B740B4">
        <w:rPr>
          <w:rStyle w:val="i"/>
          <w:color w:val="auto"/>
          <w:szCs w:val="22"/>
        </w:rPr>
        <w:t>Mesopotamia</w:t>
      </w:r>
      <w:r w:rsidRPr="00B740B4">
        <w:t>, 104</w:t>
      </w:r>
      <w:r w:rsidR="002D10AB" w:rsidRPr="00B740B4">
        <w:t xml:space="preserve">; and for the Persian period, Briant, </w:t>
      </w:r>
      <w:r w:rsidR="002D10AB" w:rsidRPr="00B740B4">
        <w:rPr>
          <w:i/>
        </w:rPr>
        <w:t>From Cyrus to Alexander</w:t>
      </w:r>
      <w:r w:rsidR="002D10AB" w:rsidRPr="00B740B4">
        <w:t>, 277-86</w:t>
      </w:r>
      <w:r w:rsidRPr="00B740B4">
        <w:t xml:space="preserve">). </w:t>
      </w:r>
      <w:r w:rsidRPr="00B740B4">
        <w:rPr>
          <w:rStyle w:val="sm"/>
          <w:color w:val="auto"/>
          <w:sz w:val="22"/>
          <w:szCs w:val="22"/>
        </w:rPr>
        <w:t>jb</w:t>
      </w:r>
      <w:r w:rsidRPr="00B740B4">
        <w:t xml:space="preserve"> “singing women” for </w:t>
      </w:r>
      <w:r w:rsidRPr="00B740B4">
        <w:rPr>
          <w:rStyle w:val="heb"/>
          <w:rFonts w:ascii="Arial" w:hAnsi="Arial" w:cs="Arial"/>
          <w:color w:val="auto"/>
        </w:rPr>
        <w:t>לחנתה</w:t>
      </w:r>
      <w:r w:rsidR="00DD4D47" w:rsidRPr="00B740B4">
        <w:t xml:space="preserve"> connects the term</w:t>
      </w:r>
      <w:r w:rsidRPr="00B740B4">
        <w:t xml:space="preserve"> with </w:t>
      </w:r>
      <w:r w:rsidR="00DD4D47" w:rsidRPr="00B740B4">
        <w:t>a word</w:t>
      </w:r>
      <w:r w:rsidRPr="00B740B4">
        <w:t xml:space="preserve"> used at Elephantine (cf. Reider, “The Brooklyn Museum Aramaic Papyri,” 339; Couroyer, “Lḥn: chantre?”; Torrey, “More Elephantine Papyri,” 150–51, appealing to an Arabic root; cf. BDB for an Arabic cognate).</w:t>
      </w:r>
    </w:p>
    <w:p w:rsidR="002D4AC4" w:rsidRPr="009951FE" w:rsidRDefault="002D4AC4" w:rsidP="00BA0348">
      <w:pPr>
        <w:rPr>
          <w:rStyle w:val="fnnum"/>
          <w:rFonts w:ascii="Calibri" w:hAnsi="Calibri"/>
          <w:color w:val="auto"/>
        </w:rPr>
      </w:pPr>
      <w:r w:rsidRPr="009951FE">
        <w:rPr>
          <w:rStyle w:val="fnnum"/>
          <w:rFonts w:ascii="Calibri" w:hAnsi="Calibri"/>
          <w:color w:val="auto"/>
        </w:rPr>
        <w:t xml:space="preserve">3.a. The </w:t>
      </w:r>
      <w:r w:rsidR="009951FE" w:rsidRPr="009951FE">
        <w:rPr>
          <w:rStyle w:val="fnnum"/>
          <w:rFonts w:ascii="Calibri" w:hAnsi="Calibri"/>
          <w:color w:val="auto"/>
        </w:rPr>
        <w:t>verse</w:t>
      </w:r>
      <w:r w:rsidRPr="009951FE">
        <w:rPr>
          <w:rStyle w:val="fnnum"/>
          <w:rFonts w:ascii="Calibri" w:hAnsi="Calibri"/>
          <w:color w:val="auto"/>
        </w:rPr>
        <w:t xml:space="preserve"> begins</w:t>
      </w:r>
      <w:r w:rsidRPr="009951FE">
        <w:rPr>
          <w:rFonts w:ascii="Calibri" w:hAnsi="Calibri"/>
        </w:rPr>
        <w:t xml:space="preserve"> </w:t>
      </w:r>
      <w:r w:rsidRPr="009951FE">
        <w:rPr>
          <w:rFonts w:ascii="Arial" w:hAnsi="Arial" w:cs="Arial"/>
        </w:rPr>
        <w:t>באדין</w:t>
      </w:r>
      <w:r w:rsidRPr="009951FE">
        <w:rPr>
          <w:rFonts w:ascii="Calibri" w:hAnsi="Calibri"/>
        </w:rPr>
        <w:t xml:space="preserve"> (EVV “then”) and the chapter uses both </w:t>
      </w:r>
      <w:r w:rsidRPr="009951FE">
        <w:rPr>
          <w:rFonts w:ascii="Arial" w:hAnsi="Arial" w:cs="Arial"/>
        </w:rPr>
        <w:t>באדין</w:t>
      </w:r>
      <w:r w:rsidRPr="009951FE">
        <w:rPr>
          <w:rFonts w:ascii="Calibri" w:hAnsi="Calibri"/>
        </w:rPr>
        <w:t xml:space="preserve"> and</w:t>
      </w:r>
      <w:r w:rsidRPr="009951FE">
        <w:rPr>
          <w:rStyle w:val="fnnum"/>
          <w:rFonts w:ascii="Calibri" w:hAnsi="Calibri"/>
          <w:color w:val="auto"/>
        </w:rPr>
        <w:t xml:space="preserve"> </w:t>
      </w:r>
      <w:r w:rsidRPr="009951FE">
        <w:rPr>
          <w:rFonts w:ascii="Arial" w:hAnsi="Arial" w:cs="Arial"/>
        </w:rPr>
        <w:t>אדין</w:t>
      </w:r>
      <w:r w:rsidRPr="009951FE">
        <w:rPr>
          <w:rFonts w:ascii="Calibri" w:hAnsi="Calibri"/>
        </w:rPr>
        <w:t xml:space="preserve"> as linking particles,</w:t>
      </w:r>
      <w:r w:rsidR="009951FE" w:rsidRPr="009951FE">
        <w:rPr>
          <w:rFonts w:ascii="Calibri" w:hAnsi="Calibri"/>
        </w:rPr>
        <w:t xml:space="preserve"> hardly requiring translation</w:t>
      </w:r>
      <w:r w:rsidRPr="009951FE">
        <w:rPr>
          <w:rFonts w:ascii="Calibri" w:hAnsi="Calibri"/>
        </w:rPr>
        <w:t xml:space="preserve"> (cf. </w:t>
      </w:r>
      <w:r w:rsidR="009951FE" w:rsidRPr="009951FE">
        <w:rPr>
          <w:rFonts w:ascii="Calibri" w:hAnsi="Calibri"/>
        </w:rPr>
        <w:t>notes 2:15.c and 3:3a</w:t>
      </w:r>
      <w:r w:rsidR="009951FE">
        <w:rPr>
          <w:rFonts w:ascii="Calibri" w:hAnsi="Calibri"/>
        </w:rPr>
        <w:t>)</w:t>
      </w:r>
      <w:r w:rsidR="009951FE" w:rsidRPr="009951FE">
        <w:rPr>
          <w:rFonts w:ascii="Calibri" w:hAnsi="Calibri"/>
        </w:rPr>
        <w:t>.</w:t>
      </w:r>
    </w:p>
    <w:p w:rsidR="00BA0348" w:rsidRPr="00B740B4" w:rsidRDefault="002D4AC4" w:rsidP="00BA0348">
      <w:r>
        <w:rPr>
          <w:rStyle w:val="fnnum"/>
          <w:color w:val="auto"/>
        </w:rPr>
        <w:t>3.b</w:t>
      </w:r>
      <w:r w:rsidR="00BA0348" w:rsidRPr="00B740B4">
        <w:rPr>
          <w:rStyle w:val="fnnum"/>
          <w:color w:val="auto"/>
        </w:rPr>
        <w:t>.</w:t>
      </w:r>
      <w:r w:rsidR="00BA0348" w:rsidRPr="00B740B4">
        <w:t xml:space="preserve"> Presumably t</w:t>
      </w:r>
      <w:r w:rsidR="00DD4D47" w:rsidRPr="00B740B4">
        <w:t>he silver ones are implicitly</w:t>
      </w:r>
      <w:r w:rsidR="00BA0348" w:rsidRPr="00B740B4">
        <w:t xml:space="preserve"> included (cf. v 2); Th, Vg, make this explicit.</w:t>
      </w:r>
    </w:p>
    <w:p w:rsidR="00BA0348" w:rsidRPr="00B740B4" w:rsidRDefault="002D4AC4" w:rsidP="00BA0348">
      <w:r>
        <w:rPr>
          <w:rStyle w:val="fnnum"/>
          <w:color w:val="auto"/>
        </w:rPr>
        <w:t>3.c-c</w:t>
      </w:r>
      <w:r w:rsidR="00BA0348" w:rsidRPr="00B740B4">
        <w:rPr>
          <w:rStyle w:val="fnnum"/>
          <w:color w:val="auto"/>
        </w:rPr>
        <w:t>.</w:t>
      </w:r>
      <w:r w:rsidR="00BA0348" w:rsidRPr="00B740B4">
        <w:t xml:space="preserve"> </w:t>
      </w:r>
      <w:r w:rsidR="008E785C" w:rsidRPr="00B740B4">
        <w:t xml:space="preserve">The epression might distinguish the </w:t>
      </w:r>
      <w:r w:rsidR="00BA0348" w:rsidRPr="00B740B4">
        <w:rPr>
          <w:rStyle w:val="heb"/>
          <w:rFonts w:ascii="Arial" w:hAnsi="Arial" w:cs="Arial"/>
          <w:color w:val="auto"/>
        </w:rPr>
        <w:t>היכל</w:t>
      </w:r>
      <w:r w:rsidR="00BA0348" w:rsidRPr="00B740B4">
        <w:t xml:space="preserve"> </w:t>
      </w:r>
      <w:r w:rsidR="008E785C" w:rsidRPr="00B740B4">
        <w:t>from</w:t>
      </w:r>
      <w:r w:rsidR="00BA0348" w:rsidRPr="00B740B4">
        <w:t xml:space="preserve"> the wider complex of temple buildings as a whole, cf. 1 Kgs 6:3. But </w:t>
      </w:r>
      <w:r w:rsidR="008E785C" w:rsidRPr="00B740B4">
        <w:t xml:space="preserve">more likely </w:t>
      </w:r>
      <w:r w:rsidR="00BA0348" w:rsidRPr="00B740B4">
        <w:t xml:space="preserve">the </w:t>
      </w:r>
      <w:r w:rsidR="002921A1" w:rsidRPr="00B740B4">
        <w:t xml:space="preserve">pleonastic </w:t>
      </w:r>
      <w:r w:rsidR="00BA0348" w:rsidRPr="00B740B4">
        <w:t xml:space="preserve">expression </w:t>
      </w:r>
      <w:r w:rsidR="002921A1" w:rsidRPr="00B740B4">
        <w:t>makes clear that the</w:t>
      </w:r>
      <w:r w:rsidR="00BA0348" w:rsidRPr="00B740B4">
        <w:t xml:space="preserve">  </w:t>
      </w:r>
      <w:r w:rsidR="00BA0348" w:rsidRPr="00B740B4">
        <w:rPr>
          <w:rStyle w:val="heb"/>
          <w:rFonts w:ascii="Arial" w:hAnsi="Arial" w:cs="Arial"/>
          <w:color w:val="auto"/>
        </w:rPr>
        <w:t>היכל</w:t>
      </w:r>
      <w:r w:rsidR="00BA0348" w:rsidRPr="00B740B4">
        <w:t xml:space="preserve"> </w:t>
      </w:r>
      <w:r w:rsidR="002921A1" w:rsidRPr="00B740B4">
        <w:t xml:space="preserve">in question is </w:t>
      </w:r>
      <w:r w:rsidR="002921A1" w:rsidRPr="00B740B4">
        <w:lastRenderedPageBreak/>
        <w:t xml:space="preserve">the temple, as Yahweh’s “palace,”  not </w:t>
      </w:r>
      <w:r w:rsidR="00BA0348" w:rsidRPr="00B740B4">
        <w:t xml:space="preserve">the </w:t>
      </w:r>
      <w:r w:rsidR="002921A1" w:rsidRPr="00B740B4">
        <w:t>king’s palace (as in</w:t>
      </w:r>
      <w:r w:rsidR="00BA0348" w:rsidRPr="00B740B4">
        <w:t xml:space="preserve"> 4:29 [26</w:t>
      </w:r>
      <w:r w:rsidR="002921A1" w:rsidRPr="00B740B4">
        <w:t xml:space="preserve">]). It thus prepares  for </w:t>
      </w:r>
      <w:r w:rsidR="00AF422C">
        <w:t>v</w:t>
      </w:r>
      <w:r w:rsidR="002921A1" w:rsidRPr="00B740B4">
        <w:t xml:space="preserve"> 4 and makes explicit Belshazzar’s sacrilege. </w:t>
      </w:r>
      <w:r w:rsidR="00BA0348" w:rsidRPr="00B740B4">
        <w:t>Vg omits it</w:t>
      </w:r>
      <w:r w:rsidR="002921A1" w:rsidRPr="00B740B4">
        <w:t xml:space="preserve"> and Plöger sees it as a gloss</w:t>
      </w:r>
      <w:r w:rsidR="00BA0348" w:rsidRPr="00B740B4">
        <w:t xml:space="preserve">; Syr, Th omit </w:t>
      </w:r>
      <w:r w:rsidR="00BA0348" w:rsidRPr="00B740B4">
        <w:rPr>
          <w:rStyle w:val="heb"/>
          <w:rFonts w:ascii="Arial" w:hAnsi="Arial" w:cs="Arial"/>
          <w:color w:val="auto"/>
        </w:rPr>
        <w:t>בית</w:t>
      </w:r>
      <w:r w:rsidR="00BA0348" w:rsidRPr="00B740B4">
        <w:t>.</w:t>
      </w:r>
    </w:p>
    <w:p w:rsidR="00BA0348" w:rsidRPr="00B740B4" w:rsidRDefault="002D4AC4" w:rsidP="00BA0348">
      <w:r>
        <w:rPr>
          <w:rStyle w:val="fnnum"/>
          <w:color w:val="auto"/>
        </w:rPr>
        <w:t>3.d</w:t>
      </w:r>
      <w:r w:rsidR="00BA0348" w:rsidRPr="00B740B4">
        <w:rPr>
          <w:rStyle w:val="fnnum"/>
          <w:color w:val="auto"/>
        </w:rPr>
        <w:t>.</w:t>
      </w:r>
      <w:r w:rsidR="00BA0348" w:rsidRPr="00B740B4">
        <w:t xml:space="preserve"> </w:t>
      </w:r>
      <w:r w:rsidR="00BA0348" w:rsidRPr="00B740B4">
        <w:rPr>
          <w:rStyle w:val="heb"/>
          <w:rFonts w:ascii="Arial" w:hAnsi="Arial" w:cs="Arial"/>
          <w:color w:val="auto"/>
        </w:rPr>
        <w:t>אשתיו</w:t>
      </w:r>
      <w:r w:rsidR="00BA0348" w:rsidRPr="00B740B4">
        <w:t xml:space="preserve"> (also v 4). The prosthetic </w:t>
      </w:r>
      <w:r w:rsidR="00BA0348" w:rsidRPr="00B740B4">
        <w:rPr>
          <w:rStyle w:val="heb"/>
          <w:rFonts w:ascii="Arial" w:hAnsi="Arial" w:cs="Arial"/>
          <w:color w:val="auto"/>
        </w:rPr>
        <w:t>א</w:t>
      </w:r>
      <w:r w:rsidR="00BA0348" w:rsidRPr="00B740B4">
        <w:t xml:space="preserve"> is a mark of eastern imperial Aramaic, not of late Aramaic. (Coxon, “A Philological Note”).</w:t>
      </w:r>
    </w:p>
    <w:p w:rsidR="00BA0348" w:rsidRPr="00B740B4" w:rsidRDefault="00BA0348" w:rsidP="00BA0348">
      <w:r w:rsidRPr="00B740B4">
        <w:rPr>
          <w:rStyle w:val="fnnum"/>
          <w:color w:val="auto"/>
        </w:rPr>
        <w:t>5.a.</w:t>
      </w:r>
      <w:r w:rsidRPr="00B740B4">
        <w:t xml:space="preserve"> Q </w:t>
      </w:r>
      <w:r w:rsidRPr="00B740B4">
        <w:rPr>
          <w:rStyle w:val="heb"/>
          <w:rFonts w:ascii="Arial" w:hAnsi="Arial" w:cs="Arial"/>
          <w:color w:val="auto"/>
        </w:rPr>
        <w:t>נפקה</w:t>
      </w:r>
      <w:r w:rsidRPr="00B740B4">
        <w:t xml:space="preserve"> (f. verb); K has m. verb with f. subject. Cf. n. 7:8.b; n. 7:20.a. The verb picks up the one used in the haphel in vv 2 and 3, there translated “taken out” (see Arnold</w:t>
      </w:r>
      <w:r w:rsidRPr="00B740B4">
        <w:rPr>
          <w:b/>
        </w:rPr>
        <w:t>,</w:t>
      </w:r>
      <w:r w:rsidRPr="00B740B4">
        <w:t xml:space="preserve"> “Wordplay and Narrative Techniques”).</w:t>
      </w:r>
    </w:p>
    <w:p w:rsidR="00BA0348" w:rsidRPr="00B740B4" w:rsidRDefault="00BA0348" w:rsidP="00BA0348">
      <w:r w:rsidRPr="00B740B4">
        <w:rPr>
          <w:rStyle w:val="fnnum"/>
          <w:color w:val="auto"/>
        </w:rPr>
        <w:t>5.b.</w:t>
      </w:r>
      <w:r w:rsidRPr="00B740B4">
        <w:t xml:space="preserve"> </w:t>
      </w:r>
      <w:r w:rsidRPr="00B740B4">
        <w:rPr>
          <w:rStyle w:val="heb"/>
          <w:rFonts w:ascii="Arial" w:hAnsi="Arial" w:cs="Arial"/>
          <w:color w:val="auto"/>
        </w:rPr>
        <w:t>פס</w:t>
      </w:r>
      <w:r w:rsidRPr="00B740B4">
        <w:t xml:space="preserve"> usually refers to the palm, which would be hardly visible during writing, even</w:t>
      </w:r>
      <w:r w:rsidR="00287A93" w:rsidRPr="00B740B4">
        <w:t xml:space="preserve"> to someone below it (Bentzen)</w:t>
      </w:r>
      <w:r w:rsidRPr="00B740B4">
        <w:t>. Effectively it refers here to the back of the hand or knuckles (</w:t>
      </w:r>
      <w:r w:rsidR="00EC1A23" w:rsidRPr="00B740B4">
        <w:t xml:space="preserve">Th; </w:t>
      </w:r>
      <w:r w:rsidRPr="00B740B4">
        <w:rPr>
          <w:rStyle w:val="sm"/>
          <w:color w:val="auto"/>
          <w:sz w:val="22"/>
          <w:szCs w:val="22"/>
        </w:rPr>
        <w:t>neb</w:t>
      </w:r>
      <w:r w:rsidRPr="00B740B4">
        <w:t xml:space="preserve">, Plöger, comparing Gen 37:3). It thus suggests </w:t>
      </w:r>
      <w:r w:rsidRPr="00B740B4">
        <w:rPr>
          <w:rStyle w:val="i"/>
          <w:color w:val="auto"/>
          <w:szCs w:val="22"/>
        </w:rPr>
        <w:t>merely</w:t>
      </w:r>
      <w:r w:rsidRPr="00B740B4">
        <w:t xml:space="preserve"> </w:t>
      </w:r>
      <w:r w:rsidR="008E785C" w:rsidRPr="00B740B4">
        <w:t xml:space="preserve">a hand (unconnected to an arm; </w:t>
      </w:r>
      <w:r w:rsidRPr="00B740B4">
        <w:t>cf. Hartman/Di Lella). Perhaps we should think of it as a severed hand (Polaski</w:t>
      </w:r>
      <w:r w:rsidRPr="00B740B4">
        <w:rPr>
          <w:b/>
        </w:rPr>
        <w:t xml:space="preserve">, </w:t>
      </w:r>
      <w:r w:rsidRPr="00B740B4">
        <w:t>“</w:t>
      </w:r>
      <w:r w:rsidRPr="00B740B4">
        <w:rPr>
          <w:i/>
        </w:rPr>
        <w:t>Mene, Mene, Tekel, Parsin</w:t>
      </w:r>
      <w:r w:rsidRPr="00B740B4">
        <w:t xml:space="preserve">,” 653). The hand writes on the wall above the high table, illuminated by the candelabra (cf. </w:t>
      </w:r>
      <w:r w:rsidRPr="00B740B4">
        <w:rPr>
          <w:rStyle w:val="sm"/>
          <w:color w:val="auto"/>
          <w:sz w:val="22"/>
          <w:szCs w:val="22"/>
        </w:rPr>
        <w:t>gnb</w:t>
      </w:r>
      <w:r w:rsidRPr="00B740B4">
        <w:t>).</w:t>
      </w:r>
    </w:p>
    <w:p w:rsidR="00AC6022" w:rsidRPr="00B740B4" w:rsidRDefault="00BA0348" w:rsidP="00AC6022">
      <w:r w:rsidRPr="00B740B4">
        <w:rPr>
          <w:rStyle w:val="fnnum"/>
          <w:color w:val="auto"/>
        </w:rPr>
        <w:t>6.a.</w:t>
      </w:r>
      <w:r w:rsidRPr="00B740B4">
        <w:t xml:space="preserve"> </w:t>
      </w:r>
      <w:r w:rsidR="00AC6022" w:rsidRPr="00B740B4">
        <w:t>Whereas in BH subject preceding verb is uncommon and usually implies an emphasi</w:t>
      </w:r>
      <w:r w:rsidR="008A2A1B">
        <w:t>s on the subject, in the BA of Daniel</w:t>
      </w:r>
      <w:r w:rsidR="00AC6022" w:rsidRPr="00B740B4">
        <w:t xml:space="preserve"> this word order appears in nearly a quarter of the clauses (see Buth; Cook; Folmer; Yakubovich [see </w:t>
      </w:r>
      <w:r w:rsidR="00AC6022" w:rsidRPr="0098643F">
        <w:rPr>
          <w:i/>
        </w:rPr>
        <w:t>General Bibliography</w:t>
      </w:r>
      <w:r w:rsidR="00AC6022" w:rsidRPr="00B740B4">
        <w:t>]). In part this difference may reflect the influence on Aramaic of languages such as Akkadian and Persian, which are more mixed in word order. But it is worth asking whether in particular cases the subject or object preceding the verb suggests some emphasis or focusing. And in this clause the extraposed positon of the subject makes the focalizing clear.</w:t>
      </w:r>
    </w:p>
    <w:p w:rsidR="00BA0348" w:rsidRPr="00B740B4" w:rsidRDefault="00AC6022" w:rsidP="00BA0348">
      <w:r w:rsidRPr="00B740B4">
        <w:t xml:space="preserve">6.b. </w:t>
      </w:r>
      <w:r w:rsidR="00BA0348" w:rsidRPr="00B740B4">
        <w:t xml:space="preserve">Literally, “changed [on] him: the suffix on </w:t>
      </w:r>
      <w:r w:rsidR="00BA0348" w:rsidRPr="00B740B4">
        <w:rPr>
          <w:rStyle w:val="heb"/>
          <w:rFonts w:ascii="Arial" w:hAnsi="Arial" w:cs="Arial"/>
          <w:color w:val="auto"/>
        </w:rPr>
        <w:t>שנוהי</w:t>
      </w:r>
      <w:r w:rsidR="00BA0348" w:rsidRPr="00B740B4">
        <w:t xml:space="preserve"> is an anomalous indirect object (BL 75d, </w:t>
      </w:r>
      <w:r w:rsidR="00BA0348" w:rsidRPr="00B740B4">
        <w:rPr>
          <w:rStyle w:val="i"/>
          <w:i w:val="0"/>
          <w:color w:val="auto"/>
          <w:szCs w:val="22"/>
        </w:rPr>
        <w:t>GKC</w:t>
      </w:r>
      <w:r w:rsidR="00BA0348" w:rsidRPr="00B740B4">
        <w:t xml:space="preserve"> 117x; and see Cohen, “Subject and Object,” 21); compare </w:t>
      </w:r>
      <w:r w:rsidRPr="00B740B4">
        <w:t xml:space="preserve">and contrast </w:t>
      </w:r>
      <w:r w:rsidR="00BA0348" w:rsidRPr="00B740B4">
        <w:rPr>
          <w:rStyle w:val="heb"/>
          <w:rFonts w:ascii="Arial" w:hAnsi="Arial" w:cs="Arial"/>
          <w:color w:val="auto"/>
        </w:rPr>
        <w:t>עלוהי</w:t>
      </w:r>
      <w:r w:rsidRPr="00B740B4">
        <w:t xml:space="preserve"> in v 9 and </w:t>
      </w:r>
      <w:r w:rsidR="00BA0348" w:rsidRPr="00B740B4">
        <w:t>see n. 9.a.</w:t>
      </w:r>
    </w:p>
    <w:p w:rsidR="00BA0348" w:rsidRPr="00B740B4" w:rsidRDefault="00BA0348" w:rsidP="00BA0348">
      <w:r w:rsidRPr="00B740B4">
        <w:rPr>
          <w:rStyle w:val="fnnum"/>
          <w:color w:val="auto"/>
        </w:rPr>
        <w:t>7.a.</w:t>
      </w:r>
      <w:r w:rsidRPr="00B740B4">
        <w:t xml:space="preserve"> 4QDan</w:t>
      </w:r>
      <w:r w:rsidRPr="00B740B4">
        <w:rPr>
          <w:rStyle w:val="sup"/>
          <w:color w:val="auto"/>
          <w:sz w:val="22"/>
          <w:szCs w:val="22"/>
        </w:rPr>
        <w:t>a</w:t>
      </w:r>
      <w:r w:rsidRPr="00B740B4">
        <w:t xml:space="preserve">, OG (Pace, </w:t>
      </w:r>
      <w:r w:rsidRPr="00B740B4">
        <w:rPr>
          <w:i/>
        </w:rPr>
        <w:t>The OG Text</w:t>
      </w:r>
      <w:r w:rsidRPr="00B740B4">
        <w:t>,</w:t>
      </w:r>
      <w:r w:rsidRPr="00B740B4">
        <w:rPr>
          <w:i/>
        </w:rPr>
        <w:t xml:space="preserve"> </w:t>
      </w:r>
      <w:r w:rsidRPr="00B740B4">
        <w:t xml:space="preserve">34) have an extra group, </w:t>
      </w:r>
      <w:r w:rsidRPr="00B740B4">
        <w:rPr>
          <w:rStyle w:val="heb"/>
          <w:rFonts w:ascii="Arial" w:hAnsi="Arial" w:cs="Arial"/>
          <w:color w:val="auto"/>
        </w:rPr>
        <w:t>חרטמיא</w:t>
      </w:r>
      <w:r w:rsidRPr="00B740B4">
        <w:t xml:space="preserve"> “diviners,” as in 2:10.</w:t>
      </w:r>
    </w:p>
    <w:p w:rsidR="00BA0348" w:rsidRPr="00B740B4" w:rsidRDefault="00BA0348" w:rsidP="00BA0348">
      <w:r w:rsidRPr="00B740B4">
        <w:rPr>
          <w:rStyle w:val="fnnum"/>
          <w:color w:val="auto"/>
        </w:rPr>
        <w:t>7.b.</w:t>
      </w:r>
      <w:r w:rsidRPr="00B740B4">
        <w:t xml:space="preserve"> </w:t>
      </w:r>
      <w:r w:rsidRPr="00B740B4">
        <w:rPr>
          <w:rStyle w:val="heb"/>
          <w:rFonts w:ascii="Arial" w:hAnsi="Arial" w:cs="Arial"/>
          <w:color w:val="auto"/>
        </w:rPr>
        <w:t>המונכא</w:t>
      </w:r>
      <w:r w:rsidRPr="00B740B4">
        <w:t xml:space="preserve"> (Q </w:t>
      </w:r>
      <w:r w:rsidRPr="00B740B4">
        <w:rPr>
          <w:rStyle w:val="heb"/>
          <w:rFonts w:ascii="Arial" w:hAnsi="Arial" w:cs="Arial"/>
          <w:color w:val="auto"/>
        </w:rPr>
        <w:t>המניכא</w:t>
      </w:r>
      <w:r w:rsidRPr="00B740B4">
        <w:t xml:space="preserve">), a Persian word perhaps denoting a collar on the garment rather than a chain; cf. the </w:t>
      </w:r>
      <w:r w:rsidRPr="00B740B4">
        <w:rPr>
          <w:rStyle w:val="heb"/>
          <w:rFonts w:ascii="Arial" w:hAnsi="Arial" w:cs="Arial"/>
          <w:color w:val="auto"/>
        </w:rPr>
        <w:t>רבד</w:t>
      </w:r>
      <w:r w:rsidRPr="00B740B4">
        <w:t xml:space="preserve"> of Gen 41:42 (and Gen 41:41–42 for this passage as a whole). Cf. Hittite </w:t>
      </w:r>
      <w:r w:rsidRPr="00B740B4">
        <w:rPr>
          <w:rStyle w:val="i"/>
          <w:color w:val="auto"/>
          <w:szCs w:val="22"/>
        </w:rPr>
        <w:t>mannin(n)i</w:t>
      </w:r>
      <w:r w:rsidRPr="00B740B4">
        <w:t xml:space="preserve"> (so Kronasser, “Heth. mannin(n)i- 'Halsschmuck'.”). But Gk. </w:t>
      </w:r>
      <w:r w:rsidRPr="00B740B4">
        <w:rPr>
          <w:rStyle w:val="grc"/>
          <w:color w:val="auto"/>
        </w:rPr>
        <w:t>μανιάκης</w:t>
      </w:r>
      <w:r w:rsidRPr="00B740B4">
        <w:t xml:space="preserve"> denotes a bracelet (cf. Belardi, </w:t>
      </w:r>
      <w:r w:rsidRPr="00B740B4">
        <w:rPr>
          <w:b/>
        </w:rPr>
        <w:t>“</w:t>
      </w:r>
      <w:r w:rsidRPr="00B740B4">
        <w:t>Greco μανιάκης”).</w:t>
      </w:r>
    </w:p>
    <w:p w:rsidR="00BA0348" w:rsidRPr="00B740B4" w:rsidRDefault="00BA0348" w:rsidP="00BA0348">
      <w:r w:rsidRPr="00B740B4">
        <w:rPr>
          <w:rStyle w:val="fnnum"/>
          <w:color w:val="auto"/>
        </w:rPr>
        <w:t>7.c.</w:t>
      </w:r>
      <w:r w:rsidRPr="00B740B4">
        <w:t xml:space="preserve"> </w:t>
      </w:r>
      <w:r w:rsidRPr="00B740B4">
        <w:rPr>
          <w:rStyle w:val="heb"/>
          <w:rFonts w:ascii="Arial" w:hAnsi="Arial" w:cs="Arial"/>
          <w:color w:val="auto"/>
        </w:rPr>
        <w:t>תלתי</w:t>
      </w:r>
      <w:r w:rsidRPr="00B740B4">
        <w:t xml:space="preserve"> has the word for “third” lying behind it; It might connect with the three overseers of 6:</w:t>
      </w:r>
      <w:r w:rsidR="008A2A1B">
        <w:t>2 [3</w:t>
      </w:r>
      <w:r w:rsidRPr="00B740B4">
        <w:t xml:space="preserve">] (cf. OG), or suggest that Daniel would be third in rank within the kingdom (after Nabonidus and Belshazzar? or after Belshazzar and the Queen? cf. EVV). But perhaps, like BH </w:t>
      </w:r>
      <w:r w:rsidRPr="00B740B4">
        <w:rPr>
          <w:rStyle w:val="heb"/>
          <w:rFonts w:ascii="Arial" w:hAnsi="Arial" w:cs="Arial"/>
          <w:color w:val="auto"/>
        </w:rPr>
        <w:t>שליש</w:t>
      </w:r>
      <w:r w:rsidRPr="00B740B4">
        <w:t>, it has lost its numerical meaning altogether.</w:t>
      </w:r>
      <w:r w:rsidR="008A2A1B">
        <w:t xml:space="preserve"> In form, it may combine Aram.</w:t>
      </w:r>
      <w:r w:rsidRPr="00B740B4">
        <w:t xml:space="preserve"> </w:t>
      </w:r>
      <w:r w:rsidRPr="00B740B4">
        <w:rPr>
          <w:rStyle w:val="heb"/>
          <w:rFonts w:ascii="Arial" w:hAnsi="Arial" w:cs="Arial"/>
          <w:color w:val="auto"/>
        </w:rPr>
        <w:t>תליתי</w:t>
      </w:r>
      <w:r w:rsidRPr="00B740B4">
        <w:t xml:space="preserve"> and the Akk.-influenced </w:t>
      </w:r>
      <w:r w:rsidRPr="00B740B4">
        <w:rPr>
          <w:rStyle w:val="heb"/>
          <w:rFonts w:ascii="Arial" w:hAnsi="Arial" w:cs="Arial"/>
          <w:color w:val="auto"/>
        </w:rPr>
        <w:t>תלתא</w:t>
      </w:r>
      <w:r w:rsidRPr="00B740B4">
        <w:t xml:space="preserve"> of vv 16, 29 (see </w:t>
      </w:r>
      <w:r w:rsidRPr="00B740B4">
        <w:rPr>
          <w:rStyle w:val="i"/>
          <w:color w:val="auto"/>
          <w:szCs w:val="22"/>
        </w:rPr>
        <w:t>GBA</w:t>
      </w:r>
      <w:r w:rsidRPr="00B740B4">
        <w:t xml:space="preserve"> 69, 71; Torrey, “Stray Notes on the Aramaic of Daniel and Ezra,” 232).</w:t>
      </w:r>
    </w:p>
    <w:p w:rsidR="00BA0348" w:rsidRPr="00B740B4" w:rsidRDefault="00BA0348" w:rsidP="00BA0348">
      <w:r w:rsidRPr="00B740B4">
        <w:rPr>
          <w:rStyle w:val="fnnum"/>
          <w:color w:val="auto"/>
        </w:rPr>
        <w:t>8.a-a.</w:t>
      </w:r>
      <w:r w:rsidRPr="00B740B4">
        <w:t xml:space="preserve"> The phrase is resumptive after v 7b, to lea</w:t>
      </w:r>
      <w:r w:rsidR="00CE7047" w:rsidRPr="00B740B4">
        <w:t>d into the statement of the expert</w:t>
      </w:r>
      <w:r w:rsidRPr="00B740B4">
        <w:t>s’ incomprehension; it is rather wooden to propose emendation because v 7b</w:t>
      </w:r>
      <w:r w:rsidR="00CE7047" w:rsidRPr="00B740B4">
        <w:t xml:space="preserve"> suggests the expert</w:t>
      </w:r>
      <w:r w:rsidRPr="00B740B4">
        <w:t xml:space="preserve">s are already in the hall (against </w:t>
      </w:r>
      <w:r w:rsidRPr="00300E7A">
        <w:rPr>
          <w:rStyle w:val="i"/>
          <w:i w:val="0"/>
          <w:color w:val="auto"/>
          <w:szCs w:val="22"/>
        </w:rPr>
        <w:t>BHS</w:t>
      </w:r>
      <w:r w:rsidRPr="00B740B4">
        <w:t>).</w:t>
      </w:r>
    </w:p>
    <w:p w:rsidR="00BA0348" w:rsidRPr="00B740B4" w:rsidRDefault="00BA0348" w:rsidP="00BA0348">
      <w:r w:rsidRPr="00B740B4">
        <w:rPr>
          <w:rStyle w:val="fnnum"/>
          <w:color w:val="auto"/>
        </w:rPr>
        <w:t>8.b.</w:t>
      </w:r>
      <w:r w:rsidRPr="00B740B4">
        <w:t xml:space="preserve"> </w:t>
      </w:r>
      <w:r w:rsidRPr="00B740B4">
        <w:rPr>
          <w:rStyle w:val="heb"/>
          <w:rFonts w:ascii="Arial" w:hAnsi="Arial" w:cs="Arial"/>
          <w:color w:val="auto"/>
        </w:rPr>
        <w:t>מלכא</w:t>
      </w:r>
      <w:r w:rsidRPr="00B740B4">
        <w:t xml:space="preserve"> is odd; some </w:t>
      </w:r>
      <w:r w:rsidR="0018520A">
        <w:t xml:space="preserve">medieval </w:t>
      </w:r>
      <w:r w:rsidRPr="00B740B4">
        <w:t xml:space="preserve">mss have the more usual </w:t>
      </w:r>
      <w:r w:rsidRPr="00B740B4">
        <w:rPr>
          <w:rStyle w:val="heb"/>
          <w:rFonts w:ascii="Arial" w:hAnsi="Arial" w:cs="Arial"/>
          <w:color w:val="auto"/>
        </w:rPr>
        <w:t>בבל</w:t>
      </w:r>
      <w:r w:rsidRPr="00B740B4">
        <w:t xml:space="preserve">, </w:t>
      </w:r>
      <w:r w:rsidR="00CE7047" w:rsidRPr="00B740B4">
        <w:t xml:space="preserve">while </w:t>
      </w:r>
      <w:r w:rsidRPr="00300E7A">
        <w:rPr>
          <w:rStyle w:val="i"/>
          <w:i w:val="0"/>
          <w:color w:val="auto"/>
          <w:szCs w:val="22"/>
        </w:rPr>
        <w:t>BHS</w:t>
      </w:r>
      <w:r w:rsidRPr="00B740B4">
        <w:t xml:space="preserve"> notes the proposal </w:t>
      </w:r>
      <w:r w:rsidRPr="00B740B4">
        <w:rPr>
          <w:rStyle w:val="heb"/>
          <w:rFonts w:ascii="Arial" w:hAnsi="Arial" w:cs="Arial"/>
          <w:color w:val="auto"/>
        </w:rPr>
        <w:t>מלכותא</w:t>
      </w:r>
      <w:r w:rsidRPr="00B740B4">
        <w:t>.</w:t>
      </w:r>
    </w:p>
    <w:p w:rsidR="00BA0348" w:rsidRPr="00B740B4" w:rsidRDefault="00BA0348" w:rsidP="00BA0348">
      <w:r w:rsidRPr="00B740B4">
        <w:rPr>
          <w:rStyle w:val="fnnum"/>
          <w:color w:val="auto"/>
        </w:rPr>
        <w:t>9.a.</w:t>
      </w:r>
      <w:r w:rsidRPr="00B740B4">
        <w:t xml:space="preserve"> </w:t>
      </w:r>
      <w:r w:rsidRPr="00B740B4">
        <w:rPr>
          <w:rStyle w:val="heb"/>
          <w:rFonts w:ascii="Arial" w:hAnsi="Arial" w:cs="Arial"/>
          <w:color w:val="auto"/>
        </w:rPr>
        <w:t>עלוהי</w:t>
      </w:r>
      <w:r w:rsidRPr="00B740B4">
        <w:t xml:space="preserve"> (literally, “upon him”)suggests the deepening of the king’s alarm.</w:t>
      </w:r>
    </w:p>
    <w:p w:rsidR="00A5649E" w:rsidRPr="00B740B4" w:rsidRDefault="00A5649E" w:rsidP="00A5649E">
      <w:r>
        <w:t>11.a</w:t>
      </w:r>
      <w:r w:rsidRPr="00B740B4">
        <w:t xml:space="preserve">. See </w:t>
      </w:r>
      <w:r w:rsidR="00300E7A">
        <w:t xml:space="preserve">n. </w:t>
      </w:r>
      <w:r>
        <w:t xml:space="preserve"> </w:t>
      </w:r>
      <w:r w:rsidRPr="00B740B4">
        <w:t>4.8</w:t>
      </w:r>
      <w:r>
        <w:t>.c</w:t>
      </w:r>
      <w:r w:rsidRPr="00B740B4">
        <w:t>; here Th has “spirit of God,” Sym, Vg have “spirit of holy gods,” OG conflates the two references to “spirit” in vv 11-12.</w:t>
      </w:r>
    </w:p>
    <w:p w:rsidR="00BA0348" w:rsidRPr="00B740B4" w:rsidRDefault="00A5649E" w:rsidP="00BA0348">
      <w:r>
        <w:rPr>
          <w:rStyle w:val="fnnum"/>
          <w:color w:val="auto"/>
        </w:rPr>
        <w:t>11.b</w:t>
      </w:r>
      <w:r w:rsidR="00BA0348" w:rsidRPr="00B740B4">
        <w:rPr>
          <w:rStyle w:val="fnnum"/>
          <w:color w:val="auto"/>
        </w:rPr>
        <w:t>.</w:t>
      </w:r>
      <w:r>
        <w:rPr>
          <w:rStyle w:val="heb"/>
          <w:rFonts w:ascii="Arial" w:hAnsi="Arial" w:cs="Arial"/>
          <w:color w:val="auto"/>
        </w:rPr>
        <w:t xml:space="preserve"> </w:t>
      </w:r>
      <w:r w:rsidR="00BA0348" w:rsidRPr="00B740B4">
        <w:rPr>
          <w:rStyle w:val="heb"/>
          <w:color w:val="auto"/>
        </w:rPr>
        <w:t xml:space="preserve"> </w:t>
      </w:r>
      <w:r w:rsidR="00BA0348" w:rsidRPr="00B740B4">
        <w:rPr>
          <w:rStyle w:val="heb"/>
          <w:rFonts w:ascii="Arial" w:hAnsi="Arial" w:cs="Arial"/>
          <w:color w:val="auto"/>
        </w:rPr>
        <w:t>ושכלתנו</w:t>
      </w:r>
      <w:r>
        <w:rPr>
          <w:rStyle w:val="heb"/>
          <w:rFonts w:ascii="Arial" w:hAnsi="Arial" w:cs="Arial"/>
          <w:color w:val="auto"/>
        </w:rPr>
        <w:t xml:space="preserve"> </w:t>
      </w:r>
      <w:r w:rsidRPr="00A5649E">
        <w:rPr>
          <w:rFonts w:ascii="Arial" w:hAnsi="Arial" w:cs="Arial"/>
        </w:rPr>
        <w:t>נהירו</w:t>
      </w:r>
      <w:r w:rsidR="00BA0348" w:rsidRPr="00B740B4">
        <w:t xml:space="preserve">, perhaps hendiadys, </w:t>
      </w:r>
      <w:r w:rsidR="00B15019">
        <w:t xml:space="preserve">“brilliant insight” (Hartman/Di </w:t>
      </w:r>
      <w:r w:rsidR="00BA0348" w:rsidRPr="00B740B4">
        <w:t>Lella).</w:t>
      </w:r>
    </w:p>
    <w:p w:rsidR="00BA0348" w:rsidRPr="00B740B4" w:rsidRDefault="00BA0348" w:rsidP="00BA0348">
      <w:r w:rsidRPr="00B740B4">
        <w:rPr>
          <w:rStyle w:val="fnnum"/>
          <w:color w:val="auto"/>
        </w:rPr>
        <w:t>11.c-c.</w:t>
      </w:r>
      <w:r w:rsidR="00A5649E">
        <w:t xml:space="preserve"> See on 2:2 and on 4:8</w:t>
      </w:r>
      <w:r w:rsidRPr="00B740B4">
        <w:t>.</w:t>
      </w:r>
      <w:r w:rsidR="00A5649E">
        <w:t xml:space="preserve"> </w:t>
      </w:r>
    </w:p>
    <w:p w:rsidR="00BA0348" w:rsidRPr="00B740B4" w:rsidRDefault="00BA0348" w:rsidP="00BA0348">
      <w:r w:rsidRPr="00B740B4">
        <w:rPr>
          <w:rStyle w:val="fnnum"/>
          <w:color w:val="auto"/>
        </w:rPr>
        <w:t>11.d.</w:t>
      </w:r>
      <w:r w:rsidRPr="00B740B4">
        <w:t xml:space="preserve"> </w:t>
      </w:r>
      <w:r w:rsidRPr="00B740B4">
        <w:rPr>
          <w:rStyle w:val="heb"/>
          <w:rFonts w:ascii="Arial" w:hAnsi="Arial" w:cs="Arial"/>
          <w:color w:val="auto"/>
        </w:rPr>
        <w:t>מלכא</w:t>
      </w:r>
      <w:r w:rsidRPr="00B740B4">
        <w:rPr>
          <w:rStyle w:val="heb"/>
          <w:color w:val="auto"/>
        </w:rPr>
        <w:t xml:space="preserve"> </w:t>
      </w:r>
      <w:r w:rsidR="0017649B" w:rsidRPr="0017649B">
        <w:rPr>
          <w:rFonts w:ascii="Arial" w:hAnsi="Arial" w:cs="Arial"/>
        </w:rPr>
        <w:t>ך</w:t>
      </w:r>
      <w:r w:rsidR="0017649B">
        <w:rPr>
          <w:rStyle w:val="heb"/>
          <w:color w:val="auto"/>
        </w:rPr>
        <w:t xml:space="preserve"> </w:t>
      </w:r>
      <w:r w:rsidRPr="00B740B4">
        <w:rPr>
          <w:rStyle w:val="heb"/>
          <w:rFonts w:ascii="Arial" w:hAnsi="Arial" w:cs="Arial"/>
          <w:color w:val="auto"/>
        </w:rPr>
        <w:t>אבו</w:t>
      </w:r>
      <w:r w:rsidRPr="00B740B4">
        <w:t xml:space="preserve">, perhaps a variant for </w:t>
      </w:r>
      <w:r w:rsidRPr="00B740B4">
        <w:rPr>
          <w:rStyle w:val="heb"/>
          <w:rFonts w:ascii="Arial" w:hAnsi="Arial" w:cs="Arial"/>
          <w:color w:val="auto"/>
        </w:rPr>
        <w:t>מלכא</w:t>
      </w:r>
      <w:r w:rsidRPr="00B740B4">
        <w:rPr>
          <w:rStyle w:val="heb"/>
          <w:color w:val="auto"/>
        </w:rPr>
        <w:t xml:space="preserve"> </w:t>
      </w:r>
      <w:r w:rsidRPr="00B740B4">
        <w:rPr>
          <w:rStyle w:val="heb"/>
          <w:rFonts w:ascii="Arial" w:hAnsi="Arial" w:cs="Arial"/>
          <w:color w:val="auto"/>
        </w:rPr>
        <w:t>נבכדנער</w:t>
      </w:r>
      <w:r w:rsidRPr="00B740B4">
        <w:rPr>
          <w:rStyle w:val="heb"/>
          <w:color w:val="auto"/>
        </w:rPr>
        <w:t xml:space="preserve"> </w:t>
      </w:r>
      <w:r w:rsidRPr="00B740B4">
        <w:rPr>
          <w:rStyle w:val="heb"/>
          <w:rFonts w:ascii="Arial" w:hAnsi="Arial" w:cs="Arial"/>
          <w:color w:val="auto"/>
        </w:rPr>
        <w:t>אבוך</w:t>
      </w:r>
      <w:r w:rsidRPr="00B740B4">
        <w:t xml:space="preserve"> “King Nebuchadnezz</w:t>
      </w:r>
      <w:r w:rsidR="0017649B">
        <w:t xml:space="preserve">ar, your father” (Ehrlich); Th, </w:t>
      </w:r>
      <w:r w:rsidRPr="00B740B4">
        <w:t>Syr</w:t>
      </w:r>
      <w:r w:rsidR="0017649B">
        <w:t xml:space="preserve"> </w:t>
      </w:r>
      <w:r w:rsidRPr="00B740B4">
        <w:t>lack it. But Belshazzar omits the reference to Nebuchadnezzar’s elevating Da</w:t>
      </w:r>
      <w:r w:rsidR="0017649B">
        <w:t>niel when he recapitulates the q</w:t>
      </w:r>
      <w:r w:rsidRPr="00B740B4">
        <w:t>ueen’s words (vv 13–16) (Plöger); perhaps the words are repeated for emphasis here.</w:t>
      </w:r>
    </w:p>
    <w:p w:rsidR="00BA0348" w:rsidRPr="00B740B4" w:rsidRDefault="00BA0348" w:rsidP="00BA0348">
      <w:r w:rsidRPr="00B740B4">
        <w:rPr>
          <w:rStyle w:val="fnnum"/>
          <w:color w:val="auto"/>
        </w:rPr>
        <w:t>12.a-a.</w:t>
      </w:r>
      <w:r w:rsidRPr="00B740B4">
        <w:t xml:space="preserve"> A parenthesis after the abs</w:t>
      </w:r>
      <w:r w:rsidR="00286FC4" w:rsidRPr="00B740B4">
        <w:t>olute</w:t>
      </w:r>
      <w:r w:rsidRPr="00B740B4">
        <w:t xml:space="preserve"> </w:t>
      </w:r>
      <w:r w:rsidRPr="00B740B4">
        <w:rPr>
          <w:rStyle w:val="heb"/>
          <w:rFonts w:ascii="Arial" w:hAnsi="Arial" w:cs="Arial"/>
          <w:color w:val="auto"/>
        </w:rPr>
        <w:t>שכלתנו</w:t>
      </w:r>
      <w:r w:rsidRPr="00B740B4">
        <w:t xml:space="preserve"> “ability.” </w:t>
      </w:r>
      <w:r w:rsidRPr="00B740B4">
        <w:rPr>
          <w:rStyle w:val="heb"/>
          <w:rFonts w:ascii="Arial" w:hAnsi="Arial" w:cs="Arial"/>
          <w:color w:val="auto"/>
        </w:rPr>
        <w:t>ר</w:t>
      </w:r>
      <w:r w:rsidR="00A5649E">
        <w:rPr>
          <w:rStyle w:val="heb"/>
          <w:rFonts w:ascii="Arial" w:hAnsi="Arial" w:cs="Arial"/>
          <w:color w:val="auto"/>
        </w:rPr>
        <w:t xml:space="preserve"> </w:t>
      </w:r>
      <w:r w:rsidR="00A5649E" w:rsidRPr="00A5649E">
        <w:rPr>
          <w:rFonts w:ascii="Arial" w:hAnsi="Arial" w:cs="Arial"/>
        </w:rPr>
        <w:t>ש</w:t>
      </w:r>
      <w:r w:rsidR="00A5649E">
        <w:rPr>
          <w:rStyle w:val="heb"/>
          <w:rFonts w:ascii="Arial" w:hAnsi="Arial" w:cs="Arial"/>
          <w:color w:val="auto"/>
        </w:rPr>
        <w:t xml:space="preserve"> </w:t>
      </w:r>
      <w:r w:rsidR="00A5649E" w:rsidRPr="00A5649E">
        <w:rPr>
          <w:rFonts w:ascii="Arial" w:hAnsi="Arial" w:cs="Arial"/>
        </w:rPr>
        <w:t>פ</w:t>
      </w:r>
      <w:r w:rsidR="00A5649E">
        <w:rPr>
          <w:rFonts w:ascii="Arial" w:hAnsi="Arial" w:cs="Arial"/>
        </w:rPr>
        <w:t xml:space="preserve"> </w:t>
      </w:r>
      <w:r w:rsidR="00A5649E" w:rsidRPr="00A5649E">
        <w:rPr>
          <w:rFonts w:ascii="Arial" w:hAnsi="Arial" w:cs="Arial"/>
        </w:rPr>
        <w:t>מ</w:t>
      </w:r>
      <w:r w:rsidRPr="00B740B4">
        <w:t xml:space="preserve"> “interpreting” and </w:t>
      </w:r>
      <w:r w:rsidRPr="00B740B4">
        <w:rPr>
          <w:rStyle w:val="heb"/>
          <w:rFonts w:ascii="Arial" w:hAnsi="Arial" w:cs="Arial"/>
          <w:color w:val="auto"/>
        </w:rPr>
        <w:t>משרא</w:t>
      </w:r>
      <w:r w:rsidRPr="00B740B4">
        <w:t xml:space="preserve"> “resolving” need to</w:t>
      </w:r>
      <w:r w:rsidR="00A5649E">
        <w:t xml:space="preserve"> be understood as verbal nouns, </w:t>
      </w:r>
      <w:r w:rsidRPr="00B740B4">
        <w:t xml:space="preserve">like </w:t>
      </w:r>
      <w:r w:rsidRPr="00B740B4">
        <w:rPr>
          <w:rStyle w:val="heb"/>
          <w:rFonts w:ascii="Arial" w:hAnsi="Arial" w:cs="Arial"/>
          <w:color w:val="auto"/>
        </w:rPr>
        <w:t>אחוית</w:t>
      </w:r>
      <w:r w:rsidR="00286FC4" w:rsidRPr="00B740B4">
        <w:t xml:space="preserve"> “explaining,” which</w:t>
      </w:r>
      <w:r w:rsidRPr="00B740B4">
        <w:t xml:space="preserve"> may not involve </w:t>
      </w:r>
      <w:r w:rsidR="00286FC4" w:rsidRPr="00B740B4">
        <w:t>emending them</w:t>
      </w:r>
      <w:r w:rsidRPr="00B740B4">
        <w:t xml:space="preserve"> if the participle</w:t>
      </w:r>
      <w:r w:rsidR="00286FC4" w:rsidRPr="00B740B4">
        <w:t xml:space="preserve"> can denote the action as such,</w:t>
      </w:r>
      <w:r w:rsidRPr="00B740B4">
        <w:t xml:space="preserve"> without focusing on an agent: so Emerton, “The Participles in Daniel </w:t>
      </w:r>
      <w:r w:rsidR="00AF422C">
        <w:t>v</w:t>
      </w:r>
      <w:r w:rsidRPr="00B740B4">
        <w:t xml:space="preserve"> 12,” noting that Syr, Th do not support emendation. NEB’s </w:t>
      </w:r>
      <w:r w:rsidRPr="00B740B4">
        <w:lastRenderedPageBreak/>
        <w:t xml:space="preserve">“unbinding spells” </w:t>
      </w:r>
      <w:r w:rsidR="00286FC4" w:rsidRPr="00B740B4">
        <w:t>f</w:t>
      </w:r>
      <w:r w:rsidRPr="00B740B4">
        <w:t xml:space="preserve">or </w:t>
      </w:r>
      <w:r w:rsidRPr="00B740B4">
        <w:rPr>
          <w:rStyle w:val="heb"/>
          <w:rFonts w:ascii="Arial" w:hAnsi="Arial" w:cs="Arial"/>
          <w:color w:val="auto"/>
        </w:rPr>
        <w:t>קטרין</w:t>
      </w:r>
      <w:r w:rsidRPr="00B740B4">
        <w:t xml:space="preserve"> </w:t>
      </w:r>
      <w:r w:rsidRPr="00B740B4">
        <w:rPr>
          <w:rFonts w:ascii="Arial" w:hAnsi="Arial" w:cs="Arial"/>
        </w:rPr>
        <w:t>משרא</w:t>
      </w:r>
      <w:r w:rsidRPr="00B740B4">
        <w:t xml:space="preserve"> fits the Babylonian context, but it is not clear that the phrase would have been understood thus, and the literary context (v 16) implies</w:t>
      </w:r>
      <w:r w:rsidR="00286FC4" w:rsidRPr="00B740B4">
        <w:t xml:space="preserve"> that </w:t>
      </w:r>
      <w:r w:rsidRPr="00B740B4">
        <w:t>the ability referred to here</w:t>
      </w:r>
      <w:r w:rsidR="00286FC4" w:rsidRPr="00B740B4">
        <w:t xml:space="preserve"> relates to interpretive activity</w:t>
      </w:r>
      <w:r w:rsidRPr="00B740B4">
        <w:t xml:space="preserve">. The </w:t>
      </w:r>
      <w:r w:rsidR="00EF7791" w:rsidRPr="00B740B4">
        <w:t xml:space="preserve">expression </w:t>
      </w:r>
      <w:r w:rsidRPr="00B740B4">
        <w:t xml:space="preserve">recurs from </w:t>
      </w:r>
      <w:r w:rsidR="00AF422C">
        <w:t>v</w:t>
      </w:r>
      <w:r w:rsidRPr="00B740B4">
        <w:t xml:space="preserve"> 6 where it referred to muscles going loose.</w:t>
      </w:r>
    </w:p>
    <w:p w:rsidR="00BA0348" w:rsidRPr="00B740B4" w:rsidRDefault="00BA0348" w:rsidP="00BA0348">
      <w:r w:rsidRPr="00B740B4">
        <w:rPr>
          <w:rStyle w:val="fnnum"/>
          <w:color w:val="auto"/>
        </w:rPr>
        <w:t>14.a.</w:t>
      </w:r>
      <w:r w:rsidRPr="00B740B4">
        <w:t xml:space="preserve"> </w:t>
      </w:r>
      <w:r w:rsidR="007A6378" w:rsidRPr="00B740B4">
        <w:t>Vg has “spirit of gods,” Th “spirit of God.” Some medieval mss and Syr also have</w:t>
      </w:r>
      <w:r w:rsidRPr="00B740B4">
        <w:t xml:space="preserve"> </w:t>
      </w:r>
      <w:r w:rsidRPr="00B740B4">
        <w:rPr>
          <w:rStyle w:val="heb"/>
          <w:rFonts w:ascii="Arial" w:hAnsi="Arial" w:cs="Arial"/>
          <w:color w:val="auto"/>
        </w:rPr>
        <w:t>קדשין</w:t>
      </w:r>
      <w:r w:rsidR="00551C4C" w:rsidRPr="00B740B4">
        <w:t xml:space="preserve"> “holy,” as in v 11</w:t>
      </w:r>
      <w:r w:rsidRPr="00B740B4">
        <w:t>. But such variation where phrases recur is common in Dan</w:t>
      </w:r>
      <w:r w:rsidR="00AA0B9E">
        <w:t>iel</w:t>
      </w:r>
      <w:r w:rsidRPr="00B740B4">
        <w:t>. Keil thinks the omission is significant on the lips of Belshazzar.</w:t>
      </w:r>
    </w:p>
    <w:p w:rsidR="00BA0348" w:rsidRPr="00B740B4" w:rsidRDefault="00BA0348" w:rsidP="00BA0348">
      <w:r w:rsidRPr="00B740B4">
        <w:rPr>
          <w:rStyle w:val="fnnum"/>
          <w:color w:val="auto"/>
        </w:rPr>
        <w:t>16.a.</w:t>
      </w:r>
      <w:r w:rsidRPr="00B740B4">
        <w:t xml:space="preserve"> </w:t>
      </w:r>
      <w:r w:rsidRPr="00B740B4">
        <w:rPr>
          <w:rStyle w:val="heb"/>
          <w:rFonts w:ascii="Arial" w:hAnsi="Arial" w:cs="Arial"/>
          <w:color w:val="auto"/>
        </w:rPr>
        <w:t>אנה</w:t>
      </w:r>
      <w:r w:rsidRPr="00B740B4">
        <w:t xml:space="preserve"> is emphatic (contrasting with v 14, after v 15).</w:t>
      </w:r>
    </w:p>
    <w:p w:rsidR="00BA0348" w:rsidRPr="00B740B4" w:rsidRDefault="00BA0348" w:rsidP="00BA0348">
      <w:r w:rsidRPr="00B740B4">
        <w:rPr>
          <w:rStyle w:val="fnnum"/>
          <w:color w:val="auto"/>
        </w:rPr>
        <w:t>17.a.</w:t>
      </w:r>
      <w:r w:rsidRPr="00B740B4">
        <w:t xml:space="preserve"> </w:t>
      </w:r>
      <w:r w:rsidRPr="00B740B4">
        <w:rPr>
          <w:rStyle w:val="heb"/>
          <w:rFonts w:ascii="Arial" w:hAnsi="Arial" w:cs="Arial"/>
          <w:color w:val="auto"/>
        </w:rPr>
        <w:t>נבזביתך</w:t>
      </w:r>
      <w:r w:rsidRPr="00B740B4">
        <w:t>: the form is odd (</w:t>
      </w:r>
      <w:r w:rsidRPr="00B740B4">
        <w:rPr>
          <w:rStyle w:val="i"/>
          <w:color w:val="auto"/>
          <w:szCs w:val="22"/>
        </w:rPr>
        <w:t>GBA</w:t>
      </w:r>
      <w:r w:rsidRPr="00B740B4">
        <w:t xml:space="preserve"> 62) and may be a corruption of </w:t>
      </w:r>
      <w:r w:rsidRPr="00B740B4">
        <w:rPr>
          <w:rStyle w:val="heb"/>
          <w:rFonts w:ascii="Arial" w:hAnsi="Arial" w:cs="Arial"/>
          <w:color w:val="auto"/>
        </w:rPr>
        <w:t>ביתך</w:t>
      </w:r>
      <w:r w:rsidRPr="00B740B4">
        <w:t xml:space="preserve">  </w:t>
      </w:r>
      <w:r w:rsidRPr="00B740B4">
        <w:rPr>
          <w:rFonts w:ascii="Arial" w:hAnsi="Arial" w:cs="Arial"/>
        </w:rPr>
        <w:t>נבזבת</w:t>
      </w:r>
      <w:r w:rsidR="00AA0B9E">
        <w:t xml:space="preserve"> “the gift of your house</w:t>
      </w:r>
      <w:r w:rsidRPr="00B740B4">
        <w:t>”</w:t>
      </w:r>
      <w:r w:rsidR="00AA0B9E">
        <w:t>;</w:t>
      </w:r>
      <w:r w:rsidRPr="00B740B4">
        <w:t xml:space="preserve"> cf. Th, Syr (Kallarakkal, 84–85).</w:t>
      </w:r>
    </w:p>
    <w:p w:rsidR="00BA0348" w:rsidRPr="00B740B4" w:rsidRDefault="00BA0348" w:rsidP="00BA0348">
      <w:r w:rsidRPr="00B740B4">
        <w:rPr>
          <w:rStyle w:val="fnnum"/>
          <w:color w:val="auto"/>
        </w:rPr>
        <w:t>18.a.</w:t>
      </w:r>
      <w:r w:rsidRPr="00B740B4">
        <w:t xml:space="preserve"> </w:t>
      </w:r>
      <w:r w:rsidRPr="00B740B4">
        <w:rPr>
          <w:rStyle w:val="heb"/>
          <w:rFonts w:ascii="Arial" w:hAnsi="Arial" w:cs="Arial"/>
          <w:color w:val="auto"/>
        </w:rPr>
        <w:t>מלכא</w:t>
      </w:r>
      <w:r w:rsidRPr="00B740B4">
        <w:t xml:space="preserve"> </w:t>
      </w:r>
      <w:r w:rsidRPr="00B740B4">
        <w:rPr>
          <w:rFonts w:ascii="Arial" w:hAnsi="Arial" w:cs="Arial"/>
        </w:rPr>
        <w:t>אנתה</w:t>
      </w:r>
      <w:r w:rsidRPr="00B740B4">
        <w:t>: the hanging nominative makes clear that what follows relates to him (Zoeckler).</w:t>
      </w:r>
    </w:p>
    <w:p w:rsidR="00BA0348" w:rsidRPr="00B740B4" w:rsidRDefault="00BA0348" w:rsidP="00BA0348">
      <w:r w:rsidRPr="00B740B4">
        <w:rPr>
          <w:rStyle w:val="fnnum"/>
          <w:color w:val="auto"/>
        </w:rPr>
        <w:t>18.</w:t>
      </w:r>
      <w:r w:rsidRPr="00B740B4">
        <w:rPr>
          <w:rStyle w:val="fnnum"/>
          <w:rFonts w:asciiTheme="minorHAnsi" w:hAnsiTheme="minorHAnsi"/>
          <w:color w:val="auto"/>
        </w:rPr>
        <w:t>b-b</w:t>
      </w:r>
      <w:r w:rsidRPr="00B740B4">
        <w:rPr>
          <w:rStyle w:val="fnnum"/>
          <w:color w:val="auto"/>
        </w:rPr>
        <w:t>.</w:t>
      </w:r>
      <w:r w:rsidRPr="00B740B4">
        <w:t xml:space="preserve"> Taking </w:t>
      </w:r>
      <w:r w:rsidRPr="00B740B4">
        <w:rPr>
          <w:rStyle w:val="heb"/>
          <w:rFonts w:ascii="Arial" w:hAnsi="Arial" w:cs="Arial"/>
          <w:color w:val="auto"/>
        </w:rPr>
        <w:t>והדרה</w:t>
      </w:r>
      <w:r w:rsidRPr="00B740B4">
        <w:t xml:space="preserve"> </w:t>
      </w:r>
      <w:r w:rsidRPr="00B740B4">
        <w:rPr>
          <w:rFonts w:ascii="Arial" w:hAnsi="Arial" w:cs="Arial"/>
        </w:rPr>
        <w:t>ויקרא</w:t>
      </w:r>
      <w:r w:rsidRPr="00B740B4">
        <w:t xml:space="preserve"> </w:t>
      </w:r>
      <w:r w:rsidRPr="00B740B4">
        <w:rPr>
          <w:rFonts w:ascii="Arial" w:hAnsi="Arial" w:cs="Arial"/>
        </w:rPr>
        <w:t>ורבותא</w:t>
      </w:r>
      <w:r w:rsidRPr="00B740B4">
        <w:t xml:space="preserve"> </w:t>
      </w:r>
      <w:r w:rsidRPr="00B740B4">
        <w:rPr>
          <w:rFonts w:ascii="Arial" w:hAnsi="Arial" w:cs="Arial"/>
        </w:rPr>
        <w:t>מלכותא</w:t>
      </w:r>
      <w:r w:rsidRPr="00B740B4">
        <w:t xml:space="preserve"> “kingship, greatness, honor, and splendor” as a double hendiadys (Hartman/Di Lella).</w:t>
      </w:r>
    </w:p>
    <w:p w:rsidR="00BA0348" w:rsidRPr="00B740B4" w:rsidRDefault="00BA0348" w:rsidP="00BA0348">
      <w:r w:rsidRPr="00B740B4">
        <w:rPr>
          <w:rStyle w:val="fnnum"/>
          <w:color w:val="auto"/>
        </w:rPr>
        <w:t>21.a.</w:t>
      </w:r>
      <w:r w:rsidRPr="00B740B4">
        <w:t xml:space="preserve"> K </w:t>
      </w:r>
      <w:r w:rsidRPr="00B740B4">
        <w:rPr>
          <w:rStyle w:val="heb"/>
          <w:rFonts w:ascii="Arial" w:hAnsi="Arial" w:cs="Arial"/>
          <w:color w:val="auto"/>
        </w:rPr>
        <w:t>שוי</w:t>
      </w:r>
      <w:r w:rsidRPr="00B740B4">
        <w:t xml:space="preserve"> is peil; Q and some </w:t>
      </w:r>
      <w:r w:rsidR="0018520A" w:rsidRPr="0018520A">
        <w:t xml:space="preserve">medieval </w:t>
      </w:r>
      <w:r w:rsidRPr="00B740B4">
        <w:t xml:space="preserve">mss have </w:t>
      </w:r>
      <w:r w:rsidRPr="00B740B4">
        <w:rPr>
          <w:rStyle w:val="heb"/>
          <w:rFonts w:ascii="Arial" w:hAnsi="Arial" w:cs="Arial"/>
          <w:color w:val="auto"/>
        </w:rPr>
        <w:t>שויו</w:t>
      </w:r>
      <w:r w:rsidRPr="00B740B4">
        <w:t xml:space="preserve"> pael (3 pl. impersonal).</w:t>
      </w:r>
    </w:p>
    <w:p w:rsidR="00BA0348" w:rsidRPr="00B740B4" w:rsidRDefault="00BA0348" w:rsidP="00BA0348">
      <w:r w:rsidRPr="00B740B4">
        <w:rPr>
          <w:rStyle w:val="fnnum"/>
          <w:color w:val="auto"/>
        </w:rPr>
        <w:t>21.b.</w:t>
      </w:r>
      <w:r w:rsidRPr="00B740B4">
        <w:t xml:space="preserve"> </w:t>
      </w:r>
      <w:r w:rsidRPr="00B740B4">
        <w:rPr>
          <w:rStyle w:val="heb"/>
          <w:rFonts w:ascii="Arial" w:hAnsi="Arial" w:cs="Arial"/>
          <w:color w:val="auto"/>
        </w:rPr>
        <w:t>ערדיא</w:t>
      </w:r>
      <w:r w:rsidRPr="00B740B4">
        <w:t xml:space="preserve">; a few </w:t>
      </w:r>
      <w:r w:rsidR="0018520A" w:rsidRPr="0018520A">
        <w:t xml:space="preserve">medieval </w:t>
      </w:r>
      <w:r w:rsidRPr="00B740B4">
        <w:t xml:space="preserve">mss read </w:t>
      </w:r>
      <w:r w:rsidRPr="00B740B4">
        <w:rPr>
          <w:rStyle w:val="heb"/>
          <w:rFonts w:ascii="Arial" w:hAnsi="Arial" w:cs="Arial"/>
          <w:color w:val="auto"/>
        </w:rPr>
        <w:t>עדריא</w:t>
      </w:r>
      <w:r w:rsidRPr="00B740B4">
        <w:t xml:space="preserve"> “flocks/herds,” perhaps to harmonize with what follows, “eating plants like an ox.”</w:t>
      </w:r>
    </w:p>
    <w:p w:rsidR="00BA0348" w:rsidRPr="00B740B4" w:rsidRDefault="00BA0348" w:rsidP="00BA0348">
      <w:r w:rsidRPr="00B740B4">
        <w:rPr>
          <w:rStyle w:val="fnnum"/>
          <w:color w:val="auto"/>
        </w:rPr>
        <w:t>22.a.</w:t>
      </w:r>
      <w:r w:rsidRPr="00B740B4">
        <w:t xml:space="preserve"> </w:t>
      </w:r>
      <w:r w:rsidRPr="00B740B4">
        <w:rPr>
          <w:rStyle w:val="sm"/>
          <w:rFonts w:asciiTheme="minorHAnsi" w:hAnsiTheme="minorHAnsi"/>
          <w:color w:val="auto"/>
          <w:sz w:val="22"/>
          <w:szCs w:val="22"/>
        </w:rPr>
        <w:t>NIV</w:t>
      </w:r>
      <w:r w:rsidRPr="00B740B4">
        <w:t>mg “descendant” or “successor” are possible renderings of</w:t>
      </w:r>
      <w:r w:rsidR="00551C4C" w:rsidRPr="00B740B4">
        <w:t xml:space="preserve"> </w:t>
      </w:r>
      <w:r w:rsidR="00551C4C" w:rsidRPr="00B740B4">
        <w:rPr>
          <w:rFonts w:ascii="Arial" w:hAnsi="Arial" w:cs="Arial"/>
        </w:rPr>
        <w:t>ר</w:t>
      </w:r>
      <w:r w:rsidR="00AA0B9E">
        <w:rPr>
          <w:rFonts w:ascii="Arial" w:hAnsi="Arial" w:cs="Arial"/>
        </w:rPr>
        <w:t xml:space="preserve"> </w:t>
      </w:r>
      <w:r w:rsidR="00551C4C" w:rsidRPr="00B740B4">
        <w:rPr>
          <w:rFonts w:ascii="Arial" w:hAnsi="Arial" w:cs="Arial"/>
        </w:rPr>
        <w:t>ב</w:t>
      </w:r>
      <w:r w:rsidRPr="00B740B4">
        <w:t xml:space="preserve">; see </w:t>
      </w:r>
      <w:r w:rsidRPr="00B740B4">
        <w:rPr>
          <w:i/>
        </w:rPr>
        <w:t xml:space="preserve">Comment </w:t>
      </w:r>
      <w:r w:rsidRPr="00B740B4">
        <w:t>on v 2.</w:t>
      </w:r>
    </w:p>
    <w:p w:rsidR="00BA0348" w:rsidRPr="00B740B4" w:rsidRDefault="00BA0348" w:rsidP="00BA0348">
      <w:r w:rsidRPr="00B740B4">
        <w:rPr>
          <w:rStyle w:val="fnnum"/>
          <w:color w:val="auto"/>
        </w:rPr>
        <w:t>22.b.</w:t>
      </w:r>
      <w:r w:rsidRPr="00B740B4">
        <w:t xml:space="preserve"> </w:t>
      </w:r>
      <w:r w:rsidR="00551C4C" w:rsidRPr="00B740B4">
        <w:t xml:space="preserve">“Although” (EVV) </w:t>
      </w:r>
      <w:r w:rsidRPr="00B740B4">
        <w:t xml:space="preserve">For </w:t>
      </w:r>
      <w:r w:rsidRPr="00B740B4">
        <w:rPr>
          <w:rFonts w:ascii="Arial" w:hAnsi="Arial" w:cs="Arial"/>
        </w:rPr>
        <w:t>יד</w:t>
      </w:r>
      <w:r w:rsidRPr="00B740B4">
        <w:t xml:space="preserve"> </w:t>
      </w:r>
      <w:r w:rsidRPr="00B740B4">
        <w:rPr>
          <w:rStyle w:val="heb"/>
          <w:rFonts w:ascii="Arial" w:hAnsi="Arial" w:cs="Arial"/>
          <w:color w:val="auto"/>
        </w:rPr>
        <w:t>ל</w:t>
      </w:r>
      <w:r w:rsidRPr="00B740B4">
        <w:rPr>
          <w:rFonts w:ascii="Arial" w:hAnsi="Arial" w:cs="Arial"/>
        </w:rPr>
        <w:t>קב</w:t>
      </w:r>
      <w:r w:rsidRPr="00B740B4">
        <w:t xml:space="preserve"> </w:t>
      </w:r>
      <w:r w:rsidRPr="00B740B4">
        <w:rPr>
          <w:rFonts w:ascii="Arial" w:hAnsi="Arial" w:cs="Arial"/>
        </w:rPr>
        <w:t>כל</w:t>
      </w:r>
      <w:r w:rsidR="00AA0B9E">
        <w:t xml:space="preserve"> is hard to parallel</w:t>
      </w:r>
      <w:r w:rsidRPr="00B740B4">
        <w:t>; the usual “because” is quite possible if the clause is linked with the verb rather than with the negative (Keil).</w:t>
      </w:r>
    </w:p>
    <w:p w:rsidR="00BA0348" w:rsidRPr="00B740B4" w:rsidRDefault="00BA0348" w:rsidP="00BA0348">
      <w:r w:rsidRPr="00B740B4">
        <w:rPr>
          <w:rStyle w:val="fnnum"/>
          <w:color w:val="auto"/>
        </w:rPr>
        <w:t>23.a-a.</w:t>
      </w:r>
      <w:r w:rsidRPr="00B740B4">
        <w:t xml:space="preserve"> Th, Syr reverse these words to the more usual order.</w:t>
      </w:r>
    </w:p>
    <w:p w:rsidR="00BA0348" w:rsidRPr="00B740B4" w:rsidRDefault="00BA0348" w:rsidP="00BA0348">
      <w:r w:rsidRPr="00B740B4">
        <w:rPr>
          <w:rStyle w:val="fnnum"/>
          <w:color w:val="auto"/>
        </w:rPr>
        <w:t>23.b-b.</w:t>
      </w:r>
      <w:r w:rsidRPr="00B740B4">
        <w:t xml:space="preserve"> Linking </w:t>
      </w:r>
      <w:r w:rsidRPr="00B740B4">
        <w:rPr>
          <w:rStyle w:val="heb"/>
          <w:rFonts w:ascii="Arial" w:hAnsi="Arial" w:cs="Arial"/>
          <w:color w:val="auto"/>
        </w:rPr>
        <w:t>לה</w:t>
      </w:r>
      <w:r w:rsidRPr="00B740B4">
        <w:t xml:space="preserve"> with what follows rather than with what precedes, with Th (cf. </w:t>
      </w:r>
      <w:r w:rsidRPr="00B740B4">
        <w:rPr>
          <w:rStyle w:val="i"/>
          <w:i w:val="0"/>
          <w:color w:val="auto"/>
          <w:szCs w:val="22"/>
        </w:rPr>
        <w:t>BHS</w:t>
      </w:r>
      <w:r w:rsidRPr="00B740B4">
        <w:t xml:space="preserve">) against MT accents (cf. </w:t>
      </w:r>
      <w:r w:rsidRPr="00B740B4">
        <w:rPr>
          <w:rStyle w:val="sm"/>
          <w:color w:val="auto"/>
          <w:sz w:val="22"/>
          <w:szCs w:val="22"/>
        </w:rPr>
        <w:t>rv</w:t>
      </w:r>
      <w:r w:rsidRPr="00B740B4">
        <w:t>).</w:t>
      </w:r>
    </w:p>
    <w:p w:rsidR="00BA0348" w:rsidRPr="00B740B4" w:rsidRDefault="00BA0348" w:rsidP="00BA0348">
      <w:r w:rsidRPr="00B740B4">
        <w:rPr>
          <w:rStyle w:val="fnnum"/>
          <w:color w:val="auto"/>
        </w:rPr>
        <w:t>25.a-a.</w:t>
      </w:r>
      <w:r w:rsidRPr="00B740B4">
        <w:t xml:space="preserve"> </w:t>
      </w:r>
      <w:r w:rsidRPr="00B740B4">
        <w:rPr>
          <w:rStyle w:val="heb"/>
          <w:rFonts w:ascii="Arial" w:hAnsi="Arial" w:cs="Arial"/>
          <w:color w:val="auto"/>
        </w:rPr>
        <w:t>מנא</w:t>
      </w:r>
      <w:r w:rsidRPr="00B740B4">
        <w:rPr>
          <w:rStyle w:val="heb"/>
          <w:color w:val="auto"/>
        </w:rPr>
        <w:t xml:space="preserve"> </w:t>
      </w:r>
      <w:r w:rsidRPr="00B740B4">
        <w:rPr>
          <w:rStyle w:val="heb"/>
          <w:rFonts w:ascii="Arial" w:hAnsi="Arial" w:cs="Arial"/>
          <w:color w:val="auto"/>
        </w:rPr>
        <w:t>מנא</w:t>
      </w:r>
      <w:r w:rsidRPr="00B740B4">
        <w:t xml:space="preserve">. The lack of one </w:t>
      </w:r>
      <w:r w:rsidRPr="00B740B4">
        <w:rPr>
          <w:rStyle w:val="heb"/>
          <w:rFonts w:ascii="Arial" w:hAnsi="Arial" w:cs="Arial"/>
          <w:color w:val="auto"/>
        </w:rPr>
        <w:t>מנא</w:t>
      </w:r>
      <w:r w:rsidRPr="00B740B4">
        <w:t xml:space="preserve"> in G (OG in its introduction to chap. 5; Josephus, </w:t>
      </w:r>
      <w:r w:rsidR="00E86B1D" w:rsidRPr="00B740B4">
        <w:rPr>
          <w:rStyle w:val="i"/>
          <w:color w:val="auto"/>
          <w:szCs w:val="22"/>
        </w:rPr>
        <w:t>Antiquities</w:t>
      </w:r>
      <w:r w:rsidRPr="00B740B4">
        <w:t xml:space="preserve"> 10.11.3 [10.243–44], does not quote the inscription itself) more likely reflects haplog./assimilation of the inscription to the three</w:t>
      </w:r>
      <w:r w:rsidR="00A74543">
        <w:t>fold interpretation than dittog.</w:t>
      </w:r>
      <w:r w:rsidRPr="00B740B4">
        <w:t xml:space="preserve"> in MT On differences between omen text and interpretation, see n. 2:34.b. Cf. rather Syr’s suggestion of a play on words, </w:t>
      </w:r>
      <w:r w:rsidR="00AA0B9E">
        <w:rPr>
          <w:rStyle w:val="theb-i"/>
          <w:color w:val="auto"/>
        </w:rPr>
        <w:t>menê menâ</w:t>
      </w:r>
      <w:r w:rsidR="00551C4C" w:rsidRPr="00B740B4">
        <w:t xml:space="preserve"> (so</w:t>
      </w:r>
      <w:r w:rsidRPr="00B740B4">
        <w:t xml:space="preserve"> Montgomery). The first </w:t>
      </w:r>
      <w:r w:rsidRPr="00B740B4">
        <w:rPr>
          <w:rStyle w:val="heb"/>
          <w:rFonts w:ascii="Arial" w:hAnsi="Arial" w:cs="Arial"/>
          <w:color w:val="auto"/>
        </w:rPr>
        <w:t>מנא</w:t>
      </w:r>
      <w:r w:rsidRPr="00B740B4">
        <w:t xml:space="preserve"> is </w:t>
      </w:r>
      <w:r w:rsidR="00551C4C" w:rsidRPr="00B740B4">
        <w:t>then pass participle</w:t>
      </w:r>
      <w:r w:rsidRPr="00B740B4">
        <w:t>, the second a noun (Prince); with this use of the ver</w:t>
      </w:r>
      <w:r w:rsidR="001F7140" w:rsidRPr="00B740B4">
        <w:t>b, cf. 2 Kgs 12:10</w:t>
      </w:r>
      <w:r w:rsidR="00551C4C" w:rsidRPr="00B740B4">
        <w:t xml:space="preserve"> [1</w:t>
      </w:r>
      <w:r w:rsidR="001F7140" w:rsidRPr="00B740B4">
        <w:t>1</w:t>
      </w:r>
      <w:r w:rsidRPr="00B740B4">
        <w:t>] (Eissfeldt, “Die Menetekel-Inschrift,” 109).</w:t>
      </w:r>
    </w:p>
    <w:p w:rsidR="00BA0348" w:rsidRPr="00B740B4" w:rsidRDefault="00BA0348" w:rsidP="00BA0348">
      <w:r w:rsidRPr="00B740B4">
        <w:rPr>
          <w:rStyle w:val="fnnum"/>
          <w:color w:val="auto"/>
        </w:rPr>
        <w:t>25.b.</w:t>
      </w:r>
      <w:r w:rsidRPr="00B740B4">
        <w:t xml:space="preserve"> </w:t>
      </w:r>
      <w:r w:rsidRPr="00B740B4">
        <w:rPr>
          <w:rStyle w:val="heb"/>
          <w:rFonts w:ascii="Arial" w:hAnsi="Arial" w:cs="Arial"/>
          <w:color w:val="auto"/>
        </w:rPr>
        <w:t>תקל</w:t>
      </w:r>
      <w:r w:rsidRPr="00B740B4">
        <w:t>. A homonym means “fall” (</w:t>
      </w:r>
      <w:r w:rsidRPr="00B740B4">
        <w:rPr>
          <w:rStyle w:val="i"/>
          <w:color w:val="auto"/>
          <w:szCs w:val="22"/>
        </w:rPr>
        <w:t>DTT</w:t>
      </w:r>
      <w:r w:rsidRPr="00B740B4">
        <w:t>), an appropriate idea in the context (König, “Mené, mené, teḳél upharsin,” 956). Zimmermann (“The Writing on the Wall”) translates “the Persian trap is set” on the basis of the related noun.</w:t>
      </w:r>
    </w:p>
    <w:p w:rsidR="00BA0348" w:rsidRPr="00B740B4" w:rsidRDefault="00BA0348" w:rsidP="00BA0348">
      <w:r w:rsidRPr="00B740B4">
        <w:rPr>
          <w:rStyle w:val="fnnum"/>
          <w:color w:val="auto"/>
        </w:rPr>
        <w:t>25.c.</w:t>
      </w:r>
      <w:r w:rsidRPr="00B740B4">
        <w:t xml:space="preserve"> Again, s. </w:t>
      </w:r>
      <w:r w:rsidRPr="00B740B4">
        <w:rPr>
          <w:rStyle w:val="heb"/>
          <w:rFonts w:ascii="Arial" w:hAnsi="Arial" w:cs="Arial"/>
          <w:color w:val="auto"/>
        </w:rPr>
        <w:t>פרס</w:t>
      </w:r>
      <w:r w:rsidRPr="00B740B4">
        <w:t xml:space="preserve"> implied by G (Josephus, </w:t>
      </w:r>
      <w:r w:rsidRPr="00B740B4">
        <w:rPr>
          <w:rStyle w:val="i"/>
          <w:color w:val="auto"/>
          <w:szCs w:val="22"/>
        </w:rPr>
        <w:t>Ant</w:t>
      </w:r>
      <w:r w:rsidR="00E86B1D" w:rsidRPr="00B740B4">
        <w:rPr>
          <w:rStyle w:val="i"/>
          <w:color w:val="auto"/>
          <w:szCs w:val="22"/>
        </w:rPr>
        <w:t>iquities</w:t>
      </w:r>
      <w:r w:rsidR="001F7140" w:rsidRPr="00B740B4">
        <w:t xml:space="preserve"> 10.11.3 [10.243–44],</w:t>
      </w:r>
      <w:r w:rsidRPr="00B740B4">
        <w:t xml:space="preserve"> is once more hardly relevant) more likely reflects assimilation to the interpretation (v 28) than MT expansion, since the pl. occurs only in v 25. I have taken </w:t>
      </w:r>
      <w:r w:rsidRPr="00B740B4">
        <w:rPr>
          <w:rStyle w:val="heb"/>
          <w:rFonts w:ascii="Arial" w:hAnsi="Arial" w:cs="Arial"/>
          <w:color w:val="auto"/>
        </w:rPr>
        <w:t>פרסין</w:t>
      </w:r>
      <w:r w:rsidRPr="00B740B4">
        <w:t xml:space="preserve"> as dual in meaning (cf. </w:t>
      </w:r>
      <w:r w:rsidRPr="00B740B4">
        <w:rPr>
          <w:rStyle w:val="heb"/>
          <w:rFonts w:ascii="Arial" w:hAnsi="Arial" w:cs="Arial"/>
          <w:color w:val="auto"/>
        </w:rPr>
        <w:t>עדנין</w:t>
      </w:r>
      <w:r w:rsidRPr="00B740B4">
        <w:t xml:space="preserve">, 7:25; and see </w:t>
      </w:r>
      <w:r w:rsidRPr="00B740B4">
        <w:rPr>
          <w:i/>
        </w:rPr>
        <w:t>Comment</w:t>
      </w:r>
      <w:r w:rsidRPr="00B740B4">
        <w:t xml:space="preserve"> on </w:t>
      </w:r>
      <w:r w:rsidR="00AF422C">
        <w:t>v</w:t>
      </w:r>
      <w:r w:rsidR="001F7140" w:rsidRPr="00B740B4">
        <w:t xml:space="preserve"> 31</w:t>
      </w:r>
      <w:r w:rsidRPr="00B740B4">
        <w:t>, but it could indicate “some halves” (Nöldeke, “Mene tekel upharsin,” 415–16).</w:t>
      </w:r>
    </w:p>
    <w:p w:rsidR="00BA0348" w:rsidRPr="00B740B4" w:rsidRDefault="00BA0348" w:rsidP="00BA0348">
      <w:r w:rsidRPr="00B740B4">
        <w:rPr>
          <w:rStyle w:val="fnnum"/>
          <w:color w:val="auto"/>
        </w:rPr>
        <w:t>26.a.</w:t>
      </w:r>
      <w:r w:rsidRPr="00B740B4">
        <w:t xml:space="preserve"> EVV have “brought to an end”; but </w:t>
      </w:r>
      <w:r w:rsidRPr="00B740B4">
        <w:rPr>
          <w:rStyle w:val="heb"/>
          <w:rFonts w:ascii="Arial" w:hAnsi="Arial" w:cs="Arial"/>
          <w:color w:val="auto"/>
        </w:rPr>
        <w:t>שלם</w:t>
      </w:r>
      <w:r w:rsidRPr="00B740B4">
        <w:t xml:space="preserve"> haphel suggests rather God’s original entrusting of the kingship to Belshazzar (Ezra 7:19; </w:t>
      </w:r>
      <w:r w:rsidRPr="00B740B4">
        <w:rPr>
          <w:rStyle w:val="i"/>
          <w:color w:val="auto"/>
          <w:szCs w:val="22"/>
        </w:rPr>
        <w:t>DTT</w:t>
      </w:r>
      <w:r w:rsidRPr="00B740B4">
        <w:t>), which gives a better sequence and more dramatic effect.</w:t>
      </w:r>
    </w:p>
    <w:p w:rsidR="00BA0348" w:rsidRPr="00B740B4" w:rsidRDefault="00BA0348" w:rsidP="00BA0348">
      <w:r w:rsidRPr="00B740B4">
        <w:rPr>
          <w:rStyle w:val="fnnum"/>
          <w:color w:val="auto"/>
        </w:rPr>
        <w:t>29.a.</w:t>
      </w:r>
      <w:r w:rsidRPr="00B740B4">
        <w:t xml:space="preserve"> See BL 106e.</w:t>
      </w:r>
    </w:p>
    <w:p w:rsidR="00BA0348" w:rsidRPr="00B740B4" w:rsidRDefault="00BA0348" w:rsidP="00BA0348">
      <w:r w:rsidRPr="00B740B4">
        <w:rPr>
          <w:rStyle w:val="fnnum"/>
          <w:color w:val="auto"/>
        </w:rPr>
        <w:t>30.a.</w:t>
      </w:r>
      <w:r w:rsidRPr="00B740B4">
        <w:t xml:space="preserve"> At the point of his death, the anomalous spelling </w:t>
      </w:r>
      <w:r w:rsidRPr="00B740B4">
        <w:rPr>
          <w:rStyle w:val="heb"/>
          <w:rFonts w:ascii="Arial" w:hAnsi="Arial" w:cs="Arial"/>
          <w:color w:val="auto"/>
        </w:rPr>
        <w:t>בלאשער</w:t>
      </w:r>
      <w:r w:rsidRPr="00B740B4">
        <w:t xml:space="preserve"> might suggest “Bel [in] the fire of an adversary” (Poole on 7:1).</w:t>
      </w:r>
    </w:p>
    <w:p w:rsidR="00BA0348" w:rsidRPr="00B740B4" w:rsidRDefault="00BA0348" w:rsidP="00BA0348">
      <w:r w:rsidRPr="00B740B4">
        <w:rPr>
          <w:rStyle w:val="fnnum"/>
          <w:color w:val="auto"/>
        </w:rPr>
        <w:t>31.a.</w:t>
      </w:r>
      <w:r w:rsidRPr="00B740B4">
        <w:t xml:space="preserve"> </w:t>
      </w:r>
      <w:r w:rsidRPr="00B740B4">
        <w:rPr>
          <w:rStyle w:val="heb"/>
          <w:rFonts w:ascii="Arial" w:hAnsi="Arial" w:cs="Arial"/>
          <w:color w:val="auto"/>
        </w:rPr>
        <w:t>קבל</w:t>
      </w:r>
      <w:r w:rsidRPr="00B740B4">
        <w:t xml:space="preserve"> need </w:t>
      </w:r>
      <w:r w:rsidR="00AA0B9E">
        <w:t xml:space="preserve">not imply “took [by force],” </w:t>
      </w:r>
      <w:r w:rsidRPr="00B740B4">
        <w:t>though “grab” was apparently a favorite v</w:t>
      </w:r>
      <w:r w:rsidR="001F7140" w:rsidRPr="00B740B4">
        <w:t>er</w:t>
      </w:r>
      <w:r w:rsidRPr="00B740B4">
        <w:t xml:space="preserve">b of Darius I [Cook, </w:t>
      </w:r>
      <w:r w:rsidRPr="00B740B4">
        <w:rPr>
          <w:rStyle w:val="i"/>
          <w:color w:val="auto"/>
          <w:szCs w:val="22"/>
        </w:rPr>
        <w:t>Persian Empire</w:t>
      </w:r>
      <w:r w:rsidRPr="00B740B4">
        <w:t>, 66])</w:t>
      </w:r>
      <w:r w:rsidR="00AA0B9E">
        <w:t>. N</w:t>
      </w:r>
      <w:r w:rsidRPr="00B740B4">
        <w:t xml:space="preserve">or </w:t>
      </w:r>
      <w:r w:rsidR="00AA0B9E">
        <w:t xml:space="preserve">need it imply </w:t>
      </w:r>
      <w:r w:rsidRPr="00B740B4">
        <w:t>“received [from God or Cyrus]”: it may simply indicate that he succeeded Belshazzar (Young).</w:t>
      </w:r>
    </w:p>
    <w:p w:rsidR="00BA0348" w:rsidRPr="00B740B4" w:rsidRDefault="00BA0348" w:rsidP="00BA0348">
      <w:r w:rsidRPr="00B740B4">
        <w:rPr>
          <w:rStyle w:val="fnnum"/>
          <w:color w:val="auto"/>
        </w:rPr>
        <w:t>31.b.</w:t>
      </w:r>
      <w:r w:rsidRPr="00B740B4">
        <w:t xml:space="preserve"> </w:t>
      </w:r>
      <w:r w:rsidRPr="00B740B4">
        <w:rPr>
          <w:rStyle w:val="heb"/>
          <w:rFonts w:ascii="Arial" w:hAnsi="Arial" w:cs="Arial"/>
          <w:color w:val="auto"/>
        </w:rPr>
        <w:t>כ</w:t>
      </w:r>
      <w:r w:rsidRPr="00B740B4">
        <w:rPr>
          <w:rStyle w:val="heb"/>
          <w:color w:val="auto"/>
        </w:rPr>
        <w:t>‍</w:t>
      </w:r>
      <w:r w:rsidRPr="00B740B4">
        <w:t xml:space="preserve"> denoting time at which; EVV “about” is unnecessary (</w:t>
      </w:r>
      <w:r w:rsidRPr="00B740B4">
        <w:rPr>
          <w:rStyle w:val="i"/>
          <w:color w:val="auto"/>
          <w:szCs w:val="22"/>
        </w:rPr>
        <w:t>GBA</w:t>
      </w:r>
      <w:r w:rsidRPr="00B740B4">
        <w:t xml:space="preserve"> 78; </w:t>
      </w:r>
      <w:r w:rsidRPr="00B740B4">
        <w:rPr>
          <w:rStyle w:val="i"/>
          <w:i w:val="0"/>
          <w:color w:val="auto"/>
          <w:szCs w:val="22"/>
        </w:rPr>
        <w:t>GKC</w:t>
      </w:r>
      <w:r w:rsidRPr="00B740B4">
        <w:t xml:space="preserve"> 118s-x).</w:t>
      </w:r>
    </w:p>
    <w:p w:rsidR="00E13251" w:rsidRPr="00B740B4" w:rsidRDefault="00E13251" w:rsidP="009479B1">
      <w:pPr>
        <w:pStyle w:val="Heading2"/>
      </w:pPr>
      <w:r w:rsidRPr="00B740B4">
        <w:lastRenderedPageBreak/>
        <w:t>Form/Structure/Setting</w:t>
      </w:r>
    </w:p>
    <w:p w:rsidR="00E13251" w:rsidRPr="00B740B4" w:rsidRDefault="00E13251" w:rsidP="00CF045A">
      <w:pPr>
        <w:pStyle w:val="Heading3"/>
      </w:pPr>
      <w:r w:rsidRPr="00B740B4">
        <w:t>Form</w:t>
      </w:r>
    </w:p>
    <w:p w:rsidR="006318BC" w:rsidRPr="00B740B4" w:rsidRDefault="006318BC" w:rsidP="00661970"/>
    <w:p w:rsidR="00E13251" w:rsidRPr="00B740B4" w:rsidRDefault="006318BC" w:rsidP="00661970">
      <w:r w:rsidRPr="00B740B4">
        <w:t xml:space="preserve">Elements of court </w:t>
      </w:r>
      <w:r w:rsidR="00E13251" w:rsidRPr="00B740B4">
        <w:t>contest tale, legend, and midrash again interweave</w:t>
      </w:r>
      <w:r w:rsidRPr="00B740B4">
        <w:t xml:space="preserve"> (see chap. 1 </w:t>
      </w:r>
      <w:r w:rsidRPr="00B740B4">
        <w:rPr>
          <w:i/>
        </w:rPr>
        <w:t>Form</w:t>
      </w:r>
      <w:r w:rsidRPr="00B740B4">
        <w:t>)</w:t>
      </w:r>
      <w:r w:rsidR="00E13251" w:rsidRPr="00B740B4">
        <w:t>. The sto</w:t>
      </w:r>
      <w:r w:rsidR="007248A3" w:rsidRPr="00B740B4">
        <w:t>ry’s background is a palace banquet</w:t>
      </w:r>
      <w:r w:rsidR="00E13251" w:rsidRPr="00B740B4">
        <w:t>; it con</w:t>
      </w:r>
      <w:r w:rsidRPr="00B740B4">
        <w:t>cerns king, queen, and members of the administration</w:t>
      </w:r>
      <w:r w:rsidR="00E13251" w:rsidRPr="00B740B4">
        <w:t xml:space="preserve">. Once more a king receives an alarming omen, of evidently portentous significance and requiring interpretation. His </w:t>
      </w:r>
      <w:r w:rsidRPr="00B740B4">
        <w:t>expert</w:t>
      </w:r>
      <w:r w:rsidR="00E13251" w:rsidRPr="00B740B4">
        <w:t>s are impotent, but finally the hero (now an old, forgotten adviser</w:t>
      </w:r>
      <w:r w:rsidR="007248A3" w:rsidRPr="00B740B4">
        <w:t>?</w:t>
      </w:r>
      <w:r w:rsidR="00E13251" w:rsidRPr="00B740B4">
        <w:t>) arrives, interprets the omen, and is rewarded. The queen’s reassurances and t</w:t>
      </w:r>
      <w:r w:rsidR="00753C08">
        <w:t>he king’s response to the message</w:t>
      </w:r>
      <w:r w:rsidR="00E13251" w:rsidRPr="00B740B4">
        <w:t xml:space="preserve"> (vv 10, 29), both out of keepi</w:t>
      </w:r>
      <w:r w:rsidRPr="00B740B4">
        <w:t xml:space="preserve">ng with its contents, are court </w:t>
      </w:r>
      <w:r w:rsidR="00E13251" w:rsidRPr="00B740B4">
        <w:t>contest tale motifs. The writing on the wall has</w:t>
      </w:r>
      <w:r w:rsidRPr="00B740B4">
        <w:t xml:space="preserve"> been seen as a </w:t>
      </w:r>
      <w:r w:rsidR="00594626" w:rsidRPr="00B740B4">
        <w:t>folk</w:t>
      </w:r>
      <w:r w:rsidRPr="00B740B4">
        <w:t>tale motif,</w:t>
      </w:r>
      <w:r w:rsidRPr="00B740B4">
        <w:rPr>
          <w:rStyle w:val="FootnoteReference"/>
        </w:rPr>
        <w:footnoteReference w:id="808"/>
      </w:r>
      <w:r w:rsidRPr="00B740B4">
        <w:t xml:space="preserve"> </w:t>
      </w:r>
      <w:r w:rsidR="00E13251" w:rsidRPr="00B740B4">
        <w:t>though there are no very close independent parallels.</w:t>
      </w:r>
      <w:r w:rsidRPr="00B740B4">
        <w:rPr>
          <w:rStyle w:val="FootnoteReference"/>
        </w:rPr>
        <w:footnoteReference w:id="809"/>
      </w:r>
    </w:p>
    <w:p w:rsidR="00153DB8" w:rsidRPr="00B740B4" w:rsidRDefault="00E13251" w:rsidP="00661970">
      <w:r w:rsidRPr="00B740B4">
        <w:t xml:space="preserve">As in chaps. 1–4, the </w:t>
      </w:r>
      <w:r w:rsidR="00594626" w:rsidRPr="00B740B4">
        <w:t xml:space="preserve">court </w:t>
      </w:r>
      <w:r w:rsidRPr="00B740B4">
        <w:t>tale is utilized in a religious setting; the story becomes a prophetic legend. The omen is provoked by an act of idolatrous sacrilege in a context of Bacch</w:t>
      </w:r>
      <w:r w:rsidR="00594626" w:rsidRPr="00B740B4">
        <w:t xml:space="preserve">analian excess. The omen is </w:t>
      </w:r>
      <w:r w:rsidRPr="00B740B4">
        <w:t xml:space="preserve">manifestly </w:t>
      </w:r>
      <w:r w:rsidR="00594626" w:rsidRPr="00B740B4">
        <w:t xml:space="preserve">of </w:t>
      </w:r>
      <w:r w:rsidRPr="00B740B4">
        <w:t xml:space="preserve">supernatural origin and </w:t>
      </w:r>
      <w:r w:rsidR="00594626" w:rsidRPr="00B740B4">
        <w:t xml:space="preserve">it </w:t>
      </w:r>
      <w:r w:rsidRPr="00B740B4">
        <w:t>elicits the response appropriate to an announcement of div</w:t>
      </w:r>
      <w:r w:rsidR="00594626" w:rsidRPr="00B740B4">
        <w:t>ine judgment. The story’s Judahite</w:t>
      </w:r>
      <w:r w:rsidRPr="00B740B4">
        <w:t xml:space="preserve"> hero is able to interpret it because the spirit of holy deity is in him. The story closes with the confirming of his word by events that take place that very night; in contrast to chaps. 2 and 4, there is no acknowledgment of God by the hearer. The opening rebuke regarding the hearer’s wrong at</w:t>
      </w:r>
      <w:r w:rsidR="00153DB8" w:rsidRPr="00B740B4">
        <w:t xml:space="preserve">titude to the prophet (v 17) </w:t>
      </w:r>
      <w:r w:rsidRPr="00B740B4">
        <w:t>is also at home in s</w:t>
      </w:r>
      <w:r w:rsidR="00807B92">
        <w:t>uch stories. Although t</w:t>
      </w:r>
      <w:r w:rsidR="00153DB8" w:rsidRPr="00B740B4">
        <w:t xml:space="preserve">he message </w:t>
      </w:r>
      <w:r w:rsidRPr="00B740B4">
        <w:t>includes no “messenger for</w:t>
      </w:r>
      <w:r w:rsidR="00807B92">
        <w:t xml:space="preserve">mula” (“thus says Yahweh”), </w:t>
      </w:r>
      <w:r w:rsidRPr="00B740B4">
        <w:t xml:space="preserve">its form otherwise recalls </w:t>
      </w:r>
      <w:r w:rsidR="00512A20" w:rsidRPr="00B740B4">
        <w:t>the indictments of the prophets.</w:t>
      </w:r>
      <w:r w:rsidR="00512A20" w:rsidRPr="00B740B4">
        <w:rPr>
          <w:rStyle w:val="FootnoteReference"/>
        </w:rPr>
        <w:footnoteReference w:id="810"/>
      </w:r>
      <w:r w:rsidR="00512A20" w:rsidRPr="00B740B4">
        <w:t xml:space="preserve"> </w:t>
      </w:r>
      <w:r w:rsidRPr="00B740B4">
        <w:t xml:space="preserve">It especially resembles ones </w:t>
      </w:r>
      <w:r w:rsidR="00807B92">
        <w:t xml:space="preserve">in </w:t>
      </w:r>
      <w:r w:rsidRPr="00B740B4">
        <w:t>1 Sam 2:27–36; 15:17–26; 2 Sam</w:t>
      </w:r>
      <w:r w:rsidR="00512A20" w:rsidRPr="00B740B4">
        <w:t xml:space="preserve"> 12:7–12); like these examples,</w:t>
      </w:r>
      <w:r w:rsidR="00153DB8" w:rsidRPr="00B740B4">
        <w:t xml:space="preserve"> </w:t>
      </w:r>
      <w:r w:rsidR="00512A20" w:rsidRPr="00B740B4">
        <w:t>it will  constitute</w:t>
      </w:r>
      <w:r w:rsidRPr="00B740B4">
        <w:t xml:space="preserve"> the narrator’s idea as to what an appropriate prophetic word </w:t>
      </w:r>
      <w:r w:rsidR="00512A20" w:rsidRPr="00B740B4">
        <w:t>in this context would have been.</w:t>
      </w:r>
      <w:r w:rsidR="00512A20" w:rsidRPr="00B740B4">
        <w:rPr>
          <w:rStyle w:val="FootnoteReference"/>
        </w:rPr>
        <w:footnoteReference w:id="811"/>
      </w:r>
      <w:r w:rsidRPr="00B740B4">
        <w:t xml:space="preserve"> It is literary prophecy. </w:t>
      </w:r>
    </w:p>
    <w:p w:rsidR="00E13251" w:rsidRPr="00B740B4" w:rsidRDefault="00E13251" w:rsidP="00661970">
      <w:r w:rsidRPr="00B740B4">
        <w:t>After the repud</w:t>
      </w:r>
      <w:r w:rsidR="00AF7660" w:rsidRPr="00B740B4">
        <w:t>iation of the offered reward, the message</w:t>
      </w:r>
      <w:r w:rsidRPr="00B740B4">
        <w:t xml:space="preserve"> includes a developed reminder of the history behind the present situation (vv 18–21), which provides the background and grounds for a reproof (vv 22–23). There follows an introduction to the announcement of judgment (vv 24–25a, 26a), then the announcement itself (25b, 26b–28). The last is fairly brief; the heart of the message lies in the preceding indictment (vv 18–23), in the background to the omen rather than in the omen itself.</w:t>
      </w:r>
      <w:r w:rsidR="00AF7660" w:rsidRPr="00B740B4">
        <w:rPr>
          <w:rStyle w:val="FootnoteReference"/>
        </w:rPr>
        <w:footnoteReference w:id="812"/>
      </w:r>
      <w:r w:rsidR="00153DB8" w:rsidRPr="00B740B4">
        <w:t xml:space="preserve"> The interpretation of the omen</w:t>
      </w:r>
      <w:r w:rsidRPr="00B740B4">
        <w:t xml:space="preserve"> utilizes paronomasia, in the manner of a prophet (Jer 1:11–12; Amos 8:1–2) (see </w:t>
      </w:r>
      <w:r w:rsidRPr="00B740B4">
        <w:rPr>
          <w:rStyle w:val="i"/>
          <w:color w:val="auto"/>
        </w:rPr>
        <w:t>Structure</w:t>
      </w:r>
      <w:r w:rsidRPr="00B740B4">
        <w:t>), though it follows the pesher form, stating and interpreting the omen element by element. The utilization of the pe</w:t>
      </w:r>
      <w:r w:rsidR="00AF7660" w:rsidRPr="00B740B4">
        <w:t xml:space="preserve">sher form compares with chap. </w:t>
      </w:r>
      <w:r w:rsidRPr="00B740B4">
        <w:t xml:space="preserve">2; in contrast, the importance of the </w:t>
      </w:r>
      <w:r w:rsidR="00153DB8" w:rsidRPr="00B740B4">
        <w:t xml:space="preserve">Jonah-like </w:t>
      </w:r>
      <w:r w:rsidRPr="00B740B4">
        <w:t>“prophetic” indictment of the ki</w:t>
      </w:r>
      <w:r w:rsidR="00005CDB" w:rsidRPr="00B740B4">
        <w:t>ng</w:t>
      </w:r>
      <w:r w:rsidR="00153DB8" w:rsidRPr="00B740B4">
        <w:rPr>
          <w:vertAlign w:val="superscript"/>
        </w:rPr>
        <w:footnoteReference w:id="813"/>
      </w:r>
      <w:r w:rsidR="00005CDB" w:rsidRPr="00B740B4">
        <w:t xml:space="preserve"> distinguishes chaps. 4 and 5</w:t>
      </w:r>
      <w:r w:rsidRPr="00B740B4">
        <w:t xml:space="preserve"> with their focus on events in the kings’ own day</w:t>
      </w:r>
      <w:r w:rsidR="00AF7660" w:rsidRPr="00B740B4">
        <w:t xml:space="preserve"> </w:t>
      </w:r>
      <w:r w:rsidR="00005CDB" w:rsidRPr="00B740B4">
        <w:t>from chap. 2</w:t>
      </w:r>
      <w:r w:rsidRPr="00B740B4">
        <w:t xml:space="preserve"> </w:t>
      </w:r>
      <w:r w:rsidR="00005CDB" w:rsidRPr="00B740B4">
        <w:t>with its message relating</w:t>
      </w:r>
      <w:r w:rsidR="00BC1B1E">
        <w:t xml:space="preserve"> directly</w:t>
      </w:r>
      <w:r w:rsidRPr="00B740B4">
        <w:t xml:space="preserve"> to the readers’ </w:t>
      </w:r>
      <w:r w:rsidR="00BC1B1E">
        <w:t>time</w:t>
      </w:r>
      <w:r w:rsidR="00005CDB" w:rsidRPr="00B740B4">
        <w:t>. Chap.</w:t>
      </w:r>
      <w:r w:rsidRPr="00B740B4">
        <w:t xml:space="preserve"> 5 </w:t>
      </w:r>
      <w:r w:rsidR="00005CDB" w:rsidRPr="00B740B4">
        <w:t>does resemble chap. 2</w:t>
      </w:r>
      <w:r w:rsidRPr="00B740B4">
        <w:t xml:space="preserve"> in containing no overt invitation to repentance on the </w:t>
      </w:r>
      <w:r w:rsidR="00153DB8" w:rsidRPr="00B740B4">
        <w:t>king’s part</w:t>
      </w:r>
      <w:r w:rsidRPr="00B740B4">
        <w:t>.</w:t>
      </w:r>
    </w:p>
    <w:p w:rsidR="00E13251" w:rsidRPr="00B740B4" w:rsidRDefault="00E13251" w:rsidP="00661970">
      <w:r w:rsidRPr="00B740B4">
        <w:t>Th</w:t>
      </w:r>
      <w:r w:rsidR="00005CDB" w:rsidRPr="00B740B4">
        <w:t>e story has one or two midrashic or intertextual</w:t>
      </w:r>
      <w:r w:rsidRPr="00B740B4">
        <w:t xml:space="preserve"> aspects. The attack on idolatry, the scorning of the </w:t>
      </w:r>
      <w:r w:rsidR="00081BE6" w:rsidRPr="00B740B4">
        <w:t>expert</w:t>
      </w:r>
      <w:r w:rsidRPr="00B740B4">
        <w:t>s, and the contrasting portrayal of a God able to declare his intentions and fulfill them, recalls Isa 41:21–29; 44:6–28; 46:1–7, with their focus on the fall of Babylon (</w:t>
      </w:r>
      <w:r w:rsidR="00005CDB" w:rsidRPr="00B740B4">
        <w:t>also Job 34:16–30; 36:5–14; and</w:t>
      </w:r>
      <w:r w:rsidRPr="00B740B4">
        <w:t xml:space="preserve"> further the idol</w:t>
      </w:r>
      <w:r w:rsidR="00005CDB" w:rsidRPr="00B740B4">
        <w:t xml:space="preserve"> </w:t>
      </w:r>
      <w:r w:rsidRPr="00B740B4">
        <w:t>polemic of Deut 4:28; Ps 115; 135:15–18).</w:t>
      </w:r>
      <w:r w:rsidR="00005CDB" w:rsidRPr="00B740B4">
        <w:rPr>
          <w:rStyle w:val="FootnoteReference"/>
        </w:rPr>
        <w:footnoteReference w:id="814"/>
      </w:r>
      <w:r w:rsidRPr="00B740B4">
        <w:t xml:space="preserve"> Belshazzar’s distraught response to the omen, and the fall of his dynasty to a Median king on a night of revelry, recall other prophecies of </w:t>
      </w:r>
      <w:r w:rsidRPr="00B740B4">
        <w:lastRenderedPageBreak/>
        <w:t xml:space="preserve">Babylon’s fall (Isa 21:1–10; also 13:17–19; 14:3–23; Jer 51, especially v 57). </w:t>
      </w:r>
      <w:r w:rsidR="00153DB8" w:rsidRPr="00B740B4">
        <w:t>Indeed, t</w:t>
      </w:r>
      <w:r w:rsidR="004F2BBC" w:rsidRPr="00B740B4">
        <w:t xml:space="preserve">he story has been called </w:t>
      </w:r>
      <w:r w:rsidR="00153DB8" w:rsidRPr="00B740B4">
        <w:t>a “narrativization” of Isa 21; i</w:t>
      </w:r>
      <w:r w:rsidR="00BC1B1E">
        <w:t>t has turned that</w:t>
      </w:r>
      <w:r w:rsidR="004F2BBC" w:rsidRPr="00B740B4">
        <w:t xml:space="preserve"> prophecy into a story.</w:t>
      </w:r>
      <w:r w:rsidR="004F2BBC" w:rsidRPr="00B740B4">
        <w:rPr>
          <w:rStyle w:val="FootnoteReference"/>
        </w:rPr>
        <w:footnoteReference w:id="815"/>
      </w:r>
      <w:r w:rsidR="004F2BBC" w:rsidRPr="00B740B4">
        <w:t xml:space="preserve"> </w:t>
      </w:r>
      <w:r w:rsidRPr="00B740B4">
        <w:t>The attack on idolatry resembles 4QPrNab, too, where Nabonidus acknowledges his mistaken worship of</w:t>
      </w:r>
      <w:r w:rsidR="00DD2555">
        <w:t xml:space="preserve"> gods of silver and gold, bronze and iron, wood, stone and clay.</w:t>
      </w:r>
      <w:r w:rsidRPr="00B740B4">
        <w:t xml:space="preserve"> The story utilizes ultimately historical traditions about Belshazzar and his regency in Babylon and about the Persian conquest(s) of Babylon, and reflects the local color of Babylonian palace life, including folk tradition about the Queen Mother (cf. Herodotus</w:t>
      </w:r>
      <w:r w:rsidR="00B24F98">
        <w:t xml:space="preserve">, </w:t>
      </w:r>
      <w:r w:rsidR="00B24F98">
        <w:rPr>
          <w:i/>
        </w:rPr>
        <w:t>Histories</w:t>
      </w:r>
      <w:r w:rsidRPr="00B740B4">
        <w:t xml:space="preserve"> 1.185–87). The omen</w:t>
      </w:r>
      <w:r w:rsidR="00D15586" w:rsidRPr="00B740B4">
        <w:t xml:space="preserve"> itself might</w:t>
      </w:r>
      <w:r w:rsidR="00005CDB" w:rsidRPr="00B740B4">
        <w:t xml:space="preserve"> be a secular riddle.</w:t>
      </w:r>
      <w:r w:rsidR="00005CDB" w:rsidRPr="00B740B4">
        <w:rPr>
          <w:rStyle w:val="FootnoteReference"/>
        </w:rPr>
        <w:footnoteReference w:id="816"/>
      </w:r>
    </w:p>
    <w:p w:rsidR="00E13251" w:rsidRPr="00B740B4" w:rsidRDefault="00BC1B1E" w:rsidP="00661970">
      <w:r>
        <w:t xml:space="preserve">The narrative as a narrative </w:t>
      </w:r>
      <w:r w:rsidR="00E13251" w:rsidRPr="00B740B4">
        <w:t>reveals little of the distinctive personalities</w:t>
      </w:r>
      <w:r w:rsidR="00D15586" w:rsidRPr="00B740B4">
        <w:t xml:space="preserve"> of the characters</w:t>
      </w:r>
      <w:r w:rsidR="00E13251" w:rsidRPr="00B740B4">
        <w:t xml:space="preserve">; </w:t>
      </w:r>
      <w:r w:rsidR="00D15586" w:rsidRPr="00B740B4">
        <w:t>it mostly</w:t>
      </w:r>
      <w:r w:rsidR="00E13251" w:rsidRPr="00B740B4">
        <w:t xml:space="preserve"> concerns Belshazzar, yet from </w:t>
      </w:r>
      <w:r w:rsidR="00D15586" w:rsidRPr="00B740B4">
        <w:t>it we learn little of the man</w:t>
      </w:r>
      <w:r w:rsidR="00E13251" w:rsidRPr="00B740B4">
        <w:t xml:space="preserve"> himself as an individual. He fulfills a role, acting and being acted on, but </w:t>
      </w:r>
      <w:r w:rsidR="00D15586" w:rsidRPr="00B740B4">
        <w:t xml:space="preserve">he is </w:t>
      </w:r>
      <w:r w:rsidR="00E13251" w:rsidRPr="00B740B4">
        <w:t>in himself a cipher. Even the anxious fear attributed to him is a motif characteristic of such stories. His personal reaction to Daniel’s message is unrecorded because it is irrelevant. In the case of the queen, too, we learn only what relates to the dramatic function she fulfills in commending Daniel and incriminating Belshaz</w:t>
      </w:r>
      <w:r w:rsidR="00D15586" w:rsidRPr="00B740B4">
        <w:t>zar. She is simp</w:t>
      </w:r>
      <w:r>
        <w:t>ly a voice. On the other hand,</w:t>
      </w:r>
      <w:r w:rsidR="00153DB8" w:rsidRPr="00B740B4">
        <w:t xml:space="preserve"> t</w:t>
      </w:r>
      <w:r w:rsidR="00E13251" w:rsidRPr="00B740B4">
        <w:t>he speeches by the queen, Belshazzar, and Daniel are the means of more overt description of the characters’ personalities and qualities. The former two repeat and thus emphasize those personal gifts of Daniel which are relevant to the story. The queen’s speech also offers preliminary hints of Belshazzar’s shortcomings, which Daniel’s speech develops.</w:t>
      </w:r>
    </w:p>
    <w:p w:rsidR="00E13251" w:rsidRPr="00B740B4" w:rsidRDefault="00E13251" w:rsidP="00661970">
      <w:r w:rsidRPr="00B740B4">
        <w:t>The distinctive and original eleme</w:t>
      </w:r>
      <w:r w:rsidR="00D15586" w:rsidRPr="00B740B4">
        <w:t xml:space="preserve">nt in the chapter is the </w:t>
      </w:r>
      <w:r w:rsidRPr="00B740B4">
        <w:t>omen and its interpretation (vv 25–28), around which a narrative context has been constructed, using remembered historical facts such as the regency of</w:t>
      </w:r>
      <w:r w:rsidR="006318BC" w:rsidRPr="00B740B4">
        <w:t xml:space="preserve"> Belshazzar, the forms of court </w:t>
      </w:r>
      <w:r w:rsidRPr="00B740B4">
        <w:t xml:space="preserve">conflict tale and prophetic legend, the technique of midrash, and some of the characteristic structural, verbal, and theological features that appear elsewhere in the Daniel stories (see </w:t>
      </w:r>
      <w:r w:rsidRPr="00B740B4">
        <w:rPr>
          <w:rStyle w:val="i"/>
          <w:color w:val="auto"/>
        </w:rPr>
        <w:t>Setting</w:t>
      </w:r>
      <w:r w:rsidR="00BC1B1E">
        <w:t>). The narrative context</w:t>
      </w:r>
      <w:r w:rsidRPr="00B740B4">
        <w:t xml:space="preserve"> adds to the omen’s impact, giving concrete expression to the king’s deserving of punishment, the h</w:t>
      </w:r>
      <w:r w:rsidR="00D15586" w:rsidRPr="00B740B4">
        <w:t>elplessness of Babylonian expertise</w:t>
      </w:r>
      <w:r w:rsidRPr="00B740B4">
        <w:t>, and the contras</w:t>
      </w:r>
      <w:r w:rsidR="00594626" w:rsidRPr="00B740B4">
        <w:t>ting insight found in the Judahite</w:t>
      </w:r>
      <w:r w:rsidRPr="00B740B4">
        <w:t xml:space="preserve"> </w:t>
      </w:r>
      <w:r w:rsidR="00081BE6" w:rsidRPr="00B740B4">
        <w:t>expert</w:t>
      </w:r>
      <w:r w:rsidR="00BC1B1E">
        <w:t>,</w:t>
      </w:r>
      <w:r w:rsidRPr="00B740B4">
        <w:t xml:space="preserve"> by the gift of God.</w:t>
      </w:r>
    </w:p>
    <w:p w:rsidR="00E13251" w:rsidRPr="00B740B4" w:rsidRDefault="00E13251" w:rsidP="00CF045A">
      <w:pPr>
        <w:pStyle w:val="Heading3"/>
      </w:pPr>
      <w:r w:rsidRPr="00B740B4">
        <w:t>Structure</w:t>
      </w:r>
    </w:p>
    <w:p w:rsidR="006318BC" w:rsidRPr="00B740B4" w:rsidRDefault="006318BC" w:rsidP="006318BC"/>
    <w:p w:rsidR="00E13251" w:rsidRPr="00B740B4" w:rsidRDefault="00D15586" w:rsidP="00661970">
      <w:r w:rsidRPr="00B740B4">
        <w:t>Contrasting with chap. 4, chap.</w:t>
      </w:r>
      <w:r w:rsidR="00E13251" w:rsidRPr="00B740B4">
        <w:t xml:space="preserve"> 5 returns to the simple sequential n</w:t>
      </w:r>
      <w:r w:rsidRPr="00B740B4">
        <w:t>arrative construction of chap.</w:t>
      </w:r>
      <w:r w:rsidR="00E13251" w:rsidRPr="00B740B4">
        <w:t xml:space="preserve"> 3.</w:t>
      </w:r>
      <w:r w:rsidRPr="00B740B4">
        <w:rPr>
          <w:rStyle w:val="FootnoteReference"/>
        </w:rPr>
        <w:footnoteReference w:id="817"/>
      </w:r>
      <w:r w:rsidRPr="00B740B4">
        <w:t xml:space="preserve"> It also resembles chap.</w:t>
      </w:r>
      <w:r w:rsidR="00E13251" w:rsidRPr="00B740B4">
        <w:t xml:space="preserve"> 2 in that </w:t>
      </w:r>
      <w:r w:rsidRPr="00B740B4">
        <w:t>Daniel’s speech, dominating the latter part of the chapter, carries much of its freight</w:t>
      </w:r>
      <w:r w:rsidR="00E13251" w:rsidRPr="00B740B4">
        <w:t>. Narrative, however, provides</w:t>
      </w:r>
      <w:r w:rsidRPr="00B740B4">
        <w:t xml:space="preserve"> the chapter’s framework. Vv</w:t>
      </w:r>
      <w:r w:rsidR="00E13251" w:rsidRPr="00B740B4">
        <w:t xml:space="preserve"> 1–9 give the introductory setting for the speeches, describing the circumstances and the a</w:t>
      </w:r>
      <w:r w:rsidR="00153DB8" w:rsidRPr="00B740B4">
        <w:t>ct of sacrilege</w:t>
      </w:r>
      <w:r w:rsidRPr="00B740B4">
        <w:t xml:space="preserve"> (vv 1–4),</w:t>
      </w:r>
      <w:r w:rsidR="00E13251" w:rsidRPr="00B740B4">
        <w:t xml:space="preserve"> the appearing of the omen and the king’s response (vv 5–7), then the failure of his initial attempt to discover its meaning and the consequent deepening and broadening of his dismay (vv 8–9). Tension develops steadily through this narrative introduction (which compares with 2:1–13): the Bacchanalian context already bodes ill, the act of sacrilege makes us look for some heavenly response, the omen’s contents are unrevealed but its effect on the king increases our concern regarding them, and the </w:t>
      </w:r>
      <w:r w:rsidR="00081BE6" w:rsidRPr="00B740B4">
        <w:t>expert</w:t>
      </w:r>
      <w:r w:rsidR="00E13251" w:rsidRPr="00B740B4">
        <w:t>s’ failure to read the omen deepens this concern.</w:t>
      </w:r>
    </w:p>
    <w:p w:rsidR="00E13251" w:rsidRPr="00B740B4" w:rsidRDefault="00E13251" w:rsidP="00661970">
      <w:r w:rsidRPr="00B740B4">
        <w:t>The bulk of the ch</w:t>
      </w:r>
      <w:r w:rsidR="00153DB8" w:rsidRPr="00B740B4">
        <w:t>apter consists of speeches, in this</w:t>
      </w:r>
      <w:r w:rsidRPr="00B740B4">
        <w:t xml:space="preserve"> brief narrative setting. The queen appears; she functions as a means of introducing the hero, announcing in anticipation the abilities he is shortly to be challenged to demonstrate, and introducing the theme of the king’s looking back from his reign to hi</w:t>
      </w:r>
      <w:r w:rsidR="001F6F3D" w:rsidRPr="00B740B4">
        <w:t>s father’s (vv 10–12; cf. Aryo</w:t>
      </w:r>
      <w:r w:rsidR="00D15586" w:rsidRPr="00B740B4">
        <w:t>k</w:t>
      </w:r>
      <w:r w:rsidRPr="00B740B4">
        <w:t>’s role in 2:14–25). Daniel appears, to be addressed by the king (vv 13–16; cf. 2:26). There may be an irony about the king’s opening words, where his description of Daniel goes beyond anything the queen has tol</w:t>
      </w:r>
      <w:r w:rsidR="00734D53" w:rsidRPr="00B740B4">
        <w:t>d him, to facts from a past of which</w:t>
      </w:r>
      <w:r w:rsidRPr="00B740B4">
        <w:t xml:space="preserve"> Belshazzar has</w:t>
      </w:r>
      <w:r w:rsidR="00734D53" w:rsidRPr="00B740B4">
        <w:t xml:space="preserve"> not taken account </w:t>
      </w:r>
      <w:r w:rsidRPr="00B740B4">
        <w:t xml:space="preserve">in his act of sacrilege and in his neglecting to turn to Daniel earlier. Much of the king’s subsequent </w:t>
      </w:r>
      <w:r w:rsidRPr="00B740B4">
        <w:lastRenderedPageBreak/>
        <w:t>speech merely recapitulates what we have already been told, so that the effect of the two speeches is to promise resolution of the tension established by the narrative opening, but to heighten it in the short term by slowing the pace of the story. Daniel’s prophet</w:t>
      </w:r>
      <w:r w:rsidR="00D15586" w:rsidRPr="00B740B4">
        <w:t>ic indictment (vv 17–28) carrying</w:t>
      </w:r>
      <w:r w:rsidRPr="00B740B4">
        <w:t xml:space="preserve"> much of the burden of the chapter’s message </w:t>
      </w:r>
      <w:r w:rsidR="00D15586" w:rsidRPr="00B740B4">
        <w:t>(cf. his speech in 2:27–45)</w:t>
      </w:r>
      <w:r w:rsidRPr="00B740B4">
        <w:t xml:space="preserve"> continues this effect. Finally, the narrative </w:t>
      </w:r>
      <w:r w:rsidR="00734D53" w:rsidRPr="00B740B4">
        <w:t xml:space="preserve">framework of the chapter </w:t>
      </w:r>
      <w:r w:rsidR="00D15586" w:rsidRPr="00B740B4">
        <w:t>reappears (vv 29-31</w:t>
      </w:r>
      <w:r w:rsidRPr="00B740B4">
        <w:t>) and the tension is resolved. The truth of Daniel’s interpretation is acknowledged, and confirmed by events. The r</w:t>
      </w:r>
      <w:r w:rsidR="00D15586" w:rsidRPr="00B740B4">
        <w:t>eference to Darius in</w:t>
      </w:r>
      <w:r w:rsidR="00734D53" w:rsidRPr="00B740B4">
        <w:t xml:space="preserve"> </w:t>
      </w:r>
      <w:r w:rsidR="00AF422C">
        <w:t>v</w:t>
      </w:r>
      <w:r w:rsidR="00D15586" w:rsidRPr="00B740B4">
        <w:t xml:space="preserve"> 31</w:t>
      </w:r>
      <w:r w:rsidR="003F5F6F">
        <w:t xml:space="preserve"> looks</w:t>
      </w:r>
      <w:r w:rsidRPr="00B740B4">
        <w:t xml:space="preserve"> lik</w:t>
      </w:r>
      <w:r w:rsidR="00D15586" w:rsidRPr="00B740B4">
        <w:t>e part of the closure of chap.</w:t>
      </w:r>
      <w:r w:rsidR="00734D53" w:rsidRPr="00B740B4">
        <w:t xml:space="preserve"> 5 (so EVV</w:t>
      </w:r>
      <w:r w:rsidRPr="00B740B4">
        <w:t>), denoting how</w:t>
      </w:r>
      <w:r w:rsidR="00D15586" w:rsidRPr="00B740B4">
        <w:t xml:space="preserve"> power passes from the Babylonians</w:t>
      </w:r>
      <w:r w:rsidRPr="00B740B4">
        <w:t xml:space="preserve"> to a Median, </w:t>
      </w:r>
      <w:r w:rsidR="003F5F6F">
        <w:t xml:space="preserve">rather </w:t>
      </w:r>
      <w:r w:rsidR="00D15586" w:rsidRPr="00B740B4">
        <w:t xml:space="preserve">than the introduction to chap. </w:t>
      </w:r>
      <w:r w:rsidRPr="00B740B4">
        <w:t>6, which relates a specific incid</w:t>
      </w:r>
      <w:r w:rsidR="00734D53" w:rsidRPr="00B740B4">
        <w:t>ent in Darius’s reign</w:t>
      </w:r>
      <w:r w:rsidRPr="00B740B4">
        <w:t>.</w:t>
      </w:r>
    </w:p>
    <w:p w:rsidR="00E13251" w:rsidRPr="00B740B4" w:rsidRDefault="00E13251" w:rsidP="00661970">
      <w:pPr>
        <w:rPr>
          <w:rFonts w:ascii="Arial" w:hAnsi="Arial" w:cs="Arial"/>
        </w:rPr>
      </w:pPr>
      <w:r w:rsidRPr="00B740B4">
        <w:t xml:space="preserve">There are several instances of paronomasia. </w:t>
      </w:r>
      <w:r w:rsidRPr="00B740B4">
        <w:rPr>
          <w:rStyle w:val="heb"/>
          <w:rFonts w:ascii="Arial" w:hAnsi="Arial" w:cs="Arial"/>
          <w:color w:val="auto"/>
        </w:rPr>
        <w:t>שרא</w:t>
      </w:r>
      <w:r w:rsidRPr="00B740B4">
        <w:t xml:space="preserve"> and </w:t>
      </w:r>
      <w:r w:rsidRPr="00B740B4">
        <w:rPr>
          <w:rStyle w:val="heb"/>
          <w:rFonts w:ascii="Arial" w:hAnsi="Arial" w:cs="Arial"/>
          <w:color w:val="auto"/>
        </w:rPr>
        <w:t>קטרין</w:t>
      </w:r>
      <w:r w:rsidRPr="00B740B4">
        <w:t xml:space="preserve"> appear together in vv 6, 12, and 16, to denote the weakening of joints (Belshazzar’s problem) and the solving of enigmas (Daniel’s solution). Nebuchadnezzar was free to kill, elevate, and humble when he wished (</w:t>
      </w:r>
      <w:r w:rsidRPr="00B740B4">
        <w:rPr>
          <w:rStyle w:val="heb"/>
          <w:rFonts w:ascii="Arial" w:hAnsi="Arial" w:cs="Arial"/>
          <w:color w:val="auto"/>
        </w:rPr>
        <w:t>שפל</w:t>
      </w:r>
      <w:r w:rsidR="000E0CC4" w:rsidRPr="00B740B4">
        <w:rPr>
          <w:rStyle w:val="heb"/>
          <w:rFonts w:ascii="Arial" w:hAnsi="Arial" w:cs="Arial"/>
          <w:color w:val="auto"/>
        </w:rPr>
        <w:t>,</w:t>
      </w:r>
      <w:r w:rsidRPr="00B740B4">
        <w:rPr>
          <w:rStyle w:val="heb"/>
          <w:color w:val="auto"/>
        </w:rPr>
        <w:t xml:space="preserve"> </w:t>
      </w:r>
      <w:r w:rsidRPr="00B740B4">
        <w:rPr>
          <w:rStyle w:val="heb"/>
          <w:rFonts w:ascii="Arial" w:hAnsi="Arial" w:cs="Arial"/>
          <w:color w:val="auto"/>
        </w:rPr>
        <w:t>רום</w:t>
      </w:r>
      <w:r w:rsidRPr="00B740B4">
        <w:rPr>
          <w:rStyle w:val="heb"/>
          <w:color w:val="auto"/>
        </w:rPr>
        <w:t xml:space="preserve"> </w:t>
      </w:r>
      <w:r w:rsidR="000E0CC4" w:rsidRPr="00B740B4">
        <w:rPr>
          <w:rStyle w:val="heb"/>
          <w:color w:val="auto"/>
        </w:rPr>
        <w:t>,</w:t>
      </w:r>
      <w:r w:rsidRPr="00B740B4">
        <w:rPr>
          <w:rStyle w:val="heb"/>
          <w:rFonts w:ascii="Arial" w:hAnsi="Arial" w:cs="Arial"/>
          <w:color w:val="auto"/>
        </w:rPr>
        <w:t>קטל</w:t>
      </w:r>
      <w:r w:rsidR="000E0CC4" w:rsidRPr="00B740B4">
        <w:rPr>
          <w:rStyle w:val="heb"/>
          <w:rFonts w:ascii="Arial" w:hAnsi="Arial" w:cs="Arial"/>
          <w:color w:val="auto"/>
        </w:rPr>
        <w:t>,</w:t>
      </w:r>
      <w:r w:rsidR="003F5F6F">
        <w:rPr>
          <w:rFonts w:ascii="Arial" w:hAnsi="Arial" w:cs="Arial"/>
        </w:rPr>
        <w:t xml:space="preserve"> </w:t>
      </w:r>
      <w:r w:rsidR="003F5F6F" w:rsidRPr="003F5F6F">
        <w:rPr>
          <w:rFonts w:ascii="Arial" w:hAnsi="Arial" w:cs="Arial"/>
        </w:rPr>
        <w:t>ה</w:t>
      </w:r>
      <w:r w:rsidR="003F5F6F">
        <w:rPr>
          <w:rFonts w:ascii="Arial" w:hAnsi="Arial" w:cs="Arial"/>
        </w:rPr>
        <w:t xml:space="preserve"> </w:t>
      </w:r>
      <w:r w:rsidR="000E0CC4" w:rsidRPr="00B740B4">
        <w:rPr>
          <w:rFonts w:ascii="Arial" w:hAnsi="Arial" w:cs="Arial"/>
        </w:rPr>
        <w:t>ב</w:t>
      </w:r>
      <w:r w:rsidR="003F5F6F">
        <w:rPr>
          <w:rFonts w:ascii="Arial" w:hAnsi="Arial" w:cs="Arial"/>
        </w:rPr>
        <w:t xml:space="preserve"> </w:t>
      </w:r>
      <w:r w:rsidR="000E0CC4" w:rsidRPr="00B740B4">
        <w:rPr>
          <w:rFonts w:ascii="Arial" w:hAnsi="Arial" w:cs="Arial"/>
        </w:rPr>
        <w:t>צ</w:t>
      </w:r>
      <w:r w:rsidRPr="00B740B4">
        <w:t>, v 19); Belshazzar elevated hi</w:t>
      </w:r>
      <w:r w:rsidR="003F5F6F">
        <w:t>mself like Nebuchadnezzar</w:t>
      </w:r>
      <w:r w:rsidRPr="00B740B4">
        <w:t xml:space="preserve"> instead of humbling himself, and </w:t>
      </w:r>
      <w:r w:rsidR="00734D53" w:rsidRPr="00B740B4">
        <w:t xml:space="preserve">he </w:t>
      </w:r>
      <w:r w:rsidRPr="00B740B4">
        <w:t>learns that God enthrones whom he wishes (vv 19–23) when he himself is killed (v 30)</w:t>
      </w:r>
      <w:r w:rsidR="000E0CC4" w:rsidRPr="00B740B4">
        <w:t>.</w:t>
      </w:r>
      <w:r w:rsidRPr="00B740B4">
        <w:t xml:space="preserve"> </w:t>
      </w:r>
      <w:r w:rsidR="000E0CC4" w:rsidRPr="00B740B4">
        <w:rPr>
          <w:rFonts w:ascii="Arial" w:hAnsi="Arial" w:cs="Arial"/>
        </w:rPr>
        <w:t>קטל</w:t>
      </w:r>
      <w:r w:rsidR="000E0CC4" w:rsidRPr="00B740B4">
        <w:t xml:space="preserve"> and</w:t>
      </w:r>
      <w:r w:rsidRPr="00B740B4">
        <w:t xml:space="preserve"> </w:t>
      </w:r>
      <w:r w:rsidRPr="00B740B4">
        <w:rPr>
          <w:rStyle w:val="heb"/>
          <w:rFonts w:ascii="Arial" w:hAnsi="Arial" w:cs="Arial"/>
          <w:color w:val="auto"/>
        </w:rPr>
        <w:t>תקל</w:t>
      </w:r>
      <w:r w:rsidR="000E0CC4" w:rsidRPr="00B740B4">
        <w:t xml:space="preserve"> (sheqel/weigh, vv 25, 27) are thus juxtaposed </w:t>
      </w:r>
      <w:r w:rsidRPr="00B740B4">
        <w:t>.</w:t>
      </w:r>
      <w:r w:rsidR="000E0CC4" w:rsidRPr="00B740B4">
        <w:rPr>
          <w:rStyle w:val="FootnoteReference"/>
        </w:rPr>
        <w:footnoteReference w:id="818"/>
      </w:r>
      <w:r w:rsidR="000E0CC4" w:rsidRPr="00B740B4">
        <w:t xml:space="preserve"> The paronomasia </w:t>
      </w:r>
      <w:r w:rsidRPr="00B740B4">
        <w:t>come</w:t>
      </w:r>
      <w:r w:rsidR="000E0CC4" w:rsidRPr="00B740B4">
        <w:t>s</w:t>
      </w:r>
      <w:r w:rsidRPr="00B740B4">
        <w:t xml:space="preserve"> to a</w:t>
      </w:r>
      <w:r w:rsidR="000E0CC4" w:rsidRPr="00B740B4">
        <w:t xml:space="preserve"> climax with the </w:t>
      </w:r>
      <w:r w:rsidRPr="00B740B4">
        <w:t xml:space="preserve">omen and its interpretation, which utilize the different significance of </w:t>
      </w:r>
      <w:r w:rsidRPr="00B740B4">
        <w:rPr>
          <w:rStyle w:val="heb"/>
          <w:rFonts w:ascii="Arial" w:hAnsi="Arial" w:cs="Arial"/>
          <w:color w:val="auto"/>
        </w:rPr>
        <w:t>מנא</w:t>
      </w:r>
      <w:r w:rsidRPr="00B740B4">
        <w:t xml:space="preserve">, </w:t>
      </w:r>
      <w:r w:rsidRPr="00B740B4">
        <w:rPr>
          <w:rStyle w:val="heb"/>
          <w:rFonts w:ascii="Arial" w:hAnsi="Arial" w:cs="Arial"/>
          <w:color w:val="auto"/>
        </w:rPr>
        <w:t>תקל</w:t>
      </w:r>
      <w:r w:rsidRPr="00B740B4">
        <w:t xml:space="preserve">, and </w:t>
      </w:r>
      <w:r w:rsidRPr="00B740B4">
        <w:rPr>
          <w:rStyle w:val="heb"/>
          <w:rFonts w:ascii="Arial" w:hAnsi="Arial" w:cs="Arial"/>
          <w:color w:val="auto"/>
        </w:rPr>
        <w:t>פרס</w:t>
      </w:r>
      <w:r w:rsidR="000E0CC4" w:rsidRPr="00B740B4">
        <w:t xml:space="preserve"> as nouns and as </w:t>
      </w:r>
      <w:r w:rsidRPr="00B740B4">
        <w:t xml:space="preserve">verbs and add further additional plays on </w:t>
      </w:r>
      <w:r w:rsidRPr="00B740B4">
        <w:rPr>
          <w:rStyle w:val="heb"/>
          <w:rFonts w:ascii="Arial" w:hAnsi="Arial" w:cs="Arial"/>
          <w:color w:val="auto"/>
        </w:rPr>
        <w:t>מנא</w:t>
      </w:r>
      <w:r w:rsidRPr="00B740B4">
        <w:t xml:space="preserve"> (repeating the word in different senses) and </w:t>
      </w:r>
      <w:r w:rsidRPr="00B740B4">
        <w:rPr>
          <w:rStyle w:val="heb"/>
          <w:rFonts w:ascii="Arial" w:hAnsi="Arial" w:cs="Arial"/>
          <w:color w:val="auto"/>
        </w:rPr>
        <w:t>סין</w:t>
      </w:r>
      <w:r w:rsidR="00734D53" w:rsidRPr="00B740B4">
        <w:rPr>
          <w:rFonts w:ascii="Arial" w:hAnsi="Arial" w:cs="Arial"/>
        </w:rPr>
        <w:t>פר</w:t>
      </w:r>
      <w:r w:rsidRPr="00B740B4">
        <w:t xml:space="preserve"> (linked also to </w:t>
      </w:r>
      <w:r w:rsidRPr="00B740B4">
        <w:rPr>
          <w:rStyle w:val="heb"/>
          <w:rFonts w:ascii="Arial" w:hAnsi="Arial" w:cs="Arial"/>
          <w:color w:val="auto"/>
        </w:rPr>
        <w:t>פרס</w:t>
      </w:r>
      <w:r w:rsidRPr="00B740B4">
        <w:t xml:space="preserve"> “Persia”).</w:t>
      </w:r>
    </w:p>
    <w:p w:rsidR="00E13251" w:rsidRPr="00B740B4" w:rsidRDefault="00E13251" w:rsidP="00661970">
      <w:r w:rsidRPr="00B740B4">
        <w:t>Differ</w:t>
      </w:r>
      <w:r w:rsidR="00734D53" w:rsidRPr="00B740B4">
        <w:t>ences between OG and MT are stronger in chap.</w:t>
      </w:r>
      <w:r w:rsidRPr="00B740B4">
        <w:t xml:space="preserve"> 5 than in any other chapter</w:t>
      </w:r>
      <w:r w:rsidR="001A5193" w:rsidRPr="00B740B4">
        <w:t>.</w:t>
      </w:r>
      <w:r w:rsidRPr="00B740B4">
        <w:t xml:space="preserve"> OG has a long introduction and a number</w:t>
      </w:r>
      <w:r w:rsidR="003F5F6F">
        <w:t xml:space="preserve"> of omissions, and </w:t>
      </w:r>
      <w:r w:rsidR="001A5193" w:rsidRPr="00B740B4">
        <w:t xml:space="preserve">has </w:t>
      </w:r>
      <w:r w:rsidR="00DC4B1F" w:rsidRPr="00B740B4">
        <w:t>th</w:t>
      </w:r>
      <w:r w:rsidR="00734D53" w:rsidRPr="00B740B4">
        <w:t>e name Artaxerxes or Xerxes (manuscripts</w:t>
      </w:r>
      <w:r w:rsidR="00DC4B1F" w:rsidRPr="00B740B4">
        <w:t xml:space="preserve"> </w:t>
      </w:r>
      <w:r w:rsidR="001A5193" w:rsidRPr="00B740B4">
        <w:t>v</w:t>
      </w:r>
      <w:r w:rsidR="009E66A4" w:rsidRPr="00B740B4">
        <w:t xml:space="preserve">ary) instead of Darius in </w:t>
      </w:r>
      <w:r w:rsidR="00734D53" w:rsidRPr="00B740B4">
        <w:t>v 31</w:t>
      </w:r>
      <w:r w:rsidR="009E66A4" w:rsidRPr="00B740B4">
        <w:t>.</w:t>
      </w:r>
      <w:r w:rsidR="001A5193" w:rsidRPr="00B740B4">
        <w:rPr>
          <w:rStyle w:val="FootnoteReference"/>
        </w:rPr>
        <w:footnoteReference w:id="819"/>
      </w:r>
      <w:r w:rsidR="00070178" w:rsidRPr="00B740B4">
        <w:t xml:space="preserve"> </w:t>
      </w:r>
      <w:r w:rsidR="00660A2D" w:rsidRPr="00B740B4">
        <w:t>“Apparently the story circulatedin several versions…. A comparison of the three accounts helps one see both how traditional stor</w:t>
      </w:r>
      <w:r w:rsidR="00734D53" w:rsidRPr="00B740B4">
        <w:t>i</w:t>
      </w:r>
      <w:r w:rsidR="00660A2D" w:rsidRPr="00B740B4">
        <w:t>es tend to exist in variant versions</w:t>
      </w:r>
      <w:r w:rsidR="003429CF" w:rsidRPr="00B740B4">
        <w:t xml:space="preserve"> and appreciate how the author of the MT carefully developed details</w:t>
      </w:r>
      <w:r w:rsidR="00734D53" w:rsidRPr="00B740B4">
        <w:t>.”</w:t>
      </w:r>
      <w:r w:rsidR="003429CF" w:rsidRPr="00B740B4">
        <w:rPr>
          <w:rStyle w:val="FootnoteReference"/>
        </w:rPr>
        <w:footnoteReference w:id="820"/>
      </w:r>
      <w:r w:rsidR="00734D53" w:rsidRPr="00B740B4">
        <w:t xml:space="preserve"> </w:t>
      </w:r>
      <w:r w:rsidR="003429CF" w:rsidRPr="00B740B4">
        <w:t xml:space="preserve">MT’s version is more expansive and suspenseful, </w:t>
      </w:r>
      <w:r w:rsidR="00734D53" w:rsidRPr="00B740B4">
        <w:t>it puts more</w:t>
      </w:r>
      <w:r w:rsidR="003429CF" w:rsidRPr="00B740B4">
        <w:t xml:space="preserve"> emphasis on Daniel’s expertise and his confrontation of Bel</w:t>
      </w:r>
      <w:r w:rsidR="00734D53" w:rsidRPr="00B740B4">
        <w:t xml:space="preserve">shazzar, and </w:t>
      </w:r>
      <w:r w:rsidR="003429CF" w:rsidRPr="00B740B4">
        <w:t xml:space="preserve">on the contrast between Belshazzar and Nebuchadnezzar. </w:t>
      </w:r>
    </w:p>
    <w:p w:rsidR="00E13251" w:rsidRPr="00B740B4" w:rsidRDefault="00E13251" w:rsidP="00CF045A">
      <w:pPr>
        <w:pStyle w:val="Heading3"/>
      </w:pPr>
      <w:r w:rsidRPr="00B740B4">
        <w:t>Setting</w:t>
      </w:r>
    </w:p>
    <w:p w:rsidR="001A5193" w:rsidRPr="00B740B4" w:rsidRDefault="001A5193" w:rsidP="001A5193"/>
    <w:p w:rsidR="00373807" w:rsidRPr="00B740B4" w:rsidRDefault="00E13251" w:rsidP="00661970">
      <w:r w:rsidRPr="00B740B4">
        <w:t>Of the kings i</w:t>
      </w:r>
      <w:r w:rsidR="003F5F6F">
        <w:t>n Daniel, Belshazzar might most plausibl</w:t>
      </w:r>
      <w:r w:rsidRPr="00B740B4">
        <w:t>y be viewed as a cipher for the sacrilegious Antiochus Epiphanes (see 1 Macc 1:20–64; also Heliodorus in 2 Macc 3)</w:t>
      </w:r>
      <w:r w:rsidR="003F5F6F">
        <w:t xml:space="preserve">, chap. 5 </w:t>
      </w:r>
      <w:r w:rsidR="003F5F6F" w:rsidRPr="003F5F6F">
        <w:t>then be</w:t>
      </w:r>
      <w:r w:rsidR="003F5F6F">
        <w:t>ing</w:t>
      </w:r>
      <w:r w:rsidR="003F5F6F" w:rsidRPr="003F5F6F">
        <w:t xml:space="preserve"> the youngest of the stories.</w:t>
      </w:r>
      <w:r w:rsidR="003F5F6F" w:rsidRPr="003F5F6F">
        <w:rPr>
          <w:vertAlign w:val="superscript"/>
        </w:rPr>
        <w:footnoteReference w:id="821"/>
      </w:r>
      <w:r w:rsidR="003F5F6F">
        <w:t xml:space="preserve"> T</w:t>
      </w:r>
      <w:r w:rsidRPr="00B740B4">
        <w:t>he careers of Antiochus III and his son (cf. 11:10–19, 21–45) correspond to those of Nebuchadnezzar and his son, and the pattern of father and son in chaps. 4–</w:t>
      </w:r>
      <w:r w:rsidR="001A5193" w:rsidRPr="00B740B4">
        <w:t>5 may lie behind that in chap.</w:t>
      </w:r>
      <w:r w:rsidRPr="00B740B4">
        <w:t xml:space="preserve"> 11</w:t>
      </w:r>
      <w:r w:rsidR="001A5193" w:rsidRPr="00B740B4">
        <w:t>.</w:t>
      </w:r>
      <w:r w:rsidR="00291B3B" w:rsidRPr="00B740B4">
        <w:rPr>
          <w:rStyle w:val="FootnoteReference"/>
        </w:rPr>
        <w:footnoteReference w:id="822"/>
      </w:r>
      <w:r w:rsidR="001A5193" w:rsidRPr="00B740B4">
        <w:t xml:space="preserve"> Y</w:t>
      </w:r>
      <w:r w:rsidRPr="00B740B4">
        <w:t xml:space="preserve">et </w:t>
      </w:r>
      <w:r w:rsidR="001A5193" w:rsidRPr="00B740B4">
        <w:t xml:space="preserve">in content </w:t>
      </w:r>
      <w:r w:rsidRPr="00B740B4">
        <w:t xml:space="preserve">chaps. 4 and 5 </w:t>
      </w:r>
      <w:r w:rsidR="001A5193" w:rsidRPr="00B740B4">
        <w:t>have also been seen as the oldest stories,</w:t>
      </w:r>
      <w:r w:rsidR="001A5193" w:rsidRPr="00B740B4">
        <w:rPr>
          <w:rStyle w:val="FootnoteReference"/>
        </w:rPr>
        <w:footnoteReference w:id="823"/>
      </w:r>
      <w:r w:rsidR="001A5193" w:rsidRPr="00B740B4">
        <w:t xml:space="preserve"> and there is no concrete</w:t>
      </w:r>
      <w:r w:rsidRPr="00B740B4">
        <w:t xml:space="preserve"> indication that chaps. 4–</w:t>
      </w:r>
      <w:r w:rsidR="00734D53" w:rsidRPr="00B740B4">
        <w:t xml:space="preserve">5 were written in </w:t>
      </w:r>
      <w:r w:rsidRPr="00B740B4">
        <w:t>light of the experience of Antioc</w:t>
      </w:r>
      <w:r w:rsidR="00734D53" w:rsidRPr="00B740B4">
        <w:t xml:space="preserve">hus. The parallels are general, and </w:t>
      </w:r>
      <w:r w:rsidRPr="00B740B4">
        <w:t>sacrilege and idolatry were not a distinctively second-century</w:t>
      </w:r>
      <w:r w:rsidR="00F62DFF" w:rsidRPr="00B740B4">
        <w:t xml:space="preserve"> phenomenon. For the worship of false gods</w:t>
      </w:r>
      <w:r w:rsidR="001A5193" w:rsidRPr="00B740B4">
        <w:t>, compare</w:t>
      </w:r>
      <w:r w:rsidR="003F5F6F">
        <w:t xml:space="preserve"> 4QPrNab. </w:t>
      </w:r>
      <w:r w:rsidRPr="00B740B4">
        <w:t>Antiochus only plunders the temple; he does not misuse vessels in a religious connection. The words for “</w:t>
      </w:r>
      <w:r w:rsidR="001A5193" w:rsidRPr="00B740B4">
        <w:t>proclaim” and “</w:t>
      </w:r>
      <w:r w:rsidRPr="00B740B4">
        <w:t>gold ch</w:t>
      </w:r>
      <w:r w:rsidR="001A5193" w:rsidRPr="00B740B4">
        <w:t>ain”</w:t>
      </w:r>
      <w:r w:rsidRPr="00B740B4">
        <w:t xml:space="preserve"> (</w:t>
      </w:r>
      <w:r w:rsidR="003F5F6F" w:rsidRPr="003F5F6F">
        <w:rPr>
          <w:rFonts w:ascii="Arial" w:hAnsi="Arial" w:cs="Arial"/>
        </w:rPr>
        <w:t>כרז</w:t>
      </w:r>
      <w:r w:rsidR="003F5F6F">
        <w:rPr>
          <w:rFonts w:ascii="Arial" w:hAnsi="Arial" w:cs="Arial"/>
        </w:rPr>
        <w:t>,</w:t>
      </w:r>
      <w:r w:rsidR="003F5F6F">
        <w:t xml:space="preserve"> </w:t>
      </w:r>
      <w:r w:rsidRPr="00B740B4">
        <w:rPr>
          <w:rStyle w:val="heb"/>
          <w:rFonts w:ascii="Arial" w:hAnsi="Arial" w:cs="Arial"/>
          <w:color w:val="auto"/>
        </w:rPr>
        <w:t>המונכא</w:t>
      </w:r>
      <w:r w:rsidRPr="00B740B4">
        <w:t>) appear in Greek (</w:t>
      </w:r>
      <w:r w:rsidR="001A5193" w:rsidRPr="00B740B4">
        <w:t xml:space="preserve">κηρύσσω, </w:t>
      </w:r>
      <w:r w:rsidRPr="00B740B4">
        <w:rPr>
          <w:rStyle w:val="grc"/>
          <w:color w:val="auto"/>
        </w:rPr>
        <w:t>μανιάκης</w:t>
      </w:r>
      <w:r w:rsidR="00373807" w:rsidRPr="00B740B4">
        <w:t>), but the latter</w:t>
      </w:r>
      <w:r w:rsidRPr="00B740B4">
        <w:t xml:space="preserve"> is of </w:t>
      </w:r>
      <w:r w:rsidR="00373807" w:rsidRPr="00B740B4">
        <w:t>Persian origin and even the form</w:t>
      </w:r>
      <w:r w:rsidRPr="00B740B4">
        <w:t xml:space="preserve">er, if not a loan-word in </w:t>
      </w:r>
      <w:r w:rsidRPr="00B740B4">
        <w:lastRenderedPageBreak/>
        <w:t>Greek</w:t>
      </w:r>
      <w:r w:rsidR="003F5F6F">
        <w:t>, is likely an early borrowing.</w:t>
      </w:r>
      <w:r w:rsidR="003F5F6F">
        <w:rPr>
          <w:rStyle w:val="FootnoteReference"/>
        </w:rPr>
        <w:footnoteReference w:id="824"/>
      </w:r>
      <w:r w:rsidRPr="00B740B4">
        <w:t xml:space="preserve"> Once again the dispersion and as likely the Persian as the Greek period is the story’s natural historical setting. As with other chapters, s</w:t>
      </w:r>
      <w:r w:rsidR="00373807" w:rsidRPr="00B740B4">
        <w:t>cholars have argued that chap.</w:t>
      </w:r>
      <w:r w:rsidRPr="00B740B4">
        <w:t xml:space="preserve"> 5 as we know it came into existence by a process of redaction during different periods, though opinions vary a</w:t>
      </w:r>
      <w:r w:rsidR="00373807" w:rsidRPr="00B740B4">
        <w:t>s to the nature of this process.</w:t>
      </w:r>
      <w:r w:rsidR="00373807" w:rsidRPr="00B740B4">
        <w:rPr>
          <w:rStyle w:val="FootnoteReference"/>
        </w:rPr>
        <w:footnoteReference w:id="825"/>
      </w:r>
    </w:p>
    <w:p w:rsidR="00922BB9" w:rsidRPr="00922BB9" w:rsidRDefault="00373807" w:rsidP="00922BB9">
      <w:r w:rsidRPr="00B740B4">
        <w:t>In</w:t>
      </w:r>
      <w:r w:rsidR="00E13251" w:rsidRPr="00B740B4">
        <w:t xml:space="preserve"> its literary setting, the story has a</w:t>
      </w:r>
      <w:r w:rsidRPr="00B740B4">
        <w:t xml:space="preserve"> close relationship with chap.</w:t>
      </w:r>
      <w:r w:rsidR="00E13251" w:rsidRPr="00B740B4">
        <w:t xml:space="preserve"> 4. Its picture of a sacrilegious king who finds no mercy compares and contrasts with the earlier picture of an overbearing king who did find mercy.</w:t>
      </w:r>
      <w:r w:rsidRPr="00B740B4">
        <w:rPr>
          <w:rStyle w:val="FootnoteReference"/>
        </w:rPr>
        <w:footnoteReference w:id="826"/>
      </w:r>
      <w:r w:rsidR="00F62DFF" w:rsidRPr="00B740B4">
        <w:t xml:space="preserve"> </w:t>
      </w:r>
      <w:r w:rsidRPr="00B740B4">
        <w:t xml:space="preserve">Like chap. 2 as well as chap. </w:t>
      </w:r>
      <w:r w:rsidR="00E13251" w:rsidRPr="00B740B4">
        <w:t xml:space="preserve">4, the narrative tells of a buoyant king disturbed by an omen; he summons his </w:t>
      </w:r>
      <w:r w:rsidR="00081BE6" w:rsidRPr="00B740B4">
        <w:t>expert</w:t>
      </w:r>
      <w:r w:rsidRPr="00B740B4">
        <w:t xml:space="preserve">s to interpret it and </w:t>
      </w:r>
      <w:r w:rsidR="00E13251" w:rsidRPr="00B740B4">
        <w:t>his promi</w:t>
      </w:r>
      <w:r w:rsidRPr="00B740B4">
        <w:t>se of rewards parallels chap. 2</w:t>
      </w:r>
      <w:r w:rsidR="00E13251" w:rsidRPr="00B740B4">
        <w:t xml:space="preserve">, but they fail, and only then does Daniel appear on the scene. </w:t>
      </w:r>
      <w:r w:rsidR="00F62DFF" w:rsidRPr="00B740B4">
        <w:t>While</w:t>
      </w:r>
      <w:r w:rsidR="001F6F3D" w:rsidRPr="00B740B4">
        <w:t xml:space="preserve"> paralleling Aryok’s role in chap. 2, </w:t>
      </w:r>
      <w:r w:rsidR="00E13251" w:rsidRPr="00B740B4">
        <w:t>t</w:t>
      </w:r>
      <w:r w:rsidR="001F6F3D" w:rsidRPr="00B740B4">
        <w:t xml:space="preserve">he queen’s action </w:t>
      </w:r>
      <w:r w:rsidR="00F62DFF" w:rsidRPr="00B740B4">
        <w:t xml:space="preserve">also </w:t>
      </w:r>
      <w:r w:rsidR="00E13251" w:rsidRPr="00B740B4">
        <w:t>recall</w:t>
      </w:r>
      <w:r w:rsidR="001F6F3D" w:rsidRPr="00B740B4">
        <w:t>s 1:7, 17, 20; 2:48; and 4:</w:t>
      </w:r>
      <w:r w:rsidR="00E13251" w:rsidRPr="00B740B4">
        <w:t>8–9</w:t>
      </w:r>
      <w:r w:rsidR="001F6F3D" w:rsidRPr="00B740B4">
        <w:t xml:space="preserve"> [5-6</w:t>
      </w:r>
      <w:r w:rsidR="00F62DFF" w:rsidRPr="00B740B4">
        <w:t>], and t</w:t>
      </w:r>
      <w:r w:rsidR="00E13251" w:rsidRPr="00B740B4">
        <w:t>he king’s speech refers back to 1:3; 2:</w:t>
      </w:r>
      <w:r w:rsidR="001F6F3D" w:rsidRPr="00B740B4">
        <w:t>25; and 4:9 [6]</w:t>
      </w:r>
      <w:r w:rsidR="003F5F6F">
        <w:t xml:space="preserve">, </w:t>
      </w:r>
      <w:r w:rsidR="00E13251" w:rsidRPr="00B740B4">
        <w:t>and thus, behind the queen’s words, to 1:17, 20. Daniel’s speech refers back to God’s dealing</w:t>
      </w:r>
      <w:r w:rsidR="001F6F3D" w:rsidRPr="00B740B4">
        <w:t>s with Nebuchadnezzar in chap.</w:t>
      </w:r>
      <w:r w:rsidR="00E13251" w:rsidRPr="00B740B4">
        <w:t xml:space="preserve"> 4 (and behind that to 2:21, 37). The sacrilege with the vessels, to which Daniel refers, recalls 1:2. As in 4:</w:t>
      </w:r>
      <w:r w:rsidR="001F6F3D" w:rsidRPr="00B740B4">
        <w:t>31, 33 [28, 30</w:t>
      </w:r>
      <w:r w:rsidR="00E13251" w:rsidRPr="00B740B4">
        <w:t>], judgment is declared instantly and implemented instantly (5:5, 30). The announcement of the consequent c</w:t>
      </w:r>
      <w:r w:rsidR="001F6F3D" w:rsidRPr="00B740B4">
        <w:t>hange of king leads into chap.</w:t>
      </w:r>
      <w:r w:rsidR="00E13251" w:rsidRPr="00B740B4">
        <w:t xml:space="preserve"> 6.</w:t>
      </w:r>
      <w:r w:rsidR="00922BB9">
        <w:t xml:space="preserve"> Meanwhile, </w:t>
      </w:r>
      <w:r w:rsidR="00922BB9" w:rsidRPr="00922BB9">
        <w:t>“Daniel 5 completed the process of rethinking the Babylonian Empire. It certa</w:t>
      </w:r>
      <w:r w:rsidR="00922BB9">
        <w:t>inly was no longer golden.” The</w:t>
      </w:r>
      <w:r w:rsidR="00922BB9" w:rsidRPr="00922BB9">
        <w:t xml:space="preserve"> chapter brings to a sad end its story as Dan 1—5 </w:t>
      </w:r>
      <w:r w:rsidR="00922BB9">
        <w:t>tells it.</w:t>
      </w:r>
      <w:r w:rsidR="00922BB9" w:rsidRPr="00922BB9">
        <w:rPr>
          <w:vertAlign w:val="superscript"/>
        </w:rPr>
        <w:footnoteReference w:id="827"/>
      </w:r>
    </w:p>
    <w:p w:rsidR="00E13251" w:rsidRPr="00B740B4" w:rsidRDefault="00E13251" w:rsidP="009479B1">
      <w:pPr>
        <w:pStyle w:val="Heading2"/>
      </w:pPr>
      <w:r w:rsidRPr="00B740B4">
        <w:t>Comment</w:t>
      </w:r>
    </w:p>
    <w:p w:rsidR="00F62DFF" w:rsidRPr="00B740B4" w:rsidRDefault="00E13251" w:rsidP="00661970">
      <w:r w:rsidRPr="00B740B4">
        <w:rPr>
          <w:rStyle w:val="b"/>
          <w:color w:val="auto"/>
        </w:rPr>
        <w:t>1–4</w:t>
      </w:r>
      <w:r w:rsidR="00481E3E" w:rsidRPr="00B740B4">
        <w:t xml:space="preserve"> </w:t>
      </w:r>
      <w:r w:rsidR="00A8642C" w:rsidRPr="00B740B4">
        <w:t>It is an abrupt start, like that of chap. 3.</w:t>
      </w:r>
      <w:r w:rsidR="00A8642C" w:rsidRPr="00B740B4">
        <w:rPr>
          <w:rStyle w:val="FootnoteReference"/>
        </w:rPr>
        <w:footnoteReference w:id="828"/>
      </w:r>
      <w:r w:rsidR="00A8642C" w:rsidRPr="00B740B4">
        <w:t xml:space="preserve"> There is no hint that t</w:t>
      </w:r>
      <w:r w:rsidR="00481E3E" w:rsidRPr="00B740B4">
        <w:t xml:space="preserve">he </w:t>
      </w:r>
      <w:r w:rsidR="000546B7" w:rsidRPr="00B740B4">
        <w:t>hi</w:t>
      </w:r>
      <w:r w:rsidR="00EF7791" w:rsidRPr="00B740B4">
        <w:t xml:space="preserve">storical situation has moved </w:t>
      </w:r>
      <w:r w:rsidR="00F62DFF" w:rsidRPr="00B740B4">
        <w:t>on spectacularly</w:t>
      </w:r>
      <w:r w:rsidR="00EF7791" w:rsidRPr="00B740B4">
        <w:t>. Nebuchadnez</w:t>
      </w:r>
      <w:r w:rsidR="005E2AF4">
        <w:t>zar died in 562, three kings re</w:t>
      </w:r>
      <w:r w:rsidR="00EF7791" w:rsidRPr="00B740B4">
        <w:t xml:space="preserve">igned for a short time, and the </w:t>
      </w:r>
      <w:r w:rsidR="00481E3E" w:rsidRPr="00B740B4">
        <w:t>last actual Babylonian</w:t>
      </w:r>
      <w:r w:rsidR="00EF7791" w:rsidRPr="00B740B4">
        <w:t xml:space="preserve"> king, </w:t>
      </w:r>
      <w:r w:rsidRPr="00B740B4">
        <w:t xml:space="preserve">Nabonidus, </w:t>
      </w:r>
      <w:r w:rsidR="005E2AF4">
        <w:t>came to the throne in 556. F</w:t>
      </w:r>
      <w:r w:rsidR="00EF7791" w:rsidRPr="00B740B4">
        <w:t xml:space="preserve">or most of his reign </w:t>
      </w:r>
      <w:r w:rsidR="005E2AF4">
        <w:t xml:space="preserve">he </w:t>
      </w:r>
      <w:r w:rsidR="00EF7791" w:rsidRPr="00B740B4">
        <w:t xml:space="preserve">“entrusted the kingship” in </w:t>
      </w:r>
      <w:r w:rsidRPr="00B740B4">
        <w:t xml:space="preserve">to his son </w:t>
      </w:r>
      <w:r w:rsidRPr="00B740B4">
        <w:rPr>
          <w:rStyle w:val="theb"/>
          <w:color w:val="auto"/>
        </w:rPr>
        <w:t>Bēl-šar-uṣur</w:t>
      </w:r>
      <w:r w:rsidR="005E2AF4">
        <w:t xml:space="preserve"> during a</w:t>
      </w:r>
      <w:r w:rsidRPr="00B740B4">
        <w:t xml:space="preserve"> ten-year absence from Babylon, returning as the threat from Cyrus grew</w:t>
      </w:r>
      <w:r w:rsidR="00EF7791" w:rsidRPr="00B740B4">
        <w:t xml:space="preserve"> in 539</w:t>
      </w:r>
      <w:r w:rsidRPr="00B740B4">
        <w:t>. Belshazzar thus fulfilled the functions of kingship, though he was not called king nor did he play the king’s</w:t>
      </w:r>
      <w:r w:rsidR="001A496E" w:rsidRPr="00B740B4">
        <w:t xml:space="preserve"> part in the New Year Festival</w:t>
      </w:r>
      <w:r w:rsidRPr="00B740B4">
        <w:t>.</w:t>
      </w:r>
      <w:r w:rsidR="001A496E" w:rsidRPr="00B740B4">
        <w:rPr>
          <w:rStyle w:val="FootnoteReference"/>
        </w:rPr>
        <w:footnoteReference w:id="829"/>
      </w:r>
      <w:r w:rsidR="001A496E" w:rsidRPr="00B740B4">
        <w:t xml:space="preserve"> T</w:t>
      </w:r>
      <w:r w:rsidRPr="00B740B4">
        <w:t xml:space="preserve">his latter </w:t>
      </w:r>
      <w:r w:rsidR="001A496E" w:rsidRPr="00B740B4">
        <w:t>may reflect</w:t>
      </w:r>
      <w:r w:rsidRPr="00B740B4">
        <w:t xml:space="preserve"> more the religious conflict between the Marduk priesthood and Nabonidus’s regime than Belshazzar’s not technically being king.</w:t>
      </w:r>
      <w:r w:rsidR="001A496E" w:rsidRPr="00B740B4">
        <w:rPr>
          <w:rStyle w:val="FootnoteReference"/>
        </w:rPr>
        <w:footnoteReference w:id="830"/>
      </w:r>
      <w:r w:rsidRPr="00B740B4">
        <w:t xml:space="preserve"> </w:t>
      </w:r>
    </w:p>
    <w:p w:rsidR="00E13251" w:rsidRPr="00B740B4" w:rsidRDefault="00E13251" w:rsidP="00661970">
      <w:r w:rsidRPr="00B740B4">
        <w:t>If Dan 5 relates to the occasion when control</w:t>
      </w:r>
      <w:r w:rsidR="001A496E" w:rsidRPr="00B740B4">
        <w:t xml:space="preserve"> in Babylon passed from a Babyloni</w:t>
      </w:r>
      <w:r w:rsidRPr="00B740B4">
        <w:t>an king to a Median (5:30</w:t>
      </w:r>
      <w:r w:rsidR="00F62DFF" w:rsidRPr="00B740B4">
        <w:t>-31), the</w:t>
      </w:r>
      <w:r w:rsidRPr="00B740B4">
        <w:t xml:space="preserve"> occasion must be the fall of Babylon to the </w:t>
      </w:r>
      <w:r w:rsidR="001A496E" w:rsidRPr="00B740B4">
        <w:t>forces of Cyrus.</w:t>
      </w:r>
      <w:r w:rsidR="00C55B5A" w:rsidRPr="00B740B4">
        <w:rPr>
          <w:rStyle w:val="FootnoteReference"/>
        </w:rPr>
        <w:footnoteReference w:id="831"/>
      </w:r>
      <w:r w:rsidR="001A496E" w:rsidRPr="00B740B4">
        <w:t xml:space="preserve"> We have several</w:t>
      </w:r>
      <w:r w:rsidRPr="00B740B4">
        <w:t xml:space="preserve"> other accounts of this event.</w:t>
      </w:r>
    </w:p>
    <w:p w:rsidR="001A496E" w:rsidRPr="00B740B4" w:rsidRDefault="00E13251" w:rsidP="00661970">
      <w:r w:rsidRPr="00B740B4">
        <w:t>(a) According to the Cyrus Cylinder, “without any battle [Marduk] enabled [Cyrus] to enter his city Babylon, sparing Babylon any calamity. He delivered into his hands Nabonidus, the ki</w:t>
      </w:r>
      <w:r w:rsidR="005E2AF4">
        <w:t>ng who did not worship him….</w:t>
      </w:r>
      <w:r w:rsidRPr="00B740B4">
        <w:t xml:space="preserve"> When I [Cyrus] entered Babylon as a friend, I set up the seat of government in the royal palace amids</w:t>
      </w:r>
      <w:r w:rsidR="005E2AF4">
        <w:t>t jubilation and rejoicing….</w:t>
      </w:r>
      <w:r w:rsidRPr="00B740B4">
        <w:t xml:space="preserve"> My numerous troops walked </w:t>
      </w:r>
      <w:r w:rsidR="005E2AF4">
        <w:t>around in Babylon in peace.</w:t>
      </w:r>
      <w:r w:rsidRPr="00B740B4">
        <w:t>”</w:t>
      </w:r>
      <w:r w:rsidR="001A496E" w:rsidRPr="00B740B4">
        <w:rPr>
          <w:rStyle w:val="FootnoteReference"/>
        </w:rPr>
        <w:footnoteReference w:id="832"/>
      </w:r>
      <w:r w:rsidRPr="00B740B4">
        <w:t xml:space="preserve"> </w:t>
      </w:r>
    </w:p>
    <w:p w:rsidR="00E13251" w:rsidRPr="00B740B4" w:rsidRDefault="00E13251" w:rsidP="00661970">
      <w:r w:rsidRPr="00B740B4">
        <w:lastRenderedPageBreak/>
        <w:t>(b) According to the Babylonian Chronicle, in the last year of Nabonidus’s reign the New Year Festival was properly observed and the gods of other cities were brought into Babylon. “In the month of Teshrit, while Cyrus was attacking the Babylonian army at Opis on the Tigris, the people of Babylonia revolted, but he [Nabonidus] slew some of the people. On the fourteenth day, Sippar was taken without a battle. Nabonidus fled. On the sixteenth day [12 October]</w:t>
      </w:r>
      <w:r w:rsidR="005E2AF4">
        <w:t>,</w:t>
      </w:r>
      <w:r w:rsidRPr="00B740B4">
        <w:t xml:space="preserve"> Ugbaru, the governor of Gutium, and the troops of Cyrus entered Babylon without battle. Afterwards Nabonidus was arrested when he returned to Babylon.” Religious ceremonies were not interrupted. “On the third of Marcheswan [29 October], Cyrus entered Babylon and they waved branches before him. Peace settled on the city and Cyrus proclaimed peace to Babylon. Gubaru, his governor, appointed </w:t>
      </w:r>
      <w:r w:rsidR="001A496E" w:rsidRPr="00B740B4">
        <w:t>local governors in Babylon….</w:t>
      </w:r>
      <w:r w:rsidRPr="00B740B4">
        <w:t xml:space="preserve"> On the night of the eleventh of Marcheswan [6 Nov</w:t>
      </w:r>
      <w:r w:rsidR="005E2AF4">
        <w:t>ember] Ugbaru died. On the…</w:t>
      </w:r>
      <w:r w:rsidRPr="00B740B4">
        <w:t xml:space="preserve"> th </w:t>
      </w:r>
      <w:r w:rsidR="005E2AF4">
        <w:t>the… of the king died</w:t>
      </w:r>
      <w:r w:rsidRPr="00B740B4">
        <w:t>”;</w:t>
      </w:r>
      <w:r w:rsidR="001A496E" w:rsidRPr="00B740B4">
        <w:rPr>
          <w:rStyle w:val="FootnoteReference"/>
        </w:rPr>
        <w:footnoteReference w:id="833"/>
      </w:r>
      <w:r w:rsidRPr="00B740B4">
        <w:t xml:space="preserve"> accor</w:t>
      </w:r>
      <w:r w:rsidR="001A496E" w:rsidRPr="00B740B4">
        <w:t>ding to one reading</w:t>
      </w:r>
      <w:r w:rsidRPr="00B740B4">
        <w:t xml:space="preserve">, </w:t>
      </w:r>
      <w:r w:rsidR="001A496E" w:rsidRPr="00B740B4">
        <w:t>the king’s son was killed.</w:t>
      </w:r>
      <w:r w:rsidR="001A496E" w:rsidRPr="00B740B4">
        <w:rPr>
          <w:rStyle w:val="FootnoteReference"/>
        </w:rPr>
        <w:footnoteReference w:id="834"/>
      </w:r>
    </w:p>
    <w:p w:rsidR="00E13251" w:rsidRPr="00B740B4" w:rsidRDefault="00E13251" w:rsidP="00661970">
      <w:r w:rsidRPr="00B740B4">
        <w:t xml:space="preserve">(c) According to Berossus, </w:t>
      </w:r>
      <w:r w:rsidR="00E86B1D" w:rsidRPr="00B740B4">
        <w:t xml:space="preserve">the third-century Babylonian historian, </w:t>
      </w:r>
      <w:r w:rsidRPr="00B740B4">
        <w:t>“when Nabonidus perceived [Cyrus] was coming to attack him, he met him with his forces, and, joining battle with him, was beaten, fled with a few of his troops, and was shut up within the city Borsippus. Thereupon Cyrus took Babylon, and gave order that the outer walls of the city should be demolished, because the city had proved very troublesome to him, and cost him a great deal of pains to take it.” When he went to besiege Borsippus, Nabonidus surrendered</w:t>
      </w:r>
      <w:r w:rsidR="00E86B1D" w:rsidRPr="00B740B4">
        <w:t>, and was exiled to Carmania (s</w:t>
      </w:r>
      <w:r w:rsidRPr="00B740B4">
        <w:t xml:space="preserve">ee Josephus, </w:t>
      </w:r>
      <w:r w:rsidR="00E86B1D" w:rsidRPr="00B740B4">
        <w:rPr>
          <w:rStyle w:val="i"/>
          <w:color w:val="auto"/>
        </w:rPr>
        <w:t>Against Apion</w:t>
      </w:r>
      <w:r w:rsidRPr="00B740B4">
        <w:rPr>
          <w:rStyle w:val="i"/>
          <w:color w:val="auto"/>
        </w:rPr>
        <w:t>.</w:t>
      </w:r>
      <w:r w:rsidR="005E2AF4">
        <w:t xml:space="preserve"> 1.151–53 [1.20]</w:t>
      </w:r>
      <w:r w:rsidRPr="00B740B4">
        <w:t>)</w:t>
      </w:r>
      <w:r w:rsidR="005E2AF4">
        <w:t>.</w:t>
      </w:r>
    </w:p>
    <w:p w:rsidR="00E13251" w:rsidRPr="00B740B4" w:rsidRDefault="00E13251" w:rsidP="00661970">
      <w:r w:rsidRPr="00B740B4">
        <w:t>(d) According to Herodotus (</w:t>
      </w:r>
      <w:r w:rsidR="001A496E" w:rsidRPr="00B740B4">
        <w:rPr>
          <w:i/>
        </w:rPr>
        <w:t xml:space="preserve">Histories </w:t>
      </w:r>
      <w:r w:rsidRPr="00B740B4">
        <w:t>1.190–91), Cyrus brought his siege of Babylon to a successful conclusion by temporarily diverti</w:t>
      </w:r>
      <w:r w:rsidR="001A496E" w:rsidRPr="00B740B4">
        <w:t>ng the course of the Euphrates, the city’s western defense,</w:t>
      </w:r>
      <w:r w:rsidRPr="00B740B4">
        <w:t xml:space="preserve"> during a nocturnal festival.</w:t>
      </w:r>
    </w:p>
    <w:p w:rsidR="00E13251" w:rsidRPr="00B740B4" w:rsidRDefault="00E13251" w:rsidP="00661970">
      <w:r w:rsidRPr="00B740B4">
        <w:t xml:space="preserve">(e) Xenophon has a similar story; he adds that the Persians killed the Babylonian king, a riotous, indulgent, </w:t>
      </w:r>
      <w:r w:rsidR="001A496E" w:rsidRPr="00B740B4">
        <w:t>cruel, and godless young man (s</w:t>
      </w:r>
      <w:r w:rsidRPr="00B740B4">
        <w:t xml:space="preserve">ee </w:t>
      </w:r>
      <w:r w:rsidRPr="00B740B4">
        <w:rPr>
          <w:rStyle w:val="i"/>
          <w:color w:val="auto"/>
        </w:rPr>
        <w:t>Cyr</w:t>
      </w:r>
      <w:r w:rsidR="001A496E" w:rsidRPr="00B740B4">
        <w:rPr>
          <w:rStyle w:val="i"/>
          <w:color w:val="auto"/>
        </w:rPr>
        <w:t>opedia</w:t>
      </w:r>
      <w:r w:rsidR="001A496E" w:rsidRPr="00B740B4">
        <w:t xml:space="preserve"> 4–7 on the fall of Babylon</w:t>
      </w:r>
      <w:r w:rsidRPr="00B740B4">
        <w:t>)</w:t>
      </w:r>
      <w:r w:rsidR="001A496E" w:rsidRPr="00B740B4">
        <w:t>.</w:t>
      </w:r>
    </w:p>
    <w:p w:rsidR="00E13251" w:rsidRPr="00B740B4" w:rsidRDefault="00E13251" w:rsidP="00661970">
      <w:r w:rsidRPr="00B740B4">
        <w:t>Of these sources, the Cyrus Cylinder and the Babylonian Chronicle are closest to the events,</w:t>
      </w:r>
      <w:r w:rsidR="001A496E" w:rsidRPr="00B740B4">
        <w:t xml:space="preserve"> but they have their own slant; </w:t>
      </w:r>
      <w:r w:rsidRPr="00B740B4">
        <w:t xml:space="preserve">the former </w:t>
      </w:r>
      <w:r w:rsidR="001A496E" w:rsidRPr="00B740B4">
        <w:t>has been called “a propaganda exercise</w:t>
      </w:r>
      <w:r w:rsidRPr="00B740B4">
        <w:t>.</w:t>
      </w:r>
      <w:r w:rsidR="001A496E" w:rsidRPr="00B740B4">
        <w:t>”</w:t>
      </w:r>
      <w:r w:rsidR="001A496E" w:rsidRPr="00B740B4">
        <w:rPr>
          <w:rStyle w:val="FootnoteReference"/>
        </w:rPr>
        <w:footnoteReference w:id="835"/>
      </w:r>
      <w:r w:rsidRPr="00B740B4">
        <w:t xml:space="preserve"> We can accept their account of Babylon’s falling to Persian troops without a battle in Nabonidus’s absence, Cyrus himself entering the city some days later. Herodotus’s account of the Persian forces gaining access to the city by temporarily diverting the Euphrates is entirely plausible.</w:t>
      </w:r>
      <w:r w:rsidR="001A496E" w:rsidRPr="00B740B4">
        <w:rPr>
          <w:rStyle w:val="FootnoteReference"/>
        </w:rPr>
        <w:footnoteReference w:id="836"/>
      </w:r>
      <w:r w:rsidRPr="00B740B4">
        <w:t xml:space="preserve"> The picture of the city feasting when it was about to fall looks like a popular tale. In form and content, Dan 5 has more in common with the two Greek historians than with the Near Eastern sources, all being “traditional developments of the popular memory of the fall of Babylon</w:t>
      </w:r>
      <w:r w:rsidR="00D55A1F" w:rsidRPr="00B740B4">
        <w:t>.”</w:t>
      </w:r>
      <w:r w:rsidR="00D55A1F" w:rsidRPr="00B740B4">
        <w:rPr>
          <w:rStyle w:val="FootnoteReference"/>
        </w:rPr>
        <w:footnoteReference w:id="837"/>
      </w:r>
    </w:p>
    <w:p w:rsidR="0021382A" w:rsidRPr="00B740B4" w:rsidRDefault="00D55A1F" w:rsidP="0094421A">
      <w:r w:rsidRPr="00B740B4">
        <w:t>Belshazzar’s feast might have taken</w:t>
      </w:r>
      <w:r w:rsidR="00E13251" w:rsidRPr="00B740B4">
        <w:t xml:space="preserve"> p</w:t>
      </w:r>
      <w:r w:rsidR="00E86B1D" w:rsidRPr="00B740B4">
        <w:t xml:space="preserve">lace after he had held out in </w:t>
      </w:r>
      <w:r w:rsidR="005E2AF4">
        <w:t>a</w:t>
      </w:r>
      <w:r w:rsidRPr="00B740B4">
        <w:t xml:space="preserve"> fortified</w:t>
      </w:r>
      <w:r w:rsidR="00E13251" w:rsidRPr="00B740B4">
        <w:t xml:space="preserve"> </w:t>
      </w:r>
      <w:r w:rsidR="005E2AF4">
        <w:t xml:space="preserve">location </w:t>
      </w:r>
      <w:r w:rsidR="00E13251" w:rsidRPr="00B740B4">
        <w:t>when the city</w:t>
      </w:r>
      <w:r w:rsidR="00E86B1D" w:rsidRPr="00B740B4">
        <w:t xml:space="preserve"> had been taken, and he might have been</w:t>
      </w:r>
      <w:r w:rsidR="00E13251" w:rsidRPr="00B740B4">
        <w:t xml:space="preserve"> kill</w:t>
      </w:r>
      <w:r w:rsidR="005E2AF4">
        <w:t>ed there as a result of a night a</w:t>
      </w:r>
      <w:r w:rsidRPr="00B740B4">
        <w:t>ssault</w:t>
      </w:r>
      <w:r w:rsidR="00E86B1D" w:rsidRPr="00B740B4">
        <w:t>.</w:t>
      </w:r>
      <w:r w:rsidRPr="00B740B4">
        <w:rPr>
          <w:rStyle w:val="FootnoteReference"/>
        </w:rPr>
        <w:footnoteReference w:id="838"/>
      </w:r>
      <w:r w:rsidR="00E13251" w:rsidRPr="00B740B4">
        <w:t xml:space="preserve"> It is perhaps more likely that Belshazzar was </w:t>
      </w:r>
      <w:r w:rsidRPr="00B740B4">
        <w:t xml:space="preserve">the </w:t>
      </w:r>
      <w:r w:rsidR="00E13251" w:rsidRPr="00B740B4">
        <w:t>commander of the Babylonian forces at Opis, and was not in Babylon when the city fell.</w:t>
      </w:r>
      <w:r w:rsidRPr="00B740B4">
        <w:rPr>
          <w:rStyle w:val="FootnoteReference"/>
        </w:rPr>
        <w:footnoteReference w:id="839"/>
      </w:r>
      <w:r w:rsidR="00E13251" w:rsidRPr="00B740B4">
        <w:t xml:space="preserve"> However that may be, in Dan 5 there is no suggestion that the empire is about to fall. There is no hint that Belshazzar is holding a bizarre final banquet, aware that the enemy is at the gates; indeed, the portent he receives and his reaction to it presuppose that</w:t>
      </w:r>
      <w:r w:rsidRPr="00B740B4">
        <w:t>, like Nebuchadnezzar in chap.</w:t>
      </w:r>
      <w:r w:rsidR="00E13251" w:rsidRPr="00B740B4">
        <w:t xml:space="preserve"> 4, he has no present reason for anxiety, while the message conveyed by the portent has its force removed if we presuppose that “the writing was on the wall” already. </w:t>
      </w:r>
      <w:r w:rsidR="00782F6D" w:rsidRPr="00B740B4">
        <w:rPr>
          <w:i/>
        </w:rPr>
        <w:t>B. Megillah</w:t>
      </w:r>
      <w:r w:rsidR="00782F6D" w:rsidRPr="00B740B4">
        <w:t xml:space="preserve"> 11b nicely </w:t>
      </w:r>
      <w:r w:rsidR="0021382A" w:rsidRPr="00B740B4">
        <w:t>argues the opposite: Belshazzar</w:t>
      </w:r>
      <w:r w:rsidR="00782F6D" w:rsidRPr="00B740B4">
        <w:t xml:space="preserve"> thought that Jeremiah’s prophecy that the exile would last seventy </w:t>
      </w:r>
      <w:r w:rsidR="00782F6D" w:rsidRPr="00B740B4">
        <w:lastRenderedPageBreak/>
        <w:t>years was not fuilfilled and that therefore he could relax.</w:t>
      </w:r>
      <w:r w:rsidR="0021382A" w:rsidRPr="00B740B4">
        <w:t xml:space="preserve"> On this basis he is deliberately disdaining the God of Israel</w:t>
      </w:r>
      <w:r w:rsidR="0021382A" w:rsidRPr="00B740B4">
        <w:rPr>
          <w:vertAlign w:val="superscript"/>
        </w:rPr>
        <w:t xml:space="preserve"> </w:t>
      </w:r>
      <w:r w:rsidR="00782F6D" w:rsidRPr="00B740B4">
        <w:rPr>
          <w:rStyle w:val="FootnoteReference"/>
        </w:rPr>
        <w:footnoteReference w:id="840"/>
      </w:r>
      <w:r w:rsidR="00782F6D" w:rsidRPr="00B740B4">
        <w:t xml:space="preserve"> </w:t>
      </w:r>
    </w:p>
    <w:p w:rsidR="0094421A" w:rsidRPr="00B740B4" w:rsidRDefault="00E86B1D" w:rsidP="0094421A">
      <w:r w:rsidRPr="00B740B4">
        <w:t xml:space="preserve">Nor is there any </w:t>
      </w:r>
      <w:r w:rsidR="00E13251" w:rsidRPr="00B740B4">
        <w:t>suggestion that Belshazzar was playing games in promoting Daniel to the position of Deputy. The chapter describes an unexpected coup, not a surprise attack or</w:t>
      </w:r>
      <w:r w:rsidR="00D55A1F" w:rsidRPr="00B740B4">
        <w:t xml:space="preserve"> the climax of a siege</w:t>
      </w:r>
      <w:r w:rsidR="0094421A" w:rsidRPr="00B740B4">
        <w:t>—or the judgment of an empire.</w:t>
      </w:r>
      <w:r w:rsidR="00D55A1F" w:rsidRPr="00B740B4">
        <w:rPr>
          <w:rStyle w:val="FootnoteReference"/>
        </w:rPr>
        <w:footnoteReference w:id="841"/>
      </w:r>
      <w:r w:rsidR="0094421A" w:rsidRPr="00B740B4">
        <w:t xml:space="preserve"> It portrays God’s p</w:t>
      </w:r>
      <w:r w:rsidR="005E2AF4">
        <w:t>unishment of one man for his wrongdoing</w:t>
      </w:r>
      <w:r w:rsidR="0094421A" w:rsidRPr="00B740B4">
        <w:t>.The entirety of this man’s humanity is involved in his blasphemy and in his consequent predicament—thoughts, words, and actions.</w:t>
      </w:r>
      <w:r w:rsidR="0094421A" w:rsidRPr="00B740B4">
        <w:rPr>
          <w:vertAlign w:val="superscript"/>
        </w:rPr>
        <w:footnoteReference w:id="842"/>
      </w:r>
      <w:r w:rsidR="0094421A" w:rsidRPr="00B740B4">
        <w:t xml:space="preserve"> </w:t>
      </w:r>
    </w:p>
    <w:p w:rsidR="00600D11" w:rsidRPr="00B740B4" w:rsidRDefault="00E13251" w:rsidP="00661970">
      <w:r w:rsidRPr="00B740B4">
        <w:t>Although the king would normally dine privately, banquets were a regular e</w:t>
      </w:r>
      <w:r w:rsidR="002D10AB" w:rsidRPr="00B740B4">
        <w:t>nough occurrence (cf. Esth 1).</w:t>
      </w:r>
      <w:r w:rsidR="002D10AB" w:rsidRPr="00B740B4">
        <w:rPr>
          <w:rFonts w:eastAsia="Times New Roman"/>
          <w:vertAlign w:val="superscript"/>
        </w:rPr>
        <w:t xml:space="preserve"> </w:t>
      </w:r>
      <w:r w:rsidR="002D10AB" w:rsidRPr="00B740B4">
        <w:rPr>
          <w:vertAlign w:val="superscript"/>
        </w:rPr>
        <w:footnoteReference w:id="843"/>
      </w:r>
      <w:r w:rsidR="002D10AB" w:rsidRPr="00B740B4">
        <w:t xml:space="preserve"> C</w:t>
      </w:r>
      <w:r w:rsidRPr="00B740B4">
        <w:t>ustom varied regarding whether women were invite</w:t>
      </w:r>
      <w:r w:rsidR="00D55A1F" w:rsidRPr="00B740B4">
        <w:t>d (contrast Esth 1 with 1 Esd 1</w:t>
      </w:r>
      <w:r w:rsidR="002D10AB" w:rsidRPr="00B740B4">
        <w:t>);</w:t>
      </w:r>
      <w:r w:rsidRPr="00B740B4">
        <w:t xml:space="preserve"> their presence here is perhaps part of the exoticness of the story</w:t>
      </w:r>
      <w:r w:rsidR="005E2AF4">
        <w:t xml:space="preserve"> for its Jewish listeners</w:t>
      </w:r>
      <w:r w:rsidRPr="00B740B4">
        <w:t xml:space="preserve">. </w:t>
      </w:r>
      <w:r w:rsidR="008A3B7A" w:rsidRPr="00B740B4">
        <w:t xml:space="preserve">There is no </w:t>
      </w:r>
      <w:r w:rsidR="00C4466C" w:rsidRPr="00B740B4">
        <w:t xml:space="preserve">concrete </w:t>
      </w:r>
      <w:r w:rsidR="008A3B7A" w:rsidRPr="00B740B4">
        <w:t>indication that it</w:t>
      </w:r>
      <w:r w:rsidR="005E2AF4">
        <w:t xml:space="preserve"> was a religious occasion</w:t>
      </w:r>
      <w:r w:rsidR="001A71CF">
        <w:t xml:space="preserve"> </w:t>
      </w:r>
      <w:r w:rsidRPr="00B740B4">
        <w:t>(so Xe</w:t>
      </w:r>
      <w:r w:rsidR="00C4466C" w:rsidRPr="00B740B4">
        <w:t>nophon), but it might have been the New Year Festival.</w:t>
      </w:r>
      <w:r w:rsidR="00C4466C" w:rsidRPr="00B740B4">
        <w:rPr>
          <w:vertAlign w:val="superscript"/>
        </w:rPr>
        <w:footnoteReference w:id="844"/>
      </w:r>
      <w:r w:rsidR="00C4466C" w:rsidRPr="00B740B4">
        <w:t xml:space="preserve"> But </w:t>
      </w:r>
      <w:r w:rsidR="002D10AB" w:rsidRPr="00B740B4">
        <w:t>l</w:t>
      </w:r>
      <w:r w:rsidRPr="00B740B4">
        <w:t>ike th</w:t>
      </w:r>
      <w:r w:rsidR="00D55A1F" w:rsidRPr="00B740B4">
        <w:t>e dedication festival in chap.</w:t>
      </w:r>
      <w:r w:rsidRPr="00B740B4">
        <w:t xml:space="preserve"> 3, the banquet is simply </w:t>
      </w:r>
      <w:r w:rsidR="00C4466C" w:rsidRPr="00B740B4">
        <w:t>the background to the story,</w:t>
      </w:r>
      <w:r w:rsidRPr="00B740B4">
        <w:t xml:space="preserve"> the occasion of the revelry and excess that lead to sacrilege and idolatry. The suggestion that it was a festival to celebrate Belshazzar’s taking the throne on the defeat of Nabonidus by Cyrus </w:t>
      </w:r>
      <w:r w:rsidR="001C1705" w:rsidRPr="00B740B4">
        <w:t>seems implausible</w:t>
      </w:r>
      <w:r w:rsidRPr="00B740B4">
        <w:t>.</w:t>
      </w:r>
      <w:r w:rsidR="00D55A1F" w:rsidRPr="00B740B4">
        <w:rPr>
          <w:rStyle w:val="FootnoteReference"/>
        </w:rPr>
        <w:footnoteReference w:id="845"/>
      </w:r>
      <w:r w:rsidR="00C4466C" w:rsidRPr="00B740B4">
        <w:t xml:space="preserve"> I</w:t>
      </w:r>
      <w:r w:rsidR="003429CF" w:rsidRPr="00B740B4">
        <w:t xml:space="preserve">t would </w:t>
      </w:r>
      <w:r w:rsidR="00C4466C" w:rsidRPr="00B740B4">
        <w:t xml:space="preserve">nevertheless </w:t>
      </w:r>
      <w:r w:rsidR="003429CF" w:rsidRPr="00B740B4">
        <w:t xml:space="preserve">be a religious occasion, not simply a </w:t>
      </w:r>
      <w:r w:rsidR="00C4466C" w:rsidRPr="00B740B4">
        <w:t xml:space="preserve">modern-style </w:t>
      </w:r>
      <w:r w:rsidR="003429CF" w:rsidRPr="00B740B4">
        <w:t>“secular” state banquet at which the drinking of libations from sacred vessels was an afterthought or an oddity.</w:t>
      </w:r>
      <w:r w:rsidR="003429CF" w:rsidRPr="00B740B4">
        <w:rPr>
          <w:rStyle w:val="FootnoteReference"/>
        </w:rPr>
        <w:footnoteReference w:id="846"/>
      </w:r>
      <w:r w:rsidR="00C4466C" w:rsidRPr="00B740B4">
        <w:t xml:space="preserve"> </w:t>
      </w:r>
    </w:p>
    <w:p w:rsidR="00125041" w:rsidRPr="00B740B4" w:rsidRDefault="00E13251" w:rsidP="00661970">
      <w:r w:rsidRPr="00B740B4">
        <w:t>Belshazzar’s actual father (v 2) was Nabonidus, who had come to the throne through a coup and did not belong to the royal line. There are two kinds of approach to the description of Belshazzar as Nebu</w:t>
      </w:r>
      <w:r w:rsidR="00C4466C" w:rsidRPr="00B740B4">
        <w:t>chadnezzar</w:t>
      </w:r>
      <w:r w:rsidR="001A71CF">
        <w:t>’s son</w:t>
      </w:r>
      <w:r w:rsidR="001C1705" w:rsidRPr="00B740B4">
        <w:t>.</w:t>
      </w:r>
      <w:r w:rsidR="008C1FF8">
        <w:rPr>
          <w:rStyle w:val="FootnoteReference"/>
        </w:rPr>
        <w:footnoteReference w:id="847"/>
      </w:r>
      <w:r w:rsidR="001C1705" w:rsidRPr="00B740B4">
        <w:t xml:space="preserve"> </w:t>
      </w:r>
      <w:r w:rsidR="00C4466C" w:rsidRPr="00B740B4">
        <w:t>Belshazzar might</w:t>
      </w:r>
      <w:r w:rsidRPr="00B740B4">
        <w:t xml:space="preserve"> be </w:t>
      </w:r>
      <w:r w:rsidR="00C4466C" w:rsidRPr="00B740B4">
        <w:t xml:space="preserve">so </w:t>
      </w:r>
      <w:r w:rsidRPr="00B740B4">
        <w:t>de</w:t>
      </w:r>
      <w:r w:rsidR="00C4466C" w:rsidRPr="00B740B4">
        <w:t xml:space="preserve">scribed because he was Nebuchadnezzar’s </w:t>
      </w:r>
      <w:r w:rsidRPr="00B740B4">
        <w:t>suc</w:t>
      </w:r>
      <w:r w:rsidR="001C1705" w:rsidRPr="00B740B4">
        <w:t>cessor</w:t>
      </w:r>
      <w:r w:rsidR="00C4466C" w:rsidRPr="00B740B4">
        <w:t>, or because he was</w:t>
      </w:r>
      <w:r w:rsidRPr="00B740B4">
        <w:t xml:space="preserve"> his descendant—supposing that Nabonidus had married into Nebuchadnezzar’s line (</w:t>
      </w:r>
      <w:r w:rsidR="001C1705" w:rsidRPr="00B740B4">
        <w:t xml:space="preserve">cf. </w:t>
      </w:r>
      <w:r w:rsidRPr="00B740B4">
        <w:rPr>
          <w:rStyle w:val="sm"/>
          <w:color w:val="auto"/>
        </w:rPr>
        <w:t>niv</w:t>
      </w:r>
      <w:r w:rsidR="001C1705" w:rsidRPr="00B740B4">
        <w:t xml:space="preserve">mg). </w:t>
      </w:r>
      <w:r w:rsidR="00125041" w:rsidRPr="00B740B4">
        <w:t>Herodotus (</w:t>
      </w:r>
      <w:r w:rsidR="00125041" w:rsidRPr="00B740B4">
        <w:rPr>
          <w:i/>
        </w:rPr>
        <w:t xml:space="preserve">Histories </w:t>
      </w:r>
      <w:r w:rsidR="00125041" w:rsidRPr="00B740B4">
        <w:t xml:space="preserve">1.188) makes Nabonidus the son of Nebuchadnezzar (he actually calls both Labynetos) by the otherwise-unknown Nitocris (cf. Megasthenes [Eusebius, </w:t>
      </w:r>
      <w:r w:rsidR="00125041" w:rsidRPr="00B740B4">
        <w:rPr>
          <w:i/>
        </w:rPr>
        <w:t>Praeparatio</w:t>
      </w:r>
      <w:r w:rsidR="00125041" w:rsidRPr="00B740B4">
        <w:t xml:space="preserve"> 9.41.6]). </w:t>
      </w:r>
      <w:r w:rsidR="001C1705" w:rsidRPr="00B740B4">
        <w:t>But there is</w:t>
      </w:r>
      <w:r w:rsidR="00C4466C" w:rsidRPr="00B740B4">
        <w:t xml:space="preserve"> no </w:t>
      </w:r>
      <w:r w:rsidR="00125041" w:rsidRPr="00B740B4">
        <w:t xml:space="preserve">other </w:t>
      </w:r>
      <w:r w:rsidR="001C1705" w:rsidRPr="00B740B4">
        <w:t>evidence o</w:t>
      </w:r>
      <w:r w:rsidR="00C4466C" w:rsidRPr="00B740B4">
        <w:t xml:space="preserve">f such descent, which would </w:t>
      </w:r>
      <w:r w:rsidRPr="00B740B4">
        <w:t xml:space="preserve">be surprising, and such </w:t>
      </w:r>
      <w:r w:rsidR="001C1705" w:rsidRPr="00B740B4">
        <w:t>an indirect relationship may hardly justify</w:t>
      </w:r>
      <w:r w:rsidRPr="00B740B4">
        <w:t xml:space="preserve"> the story’s emphasis on the father-son relationship and on the obligations it placed on Belshazzar. </w:t>
      </w:r>
    </w:p>
    <w:p w:rsidR="00125041" w:rsidRPr="00B740B4" w:rsidRDefault="00E13251" w:rsidP="00661970">
      <w:r w:rsidRPr="00B740B4">
        <w:t>Th</w:t>
      </w:r>
      <w:r w:rsidR="001C1705" w:rsidRPr="00B740B4">
        <w:t xml:space="preserve">e other approach is to </w:t>
      </w:r>
      <w:r w:rsidR="00C4466C" w:rsidRPr="00B740B4">
        <w:t xml:space="preserve">look </w:t>
      </w:r>
      <w:r w:rsidR="00125041" w:rsidRPr="00B740B4">
        <w:t>behind the figures of Nebuchadnezzar or Belshazzar</w:t>
      </w:r>
      <w:r w:rsidRPr="00B740B4">
        <w:t>. If the stor</w:t>
      </w:r>
      <w:r w:rsidR="001C1705" w:rsidRPr="00B740B4">
        <w:t>y in chap. 4 actually relates to</w:t>
      </w:r>
      <w:r w:rsidR="00C4466C" w:rsidRPr="00B740B4">
        <w:t xml:space="preserve"> Nabonidus,</w:t>
      </w:r>
      <w:r w:rsidRPr="00B740B4">
        <w:t xml:space="preserve"> Belshazzar </w:t>
      </w:r>
      <w:r w:rsidRPr="00B740B4">
        <w:rPr>
          <w:rStyle w:val="i"/>
          <w:color w:val="auto"/>
        </w:rPr>
        <w:t>is</w:t>
      </w:r>
      <w:r w:rsidR="00C4466C" w:rsidRPr="00B740B4">
        <w:t xml:space="preserve"> his son. </w:t>
      </w:r>
      <w:r w:rsidR="00125041" w:rsidRPr="00B740B4">
        <w:t xml:space="preserve">Alternatively, </w:t>
      </w:r>
      <w:r w:rsidR="001A71CF">
        <w:t xml:space="preserve">given that </w:t>
      </w:r>
      <w:r w:rsidRPr="00B740B4">
        <w:t xml:space="preserve">Nebuchadnezzar’s actual </w:t>
      </w:r>
      <w:r w:rsidR="001C1705" w:rsidRPr="00B740B4">
        <w:t xml:space="preserve">son and successor </w:t>
      </w:r>
      <w:r w:rsidR="001A71CF" w:rsidRPr="001A71CF">
        <w:rPr>
          <w:iCs/>
        </w:rPr>
        <w:t xml:space="preserve">Amel-Marduk </w:t>
      </w:r>
      <w:r w:rsidR="001A71CF">
        <w:rPr>
          <w:iCs/>
        </w:rPr>
        <w:t xml:space="preserve"> (</w:t>
      </w:r>
      <w:r w:rsidR="001C1705" w:rsidRPr="00B740B4">
        <w:rPr>
          <w:iCs/>
        </w:rPr>
        <w:t>Ewil-merodak)</w:t>
      </w:r>
      <w:r w:rsidR="00125041" w:rsidRPr="00B740B4">
        <w:rPr>
          <w:iCs/>
        </w:rPr>
        <w:t xml:space="preserve"> did come to a violent e</w:t>
      </w:r>
      <w:r w:rsidR="001A71CF">
        <w:rPr>
          <w:iCs/>
        </w:rPr>
        <w:t>nd like Belshazzar</w:t>
      </w:r>
      <w:r w:rsidR="001C1705" w:rsidRPr="00B740B4">
        <w:rPr>
          <w:iCs/>
        </w:rPr>
        <w:t>,</w:t>
      </w:r>
      <w:r w:rsidR="001C1705" w:rsidRPr="00B740B4">
        <w:t xml:space="preserve"> </w:t>
      </w:r>
      <w:r w:rsidRPr="00B740B4">
        <w:t>many commentators</w:t>
      </w:r>
      <w:r w:rsidR="00125041" w:rsidRPr="00B740B4">
        <w:t xml:space="preserve"> identified Belshazzar with him</w:t>
      </w:r>
      <w:r w:rsidR="001C1705" w:rsidRPr="00B740B4">
        <w:rPr>
          <w:rStyle w:val="FootnoteReference"/>
        </w:rPr>
        <w:footnoteReference w:id="848"/>
      </w:r>
      <w:r w:rsidR="00125041" w:rsidRPr="00B740B4">
        <w:t xml:space="preserve"> before Belshazzar’s</w:t>
      </w:r>
      <w:r w:rsidRPr="00B740B4">
        <w:t xml:space="preserve"> identity and position </w:t>
      </w:r>
      <w:r w:rsidR="00125041" w:rsidRPr="00B740B4">
        <w:t xml:space="preserve">as Nabonidus’s son </w:t>
      </w:r>
      <w:r w:rsidRPr="00B740B4">
        <w:t xml:space="preserve">became clear from cuneiform texts. </w:t>
      </w:r>
    </w:p>
    <w:p w:rsidR="00E13251" w:rsidRPr="00B740B4" w:rsidRDefault="0094421A" w:rsidP="00661970">
      <w:r w:rsidRPr="00B740B4">
        <w:t>Which ever kind of approach is right, th</w:t>
      </w:r>
      <w:r w:rsidR="00E13251" w:rsidRPr="00B740B4">
        <w:t>e two chief points in neo-Babylonian history are the empire’s rise under Nebuchadnezzar and its fall under Nabonidus/Belshazzar, so that “Nebuchadnezzar the father of Belshazzar” summarizes and reflects</w:t>
      </w:r>
      <w:r w:rsidRPr="00B740B4">
        <w:t xml:space="preserve"> the general historical framework of</w:t>
      </w:r>
      <w:r w:rsidR="00E13251" w:rsidRPr="00B740B4">
        <w:t xml:space="preserve"> the period.</w:t>
      </w:r>
      <w:r w:rsidR="001C1705" w:rsidRPr="00B740B4">
        <w:rPr>
          <w:rStyle w:val="FootnoteReference"/>
        </w:rPr>
        <w:footnoteReference w:id="849"/>
      </w:r>
    </w:p>
    <w:p w:rsidR="00E13251" w:rsidRPr="00B740B4" w:rsidRDefault="00E13251" w:rsidP="00661970">
      <w:r w:rsidRPr="00B740B4">
        <w:rPr>
          <w:rStyle w:val="b"/>
          <w:color w:val="auto"/>
        </w:rPr>
        <w:lastRenderedPageBreak/>
        <w:t>5–9</w:t>
      </w:r>
      <w:r w:rsidRPr="00B740B4">
        <w:t xml:space="preserve"> On the palace, see on 1:3–4; 4:</w:t>
      </w:r>
      <w:r w:rsidR="000D0E9A" w:rsidRPr="00B740B4">
        <w:t>29-30 [26–27</w:t>
      </w:r>
      <w:r w:rsidRPr="00B740B4">
        <w:t>]. It incl</w:t>
      </w:r>
      <w:r w:rsidR="000D0E9A" w:rsidRPr="00B740B4">
        <w:t>uded a plastered throne room 150 feet by 50 feet</w:t>
      </w:r>
      <w:r w:rsidRPr="00B740B4">
        <w:t xml:space="preserve"> (though one thousand guests there would find themselve</w:t>
      </w:r>
      <w:r w:rsidR="000D0E9A" w:rsidRPr="00B740B4">
        <w:t xml:space="preserve">s crowded). </w:t>
      </w:r>
      <w:r w:rsidR="0094421A" w:rsidRPr="00B740B4">
        <w:t xml:space="preserve">The candelabra made the </w:t>
      </w:r>
      <w:r w:rsidR="0085290E" w:rsidRPr="00B740B4">
        <w:t>writing clearly visible at least to the king; a</w:t>
      </w:r>
      <w:r w:rsidR="000D0E9A" w:rsidRPr="00B740B4">
        <w:t>lthough we are</w:t>
      </w:r>
      <w:r w:rsidRPr="00B740B4">
        <w:t xml:space="preserve"> told </w:t>
      </w:r>
      <w:r w:rsidR="000D0E9A" w:rsidRPr="00B740B4">
        <w:t xml:space="preserve">only </w:t>
      </w:r>
      <w:r w:rsidRPr="00B740B4">
        <w:t>of the king’s reaction to the portent (v 6), this need not suggest that</w:t>
      </w:r>
      <w:r w:rsidR="0094421A" w:rsidRPr="00B740B4">
        <w:t xml:space="preserve"> only he saw it. The story implies</w:t>
      </w:r>
      <w:r w:rsidRPr="00B740B4">
        <w:t xml:space="preserve"> that somethin</w:t>
      </w:r>
      <w:r w:rsidR="001A71CF">
        <w:t>g</w:t>
      </w:r>
      <w:r w:rsidRPr="00B740B4">
        <w:t xml:space="preserve"> happened, not that the king in his drunkenness placed a supranatural construction on something natural.</w:t>
      </w:r>
      <w:r w:rsidR="000D0E9A" w:rsidRPr="00B740B4">
        <w:rPr>
          <w:rStyle w:val="FootnoteReference"/>
        </w:rPr>
        <w:footnoteReference w:id="850"/>
      </w:r>
      <w:r w:rsidR="00C24D27" w:rsidRPr="00B740B4">
        <w:t xml:space="preserve"> There is perhaps</w:t>
      </w:r>
      <w:r w:rsidRPr="00B740B4">
        <w:t xml:space="preserve"> </w:t>
      </w:r>
      <w:r w:rsidR="001A71CF">
        <w:t>some</w:t>
      </w:r>
      <w:r w:rsidR="00A8642C" w:rsidRPr="00B740B4">
        <w:t xml:space="preserve"> </w:t>
      </w:r>
      <w:r w:rsidR="001A71CF">
        <w:t>humor in</w:t>
      </w:r>
      <w:r w:rsidRPr="00B740B4">
        <w:t xml:space="preserve"> the description of Belshazzar’s reaction to the portent</w:t>
      </w:r>
      <w:r w:rsidR="00C24D27" w:rsidRPr="00B740B4">
        <w:t>, if it refers to his loosing control of his bodily functions,</w:t>
      </w:r>
      <w:r w:rsidR="00C24D27" w:rsidRPr="00B740B4">
        <w:rPr>
          <w:rStyle w:val="FootnoteReference"/>
        </w:rPr>
        <w:footnoteReference w:id="851"/>
      </w:r>
      <w:r w:rsidR="00C24D27" w:rsidRPr="00B740B4">
        <w:t xml:space="preserve"> but i</w:t>
      </w:r>
      <w:r w:rsidRPr="00B740B4">
        <w:t>t is a deadly serious comprehensive description of the physical manifestations of terror,</w:t>
      </w:r>
      <w:r w:rsidR="000D0E9A" w:rsidRPr="00B740B4">
        <w:rPr>
          <w:rStyle w:val="FootnoteReference"/>
        </w:rPr>
        <w:footnoteReference w:id="852"/>
      </w:r>
      <w:r w:rsidRPr="00B740B4">
        <w:t xml:space="preserve"> the appropriate response to the prospect of d</w:t>
      </w:r>
      <w:r w:rsidR="001E1D41" w:rsidRPr="00B740B4">
        <w:t>ivine judgment (</w:t>
      </w:r>
      <w:r w:rsidR="0094421A" w:rsidRPr="00B740B4">
        <w:t xml:space="preserve">cf. </w:t>
      </w:r>
      <w:r w:rsidR="001E1D41" w:rsidRPr="00B740B4">
        <w:t xml:space="preserve">Isa 21:3; </w:t>
      </w:r>
      <w:r w:rsidR="001A71CF">
        <w:t>45:1, both relating</w:t>
      </w:r>
      <w:r w:rsidR="001E1D41" w:rsidRPr="00B740B4">
        <w:t xml:space="preserve"> to the fall of Babylon</w:t>
      </w:r>
      <w:r w:rsidRPr="00B740B4">
        <w:t>;</w:t>
      </w:r>
      <w:r w:rsidR="001E1D41" w:rsidRPr="00B740B4">
        <w:t xml:space="preserve"> Ezek 21:6–7; Nah 2:10; Ps 69:23 [24</w:t>
      </w:r>
      <w:r w:rsidRPr="00B740B4">
        <w:t xml:space="preserve">]). </w:t>
      </w:r>
      <w:r w:rsidR="00A8642C" w:rsidRPr="00B740B4">
        <w:t>“Theater of the absurd? Perhaps, but with a deadly serious subplot.”</w:t>
      </w:r>
      <w:r w:rsidR="00A8642C" w:rsidRPr="00B740B4">
        <w:rPr>
          <w:rStyle w:val="FootnoteReference"/>
        </w:rPr>
        <w:footnoteReference w:id="853"/>
      </w:r>
      <w:r w:rsidR="00A8642C" w:rsidRPr="00B740B4">
        <w:t xml:space="preserve"> </w:t>
      </w:r>
      <w:r w:rsidRPr="00B740B4">
        <w:t>To wear purple and a gold chain, and to be given a position of authority close to that of the king himself (v 7), are typical expressions of honor from a king (Gen 41:42–43; Esth 8:15; 10:3; 1 Esd 3:6–7; 1 Macc 10:20; 14:43).</w:t>
      </w:r>
    </w:p>
    <w:p w:rsidR="00E13251" w:rsidRPr="00B740B4" w:rsidRDefault="00E13251" w:rsidP="00661970">
      <w:r w:rsidRPr="00B740B4">
        <w:t xml:space="preserve">It is not specified what made the words unreadable as well as unintelligible (v 8). There is no suggestion that they were in code or </w:t>
      </w:r>
      <w:r w:rsidR="001A71CF">
        <w:t xml:space="preserve">were </w:t>
      </w:r>
      <w:r w:rsidRPr="00B740B4">
        <w:t xml:space="preserve">written in an odd way (against </w:t>
      </w:r>
      <w:r w:rsidRPr="00B740B4">
        <w:rPr>
          <w:rStyle w:val="i"/>
          <w:color w:val="auto"/>
        </w:rPr>
        <w:t>b. Sanhedrin</w:t>
      </w:r>
      <w:r w:rsidRPr="00B740B4">
        <w:t xml:space="preserve"> 22a). Perhaps they were difficult because of their use of ideogram</w:t>
      </w:r>
      <w:r w:rsidR="001E1D41" w:rsidRPr="00B740B4">
        <w:t>s or their peculiar cuneiform. T</w:t>
      </w:r>
      <w:r w:rsidRPr="00B740B4">
        <w:t xml:space="preserve">he story might reflect the existence of </w:t>
      </w:r>
      <w:r w:rsidRPr="00B740B4">
        <w:rPr>
          <w:rStyle w:val="i"/>
          <w:color w:val="auto"/>
        </w:rPr>
        <w:t>OP</w:t>
      </w:r>
      <w:r w:rsidRPr="00B740B4">
        <w:t xml:space="preserve"> cuneiform, used less than Akkadian or Aramaic but fa</w:t>
      </w:r>
      <w:r w:rsidR="001E1D41" w:rsidRPr="00B740B4">
        <w:t>vored—and invented?—by Darius I</w:t>
      </w:r>
      <w:r w:rsidRPr="00B740B4">
        <w:t>.</w:t>
      </w:r>
      <w:r w:rsidR="001E1D41" w:rsidRPr="00B740B4">
        <w:rPr>
          <w:rStyle w:val="FootnoteReference"/>
        </w:rPr>
        <w:footnoteReference w:id="854"/>
      </w:r>
      <w:r w:rsidRPr="00B740B4">
        <w:t xml:space="preserve"> Weights could be abbreviated, as in English, and perhaps the inscription consisted in a series of abbreviations that were not immediately </w:t>
      </w:r>
      <w:r w:rsidR="0094421A" w:rsidRPr="00B740B4">
        <w:t>recognizable as such</w:t>
      </w:r>
      <w:r w:rsidR="001E1D41" w:rsidRPr="00B740B4">
        <w:t>.</w:t>
      </w:r>
      <w:r w:rsidR="001E1D41" w:rsidRPr="00B740B4">
        <w:rPr>
          <w:rStyle w:val="FootnoteReference"/>
        </w:rPr>
        <w:footnoteReference w:id="855"/>
      </w:r>
      <w:r w:rsidR="001E1D41" w:rsidRPr="00B740B4">
        <w:t xml:space="preserve"> </w:t>
      </w:r>
      <w:r w:rsidR="008E0249">
        <w:t>Perhaps they were written in digits not words.</w:t>
      </w:r>
      <w:r w:rsidR="008E0249">
        <w:rPr>
          <w:rStyle w:val="FootnoteReference"/>
        </w:rPr>
        <w:footnoteReference w:id="856"/>
      </w:r>
      <w:r w:rsidR="008E0249">
        <w:t xml:space="preserve"> </w:t>
      </w:r>
      <w:r w:rsidRPr="00B740B4">
        <w:t>But most strai</w:t>
      </w:r>
      <w:r w:rsidR="001E1D41" w:rsidRPr="00B740B4">
        <w:t>ghtforwa</w:t>
      </w:r>
      <w:r w:rsidR="0094421A" w:rsidRPr="00B740B4">
        <w:t>rdly the story implies that the words</w:t>
      </w:r>
      <w:r w:rsidR="001E1D41" w:rsidRPr="00B740B4">
        <w:t xml:space="preserve"> were</w:t>
      </w:r>
      <w:r w:rsidRPr="00B740B4">
        <w:t xml:space="preserve"> written as unpointed consona</w:t>
      </w:r>
      <w:r w:rsidR="001E1D41" w:rsidRPr="00B740B4">
        <w:t>nts. B</w:t>
      </w:r>
      <w:r w:rsidRPr="00B740B4">
        <w:t>eing able to read out unpointed text is partly dependent o</w:t>
      </w:r>
      <w:r w:rsidR="001A71CF">
        <w:t xml:space="preserve">n </w:t>
      </w:r>
      <w:r w:rsidR="001E1D41" w:rsidRPr="00B740B4">
        <w:t>understanding it.</w:t>
      </w:r>
      <w:r w:rsidRPr="00B740B4">
        <w:t xml:space="preserve"> </w:t>
      </w:r>
      <w:r w:rsidR="0094421A" w:rsidRPr="00B740B4">
        <w:t xml:space="preserve">In actuality, </w:t>
      </w:r>
      <w:r w:rsidRPr="00B740B4">
        <w:t xml:space="preserve">Daniel later reads the words out one way and interprets them </w:t>
      </w:r>
      <w:r w:rsidR="00EF7FB6">
        <w:t xml:space="preserve">in </w:t>
      </w:r>
      <w:r w:rsidRPr="00B740B4">
        <w:t>another.</w:t>
      </w:r>
    </w:p>
    <w:p w:rsidR="00551892" w:rsidRPr="00B740B4" w:rsidRDefault="00E13251" w:rsidP="00551892">
      <w:r w:rsidRPr="00B740B4">
        <w:rPr>
          <w:rStyle w:val="b"/>
          <w:color w:val="auto"/>
        </w:rPr>
        <w:t>10–16</w:t>
      </w:r>
      <w:r w:rsidR="00551892" w:rsidRPr="00B740B4">
        <w:t xml:space="preserve"> “Queen” </w:t>
      </w:r>
      <w:r w:rsidRPr="00B740B4">
        <w:t>suggests not a mere consort (see v 2) but a political figure, presumably the queen mother</w:t>
      </w:r>
      <w:r w:rsidR="00AB233A" w:rsidRPr="00B740B4">
        <w:t xml:space="preserve">, often a significant </w:t>
      </w:r>
      <w:r w:rsidR="00551892" w:rsidRPr="00B740B4">
        <w:t>person</w:t>
      </w:r>
      <w:r w:rsidRPr="00B740B4">
        <w:t xml:space="preserve"> in </w:t>
      </w:r>
      <w:r w:rsidR="00551892" w:rsidRPr="00B740B4">
        <w:t>an ancient court; i</w:t>
      </w:r>
      <w:r w:rsidR="00AB233A" w:rsidRPr="00B740B4">
        <w:t>n the OT, see</w:t>
      </w:r>
      <w:r w:rsidRPr="00B740B4">
        <w:t xml:space="preserve"> 1 Kgs 15:13; 2</w:t>
      </w:r>
      <w:r w:rsidR="00551892" w:rsidRPr="00B740B4">
        <w:t xml:space="preserve"> Kgs 11:1–3; 24:12; Jer 13:18. A</w:t>
      </w:r>
      <w:r w:rsidRPr="00B740B4">
        <w:t>s “senior counsellor to king and people,” she could “provide a stabilizing, moderating influence in the political sys</w:t>
      </w:r>
      <w:r w:rsidR="00EF7FB6">
        <w:t>tem” and “</w:t>
      </w:r>
      <w:r w:rsidRPr="00B740B4">
        <w:t>circumscribe roya</w:t>
      </w:r>
      <w:r w:rsidR="00EF7FB6">
        <w:t>l power to some extent and…</w:t>
      </w:r>
      <w:r w:rsidRPr="00B740B4">
        <w:t xml:space="preserve"> represent the interests of </w:t>
      </w:r>
      <w:r w:rsidR="00AB233A" w:rsidRPr="00B740B4">
        <w:t>people or court before the king</w:t>
      </w:r>
      <w:r w:rsidRPr="00B740B4">
        <w:t>.</w:t>
      </w:r>
      <w:r w:rsidR="00AB233A" w:rsidRPr="00B740B4">
        <w:t>”</w:t>
      </w:r>
      <w:r w:rsidR="00AB233A" w:rsidRPr="00B740B4">
        <w:rPr>
          <w:rStyle w:val="FootnoteReference"/>
        </w:rPr>
        <w:footnoteReference w:id="857"/>
      </w:r>
      <w:r w:rsidR="00EF7FB6">
        <w:t xml:space="preserve"> She</w:t>
      </w:r>
      <w:r w:rsidRPr="00B740B4">
        <w:t xml:space="preserve"> could take the initiative in coming into the king’s presence, unlik</w:t>
      </w:r>
      <w:r w:rsidR="00551892" w:rsidRPr="00B740B4">
        <w:t>e his consort (Esth 4:11). But “her unbidden entry” and “defiance of convention reinforces the picture of Belshazzar’s insecurity.”</w:t>
      </w:r>
      <w:r w:rsidR="00551892" w:rsidRPr="00B740B4">
        <w:rPr>
          <w:vertAlign w:val="superscript"/>
        </w:rPr>
        <w:t xml:space="preserve"> </w:t>
      </w:r>
      <w:r w:rsidR="00551892" w:rsidRPr="00B740B4">
        <w:rPr>
          <w:vertAlign w:val="superscript"/>
        </w:rPr>
        <w:footnoteReference w:id="858"/>
      </w:r>
    </w:p>
    <w:p w:rsidR="00551892" w:rsidRPr="00B740B4" w:rsidRDefault="00551892" w:rsidP="00661970">
      <w:r w:rsidRPr="00B740B4">
        <w:t>The q</w:t>
      </w:r>
      <w:r w:rsidR="00E13251" w:rsidRPr="00B740B4">
        <w:t>ueen’s identity is uncertain. Nabonidus’s mother, Adadguppi, apparently lived through Nebuchadnezzar’s reign, and would thus have been in a position to a</w:t>
      </w:r>
      <w:r w:rsidRPr="00B740B4">
        <w:t>ddress Belshazzar as the q</w:t>
      </w:r>
      <w:r w:rsidR="00E13251" w:rsidRPr="00B740B4">
        <w:t xml:space="preserve">ueen does here, were it not for the fact that she died in 547 </w:t>
      </w:r>
      <w:r w:rsidR="00AB233A" w:rsidRPr="00B740B4">
        <w:rPr>
          <w:rStyle w:val="sm"/>
          <w:color w:val="auto"/>
        </w:rPr>
        <w:t>b</w:t>
      </w:r>
      <w:r w:rsidR="00EF7FB6">
        <w:rPr>
          <w:rStyle w:val="sm"/>
          <w:color w:val="auto"/>
        </w:rPr>
        <w:t>c</w:t>
      </w:r>
      <w:r w:rsidR="00E13251" w:rsidRPr="00B740B4">
        <w:t xml:space="preserve"> (see </w:t>
      </w:r>
      <w:r w:rsidR="00E13251" w:rsidRPr="00B740B4">
        <w:rPr>
          <w:rStyle w:val="i"/>
          <w:color w:val="auto"/>
        </w:rPr>
        <w:t>ANET</w:t>
      </w:r>
      <w:r w:rsidR="00624BEB">
        <w:rPr>
          <w:rStyle w:val="i"/>
          <w:i w:val="0"/>
          <w:color w:val="auto"/>
        </w:rPr>
        <w:t>,</w:t>
      </w:r>
      <w:r w:rsidR="00E13251" w:rsidRPr="00B740B4">
        <w:t xml:space="preserve"> 306, 560–62). Herodotus (</w:t>
      </w:r>
      <w:r w:rsidR="00AB233A" w:rsidRPr="00B740B4">
        <w:rPr>
          <w:i/>
        </w:rPr>
        <w:t xml:space="preserve">Histories </w:t>
      </w:r>
      <w:r w:rsidR="00E13251" w:rsidRPr="00B740B4">
        <w:t>1</w:t>
      </w:r>
      <w:r w:rsidR="00AB233A" w:rsidRPr="00B740B4">
        <w:t>.185–88) talks at some length about</w:t>
      </w:r>
      <w:r w:rsidR="00E13251" w:rsidRPr="00B740B4">
        <w:t xml:space="preserve"> the role in Babylon of Queen Nitocris, who he says was </w:t>
      </w:r>
      <w:r w:rsidR="00E13251" w:rsidRPr="00B740B4">
        <w:lastRenderedPageBreak/>
        <w:t>Nebuchadnezzar’s wife. The difficulty with this statement is that Nitocris was actively anti-Median, whereas Nebuchadnezzar was pro-Median</w:t>
      </w:r>
      <w:r w:rsidRPr="00B740B4">
        <w:t xml:space="preserve"> and had a Median wife (see 4:29-30 [26–27</w:t>
      </w:r>
      <w:r w:rsidR="00E13251" w:rsidRPr="00B740B4">
        <w:t xml:space="preserve">] </w:t>
      </w:r>
      <w:r w:rsidR="00E13251" w:rsidRPr="00B740B4">
        <w:rPr>
          <w:i/>
        </w:rPr>
        <w:t>Comment</w:t>
      </w:r>
      <w:r w:rsidR="00AB233A" w:rsidRPr="00B740B4">
        <w:t>).</w:t>
      </w:r>
      <w:r w:rsidR="00AB233A" w:rsidRPr="00B740B4">
        <w:rPr>
          <w:rStyle w:val="FootnoteReference"/>
        </w:rPr>
        <w:footnoteReference w:id="859"/>
      </w:r>
      <w:r w:rsidRPr="00B740B4">
        <w:t xml:space="preserve"> </w:t>
      </w:r>
    </w:p>
    <w:p w:rsidR="005A6ED3" w:rsidRPr="00B740B4" w:rsidRDefault="00E13251" w:rsidP="00661970">
      <w:r w:rsidRPr="00B740B4">
        <w:t>The skills attributed to Daniel (vv 11–12) relate directly to the interpretation of a portent.</w:t>
      </w:r>
      <w:r w:rsidR="00801F03" w:rsidRPr="00B740B4">
        <w:rPr>
          <w:rStyle w:val="FootnoteReference"/>
        </w:rPr>
        <w:footnoteReference w:id="860"/>
      </w:r>
      <w:r w:rsidRPr="00B740B4">
        <w:t xml:space="preserve"> “Insight” (</w:t>
      </w:r>
      <w:r w:rsidRPr="00B740B4">
        <w:rPr>
          <w:rStyle w:val="heb"/>
          <w:rFonts w:ascii="Arial" w:hAnsi="Arial" w:cs="Arial"/>
          <w:color w:val="auto"/>
        </w:rPr>
        <w:t>נהירו</w:t>
      </w:r>
      <w:r w:rsidRPr="00B740B4">
        <w:t xml:space="preserve">) suggests illumination from God, </w:t>
      </w:r>
      <w:r w:rsidR="007F2E36" w:rsidRPr="00B740B4">
        <w:t xml:space="preserve">who is </w:t>
      </w:r>
      <w:r w:rsidRPr="00B740B4">
        <w:t>the source of light (2:22). “Ability” (</w:t>
      </w:r>
      <w:r w:rsidRPr="00B740B4">
        <w:rPr>
          <w:rStyle w:val="heb"/>
          <w:rFonts w:ascii="Arial" w:hAnsi="Arial" w:cs="Arial"/>
          <w:color w:val="auto"/>
        </w:rPr>
        <w:t>שכלתנו</w:t>
      </w:r>
      <w:r w:rsidRPr="00B740B4">
        <w:t>) indicates that Daniel not only possesses intellect or talent; he knows how to use it, by God’s g</w:t>
      </w:r>
      <w:r w:rsidR="00801F03" w:rsidRPr="00B740B4">
        <w:t>ift (according to 1:17). “Expertise</w:t>
      </w:r>
      <w:r w:rsidRPr="00B740B4">
        <w:t>” (</w:t>
      </w:r>
      <w:r w:rsidRPr="00B740B4">
        <w:rPr>
          <w:rStyle w:val="heb"/>
          <w:rFonts w:ascii="Arial" w:hAnsi="Arial" w:cs="Arial"/>
          <w:color w:val="auto"/>
        </w:rPr>
        <w:t>חכמה</w:t>
      </w:r>
      <w:r w:rsidRPr="00B740B4">
        <w:t>) denotes in Daniel the supernatural intuition of an interpreter</w:t>
      </w:r>
      <w:r w:rsidR="00801F03" w:rsidRPr="00B740B4">
        <w:t xml:space="preserve"> of dreams or omens, that expertise</w:t>
      </w:r>
      <w:r w:rsidRPr="00B740B4">
        <w:t xml:space="preserve"> which also belongs supremely to God (2:20) and which as his gift makes Daniel outstanding among </w:t>
      </w:r>
      <w:r w:rsidR="00081BE6" w:rsidRPr="00B740B4">
        <w:t>expert</w:t>
      </w:r>
      <w:r w:rsidRPr="00B740B4">
        <w:t>s (1:17; 2:21, 23). “Knowledge” (</w:t>
      </w:r>
      <w:r w:rsidRPr="00B740B4">
        <w:rPr>
          <w:rStyle w:val="heb"/>
          <w:rFonts w:ascii="Arial" w:hAnsi="Arial" w:cs="Arial"/>
          <w:color w:val="auto"/>
        </w:rPr>
        <w:t>מנדע</w:t>
      </w:r>
      <w:r w:rsidRPr="00B740B4">
        <w:t xml:space="preserve">) </w:t>
      </w:r>
      <w:r w:rsidR="007F2E36" w:rsidRPr="00B740B4">
        <w:t xml:space="preserve">here </w:t>
      </w:r>
      <w:r w:rsidRPr="00B740B4">
        <w:t xml:space="preserve">likewise denotes </w:t>
      </w:r>
      <w:r w:rsidR="00EF7FB6">
        <w:t>an interpreter’s</w:t>
      </w:r>
      <w:r w:rsidRPr="00B740B4">
        <w:t xml:space="preserve"> God-given supernatu</w:t>
      </w:r>
      <w:r w:rsidR="00EF7FB6">
        <w:t xml:space="preserve">ral knowledge </w:t>
      </w:r>
      <w:r w:rsidRPr="00B740B4">
        <w:t xml:space="preserve">(1:17; 2:21). The reference to “the spirit of holy deity”/“a </w:t>
      </w:r>
      <w:r w:rsidR="00801F03" w:rsidRPr="00B740B4">
        <w:t>remarkable spirit” (see on 4:</w:t>
      </w:r>
      <w:r w:rsidRPr="00B740B4">
        <w:t>8</w:t>
      </w:r>
      <w:r w:rsidR="00801F03" w:rsidRPr="00B740B4">
        <w:t xml:space="preserve"> [5</w:t>
      </w:r>
      <w:r w:rsidRPr="00B740B4">
        <w:t xml:space="preserve">]) underlines the implication that Daniel’s extraordinary ability </w:t>
      </w:r>
      <w:r w:rsidR="00B64461" w:rsidRPr="00B740B4">
        <w:t>and his “keen mind”</w:t>
      </w:r>
      <w:r w:rsidR="00B64461" w:rsidRPr="00B740B4">
        <w:rPr>
          <w:rStyle w:val="FootnoteReference"/>
        </w:rPr>
        <w:footnoteReference w:id="861"/>
      </w:r>
      <w:r w:rsidR="00B64461" w:rsidRPr="00B740B4">
        <w:t xml:space="preserve"> </w:t>
      </w:r>
      <w:r w:rsidRPr="00B740B4">
        <w:t>comes from God. The outworking of his gifts develops these points. Regarding “interpreting” (by magical means or by supernatural revelation) (</w:t>
      </w:r>
      <w:r w:rsidRPr="00B740B4">
        <w:rPr>
          <w:rStyle w:val="heb"/>
          <w:rFonts w:ascii="Arial" w:hAnsi="Arial" w:cs="Arial"/>
          <w:color w:val="auto"/>
        </w:rPr>
        <w:t>פשר</w:t>
      </w:r>
      <w:r w:rsidRPr="00B740B4">
        <w:t xml:space="preserve">), see n. 2:4.c on the cognate noun. “Dreams” were the specific area </w:t>
      </w:r>
      <w:r w:rsidR="00801F03" w:rsidRPr="00B740B4">
        <w:t>of Daniel’s expertise in chap. 4, to which chap.</w:t>
      </w:r>
      <w:r w:rsidRPr="00B740B4">
        <w:t xml:space="preserve"> 5 refers back, while an enigmatic puzzle is</w:t>
      </w:r>
      <w:r w:rsidR="00801F03" w:rsidRPr="00B740B4">
        <w:t xml:space="preserve"> the specific concern of chap. 5 itself</w:t>
      </w:r>
      <w:r w:rsidRPr="00B740B4">
        <w:t>.</w:t>
      </w:r>
      <w:r w:rsidR="00801F03" w:rsidRPr="00B740B4">
        <w:rPr>
          <w:rStyle w:val="FootnoteReference"/>
        </w:rPr>
        <w:footnoteReference w:id="862"/>
      </w:r>
      <w:r w:rsidRPr="00B740B4">
        <w:t xml:space="preserve"> “Puzzles” (</w:t>
      </w:r>
      <w:r w:rsidRPr="00B740B4">
        <w:rPr>
          <w:rStyle w:val="heb"/>
          <w:rFonts w:ascii="Arial" w:hAnsi="Arial" w:cs="Arial"/>
          <w:color w:val="auto"/>
        </w:rPr>
        <w:t>אחידן</w:t>
      </w:r>
      <w:r w:rsidRPr="00B740B4">
        <w:t xml:space="preserve">) are, with dreams and visions, one of the somewhat opaque forms that supernatural revelation can take (cf. Num 12:6–8; </w:t>
      </w:r>
      <w:r w:rsidR="00F60A29">
        <w:t xml:space="preserve">Sirach </w:t>
      </w:r>
      <w:r w:rsidRPr="00B740B4">
        <w:t>39:1–4).</w:t>
      </w:r>
      <w:r w:rsidR="001E2B7E" w:rsidRPr="00B740B4">
        <w:rPr>
          <w:rStyle w:val="FootnoteReference"/>
        </w:rPr>
        <w:footnoteReference w:id="863"/>
      </w:r>
      <w:r w:rsidRPr="00B740B4">
        <w:t xml:space="preserve"> The Hebrew equivalent also refers to “allegory” (Ezek 17:2) and other expressions of verbal play and expertise. “Enigmas” (</w:t>
      </w:r>
      <w:r w:rsidRPr="00B740B4">
        <w:rPr>
          <w:rStyle w:val="heb"/>
          <w:rFonts w:ascii="Arial" w:hAnsi="Arial" w:cs="Arial"/>
          <w:color w:val="auto"/>
        </w:rPr>
        <w:t>קטרין</w:t>
      </w:r>
      <w:r w:rsidRPr="00B740B4">
        <w:t xml:space="preserve">, literally “knots”) are </w:t>
      </w:r>
      <w:r w:rsidR="00EF7FB6">
        <w:t>complicated, knotty mysteries</w:t>
      </w:r>
      <w:r w:rsidRPr="00B740B4">
        <w:t xml:space="preserve"> such as the writing on the wall, which require extraordinary insight to unravel. </w:t>
      </w:r>
      <w:r w:rsidR="005A6ED3" w:rsidRPr="00B740B4">
        <w:t>Bels</w:t>
      </w:r>
      <w:r w:rsidR="00EF7FB6">
        <w:t xml:space="preserve">hazzar desires that the experts “spell out” the </w:t>
      </w:r>
      <w:r w:rsidR="007F2E36" w:rsidRPr="00B740B4">
        <w:t>handwrit</w:t>
      </w:r>
      <w:r w:rsidR="00EF7FB6">
        <w:t xml:space="preserve">ing </w:t>
      </w:r>
      <w:r w:rsidR="005A6ED3" w:rsidRPr="00B740B4">
        <w:t>so that his “charmed” exi</w:t>
      </w:r>
      <w:r w:rsidR="00EF7FB6">
        <w:t>stence may</w:t>
      </w:r>
      <w:r w:rsidR="007F2E36" w:rsidRPr="00B740B4">
        <w:t xml:space="preserve"> continue unharmed.</w:t>
      </w:r>
      <w:r w:rsidR="005A6ED3" w:rsidRPr="00B740B4">
        <w:rPr>
          <w:rStyle w:val="FootnoteReference"/>
        </w:rPr>
        <w:footnoteReference w:id="864"/>
      </w:r>
    </w:p>
    <w:p w:rsidR="007F2E36" w:rsidRPr="00B740B4" w:rsidRDefault="00E13251" w:rsidP="007F2E36">
      <w:r w:rsidRPr="00B740B4">
        <w:t xml:space="preserve">The question why Daniel has not </w:t>
      </w:r>
      <w:r w:rsidR="00EF7FB6">
        <w:t xml:space="preserve">already been summoned </w:t>
      </w:r>
      <w:r w:rsidRPr="00B740B4">
        <w:t>if he is so gifted has bee</w:t>
      </w:r>
      <w:r w:rsidR="00EF7FB6">
        <w:t>n explained historically (he</w:t>
      </w:r>
      <w:r w:rsidRPr="00B740B4">
        <w:t xml:space="preserve"> must now be eighty-five), psychologically (Belshazzar knows the kind of message he will get from him), and rhetorically (the successful interpreter appears after the others have failed).</w:t>
      </w:r>
      <w:r w:rsidR="00C8313A" w:rsidRPr="00B740B4">
        <w:t xml:space="preserve"> Belshazzar’s apparent lack of knowledge of him recalls the Pharaoh who did not know or acknowledge Joseph.</w:t>
      </w:r>
      <w:r w:rsidR="00C8313A" w:rsidRPr="00B740B4">
        <w:rPr>
          <w:rStyle w:val="FootnoteReference"/>
        </w:rPr>
        <w:footnoteReference w:id="865"/>
      </w:r>
      <w:r w:rsidR="007F2E36" w:rsidRPr="00B740B4">
        <w:t xml:space="preserve"> </w:t>
      </w:r>
    </w:p>
    <w:p w:rsidR="0085290E" w:rsidRPr="00B740B4" w:rsidRDefault="00E13251" w:rsidP="00661970">
      <w:r w:rsidRPr="00B740B4">
        <w:rPr>
          <w:rStyle w:val="b"/>
          <w:color w:val="auto"/>
        </w:rPr>
        <w:t>17–24</w:t>
      </w:r>
      <w:r w:rsidRPr="00B740B4">
        <w:t xml:space="preserve"> </w:t>
      </w:r>
      <w:r w:rsidR="007F2E36" w:rsidRPr="00B740B4">
        <w:t xml:space="preserve">The repetitive nature of vv 13-16 has heightened suspense; </w:t>
      </w:r>
      <w:r w:rsidR="0085290E" w:rsidRPr="00B740B4">
        <w:t xml:space="preserve">Daniel </w:t>
      </w:r>
      <w:r w:rsidR="007F2E36" w:rsidRPr="00B740B4">
        <w:t xml:space="preserve">now </w:t>
      </w:r>
      <w:r w:rsidR="0085290E" w:rsidRPr="00B740B4">
        <w:t>confronts Belshazzar like a prophet, as he did Nebuchadnezzar, though there his confrontation constituted a prophetic challenge to repent, whereas here it constitutes a lengthy prophetic critique and warning.</w:t>
      </w:r>
    </w:p>
    <w:p w:rsidR="000546B7" w:rsidRPr="00B740B4" w:rsidRDefault="00E13251" w:rsidP="00661970">
      <w:r w:rsidRPr="00B740B4">
        <w:t xml:space="preserve">Why does Daniel go through the motions of refusing rewards that he has accepted before (2:48) and will accept later (v 29)? </w:t>
      </w:r>
      <w:r w:rsidR="001E2B7E" w:rsidRPr="00B740B4">
        <w:t>While he might be</w:t>
      </w:r>
      <w:r w:rsidRPr="00B740B4">
        <w:t xml:space="preserve"> inviting Belshazzar to wait till he has heard the message before he decides whether he wants to reward the messenger,</w:t>
      </w:r>
      <w:r w:rsidR="001E2B7E" w:rsidRPr="00B740B4">
        <w:rPr>
          <w:rStyle w:val="FootnoteReference"/>
        </w:rPr>
        <w:footnoteReference w:id="866"/>
      </w:r>
      <w:r w:rsidR="001E2B7E" w:rsidRPr="00B740B4">
        <w:t xml:space="preserve"> </w:t>
      </w:r>
      <w:r w:rsidRPr="00B740B4">
        <w:t xml:space="preserve">the abruptness of Daniel’s words (there is no salutation) suggests that they are more confrontational than this </w:t>
      </w:r>
      <w:r w:rsidR="00EF7FB6">
        <w:t xml:space="preserve">explanation </w:t>
      </w:r>
      <w:r w:rsidR="001E2B7E" w:rsidRPr="00B740B4">
        <w:t xml:space="preserve">would imply </w:t>
      </w:r>
      <w:r w:rsidRPr="00B740B4">
        <w:t>(cf. 2:27, and contrast 4:19</w:t>
      </w:r>
      <w:r w:rsidR="001E2B7E" w:rsidRPr="00B740B4">
        <w:t xml:space="preserve"> [16]</w:t>
      </w:r>
      <w:r w:rsidRPr="00B740B4">
        <w:t>, at equivalent points in earlier chapters). More likely he is sidestepping any pressure to modify the portent’s message, pressure that derives from the assumption that financial considerations determine the content of a seer’s message (see Num 22:18 and Num 22–24 generally; Amos 7:12; Mic 3:5, 11).</w:t>
      </w:r>
      <w:r w:rsidR="001E2B7E" w:rsidRPr="00B740B4">
        <w:rPr>
          <w:rStyle w:val="FootnoteReference"/>
        </w:rPr>
        <w:footnoteReference w:id="867"/>
      </w:r>
      <w:r w:rsidRPr="00B740B4">
        <w:t xml:space="preserve"> There is no danger of that </w:t>
      </w:r>
      <w:r w:rsidR="001E2B7E" w:rsidRPr="00B740B4">
        <w:t xml:space="preserve">sidestepping </w:t>
      </w:r>
      <w:r w:rsidRPr="00B740B4">
        <w:t>once the hard message has been given (v 29) (</w:t>
      </w:r>
      <w:r w:rsidR="001E2B7E" w:rsidRPr="00B740B4">
        <w:t>though contrast 2 Kgs 5:16). Further,</w:t>
      </w:r>
      <w:r w:rsidRPr="00B740B4">
        <w:t xml:space="preserve"> as refusal at this point indicates his independence, acceptance later will enab</w:t>
      </w:r>
      <w:r w:rsidR="001E2B7E" w:rsidRPr="00B740B4">
        <w:t>le his eminence to be revealed</w:t>
      </w:r>
      <w:r w:rsidRPr="00B740B4">
        <w:t>.</w:t>
      </w:r>
      <w:r w:rsidR="001E2B7E" w:rsidRPr="00B740B4">
        <w:rPr>
          <w:rStyle w:val="FootnoteReference"/>
        </w:rPr>
        <w:footnoteReference w:id="868"/>
      </w:r>
      <w:r w:rsidR="001E2B7E" w:rsidRPr="00B740B4">
        <w:t xml:space="preserve"> There may also be a</w:t>
      </w:r>
      <w:r w:rsidRPr="00B740B4">
        <w:t xml:space="preserve"> suggestion that Daniel</w:t>
      </w:r>
      <w:r w:rsidR="00EF7FB6">
        <w:t xml:space="preserve">’s </w:t>
      </w:r>
      <w:r w:rsidR="00EF7FB6">
        <w:lastRenderedPageBreak/>
        <w:t xml:space="preserve">refusal signifies his </w:t>
      </w:r>
      <w:r w:rsidR="001E2B7E" w:rsidRPr="00B740B4">
        <w:t xml:space="preserve">dissociating himself from the wrongdoing of the </w:t>
      </w:r>
      <w:r w:rsidRPr="00B740B4">
        <w:t>regime he is sent to indict (cf. 1 Kgs 13:7–9).</w:t>
      </w:r>
      <w:r w:rsidR="00EF7FB6">
        <w:t xml:space="preserve"> </w:t>
      </w:r>
      <w:r w:rsidR="000546B7" w:rsidRPr="00B740B4">
        <w:t>Nebuchadnezzar’s power  to kill, spare, elevate, or humbles compares with the power Eliphaz attribu</w:t>
      </w:r>
      <w:r w:rsidR="00EF7FB6">
        <w:t>tes to God—but even Eliphaz adds a note</w:t>
      </w:r>
      <w:r w:rsidR="000546B7" w:rsidRPr="00B740B4">
        <w:t xml:space="preserve"> that God also saves and gives hope to the needy (Job 5:11-16).</w:t>
      </w:r>
      <w:r w:rsidR="000546B7" w:rsidRPr="00B740B4">
        <w:rPr>
          <w:rStyle w:val="FootnoteReference"/>
        </w:rPr>
        <w:footnoteReference w:id="869"/>
      </w:r>
      <w:r w:rsidR="00EF7791" w:rsidRPr="00B740B4">
        <w:t xml:space="preserve"> It seems that Nebuchadnezzar “had dared to usurp the power that belonged to God alone,”</w:t>
      </w:r>
      <w:r w:rsidR="00EF7791" w:rsidRPr="00B740B4">
        <w:rPr>
          <w:rStyle w:val="FootnoteReference"/>
        </w:rPr>
        <w:footnoteReference w:id="870"/>
      </w:r>
      <w:r w:rsidR="00EF7791" w:rsidRPr="00B740B4">
        <w:t xml:space="preserve"> though at least in some sense he learned his lesson.</w:t>
      </w:r>
    </w:p>
    <w:p w:rsidR="00E13251" w:rsidRPr="00B740B4" w:rsidRDefault="00E13251" w:rsidP="00661970">
      <w:r w:rsidRPr="00B740B4">
        <w:t>Nebuchadnezzar’s “spirit” (v 20) contrasts with Daniel’s, as Nebuchadnezzar’s wife</w:t>
      </w:r>
      <w:r w:rsidR="001E2B7E" w:rsidRPr="00B740B4">
        <w:t xml:space="preserve"> describes it (v 12); see on 4:8 [5]. The “ways</w:t>
      </w:r>
      <w:r w:rsidRPr="00B740B4">
        <w:t>” o</w:t>
      </w:r>
      <w:r w:rsidR="001E2B7E" w:rsidRPr="00B740B4">
        <w:t>f a person (v 23) are the course of life that they follow</w:t>
      </w:r>
      <w:r w:rsidRPr="00B740B4">
        <w:t>, which is seen as</w:t>
      </w:r>
      <w:r w:rsidR="001E2B7E" w:rsidRPr="00B740B4">
        <w:t xml:space="preserve"> </w:t>
      </w:r>
      <w:r w:rsidR="00B203BB" w:rsidRPr="00B740B4">
        <w:t>known by</w:t>
      </w:r>
      <w:r w:rsidRPr="00B740B4">
        <w:t xml:space="preserve"> God</w:t>
      </w:r>
      <w:r w:rsidR="00B203BB" w:rsidRPr="00B740B4">
        <w:t xml:space="preserve"> and under God’s control</w:t>
      </w:r>
      <w:r w:rsidRPr="00B740B4">
        <w:t>—without implying that it is predetermined</w:t>
      </w:r>
      <w:r w:rsidR="001E2B7E" w:rsidRPr="00B740B4">
        <w:t xml:space="preserve"> </w:t>
      </w:r>
      <w:r w:rsidRPr="00B740B4">
        <w:t>in such a way as to make</w:t>
      </w:r>
      <w:r w:rsidR="00B203BB" w:rsidRPr="00B740B4">
        <w:t xml:space="preserve"> human decision-making illusory</w:t>
      </w:r>
      <w:r w:rsidRPr="00B740B4">
        <w:t xml:space="preserve"> (Cf. Job 8:13; Prov 3:6; 4:18; also </w:t>
      </w:r>
      <w:r w:rsidRPr="00B740B4">
        <w:rPr>
          <w:rStyle w:val="heb"/>
          <w:rFonts w:ascii="Arial" w:hAnsi="Arial" w:cs="Arial"/>
          <w:color w:val="auto"/>
        </w:rPr>
        <w:t>דרך</w:t>
      </w:r>
      <w:r w:rsidRPr="00B740B4">
        <w:t xml:space="preserve"> in, </w:t>
      </w:r>
      <w:r w:rsidR="00EF7FB6">
        <w:t>e.g., Job 22:28; 24:23; Ps 18:32 [33</w:t>
      </w:r>
      <w:r w:rsidRPr="00B740B4">
        <w:t xml:space="preserve">]; 37:5, 7, 23; 146:9; Prov 20:24; Isa 40:27; Jer 10:23.) The idea is prominent in </w:t>
      </w:r>
      <w:r w:rsidR="00B203BB" w:rsidRPr="00B740B4">
        <w:t>books such as Prover</w:t>
      </w:r>
      <w:r w:rsidR="00425BCD">
        <w:t>b</w:t>
      </w:r>
      <w:r w:rsidR="00B203BB" w:rsidRPr="00B740B4">
        <w:t>s and Job</w:t>
      </w:r>
      <w:r w:rsidRPr="00B740B4">
        <w:t>; the idea of God’s holding a person’s breath (</w:t>
      </w:r>
      <w:r w:rsidRPr="00B740B4">
        <w:rPr>
          <w:rStyle w:val="heb"/>
          <w:rFonts w:ascii="Arial" w:hAnsi="Arial" w:cs="Arial"/>
          <w:color w:val="auto"/>
        </w:rPr>
        <w:t>נשמה</w:t>
      </w:r>
      <w:r w:rsidRPr="00B740B4">
        <w:t xml:space="preserve"> or </w:t>
      </w:r>
      <w:r w:rsidRPr="00B740B4">
        <w:rPr>
          <w:rStyle w:val="heb"/>
          <w:rFonts w:ascii="Arial" w:hAnsi="Arial" w:cs="Arial"/>
          <w:color w:val="auto"/>
        </w:rPr>
        <w:t>רוח</w:t>
      </w:r>
      <w:r w:rsidRPr="00B740B4">
        <w:t>) also appears there (e.g., Job 12:10; 34:14–15; cf. Gen 2:7; Ps 104:29).</w:t>
      </w:r>
    </w:p>
    <w:p w:rsidR="00C100B5" w:rsidRPr="00B740B4" w:rsidRDefault="00C100B5" w:rsidP="00661970">
      <w:pPr>
        <w:rPr>
          <w:rStyle w:val="b"/>
          <w:color w:val="auto"/>
        </w:rPr>
      </w:pPr>
      <w:r w:rsidRPr="00B740B4">
        <w:t>Being sent out from God’s presence makes the hand a divine envoy like the spirits in 1Kings 22:20-22.</w:t>
      </w:r>
      <w:r w:rsidRPr="00B740B4">
        <w:rPr>
          <w:rStyle w:val="FootnoteReference"/>
        </w:rPr>
        <w:footnoteReference w:id="871"/>
      </w:r>
      <w:r w:rsidRPr="00B740B4">
        <w:rPr>
          <w:rStyle w:val="b"/>
          <w:color w:val="auto"/>
        </w:rPr>
        <w:t xml:space="preserve"> </w:t>
      </w:r>
    </w:p>
    <w:p w:rsidR="00E13251" w:rsidRPr="00B740B4" w:rsidRDefault="00E13251" w:rsidP="00661970">
      <w:r w:rsidRPr="00B740B4">
        <w:rPr>
          <w:rStyle w:val="b"/>
          <w:color w:val="auto"/>
        </w:rPr>
        <w:t>25–28</w:t>
      </w:r>
      <w:r w:rsidRPr="00B740B4">
        <w:t xml:space="preserve"> Each word in the inscription has several possible meanings (</w:t>
      </w:r>
      <w:r w:rsidRPr="00B740B4">
        <w:rPr>
          <w:rStyle w:val="i"/>
          <w:color w:val="auto"/>
        </w:rPr>
        <w:t>DTT</w:t>
      </w:r>
      <w:r w:rsidR="00425BCD">
        <w:t>). L</w:t>
      </w:r>
      <w:r w:rsidRPr="00B740B4">
        <w:t>ike a dream, the portent has a surface meaning and o</w:t>
      </w:r>
      <w:r w:rsidR="00425BCD">
        <w:t>ne or more allegorical meanings, and</w:t>
      </w:r>
      <w:r w:rsidRPr="00B740B4">
        <w:t xml:space="preserve"> </w:t>
      </w:r>
      <w:r w:rsidR="005E5063" w:rsidRPr="00B740B4">
        <w:t>Daniel’s act</w:t>
      </w:r>
      <w:r w:rsidR="00425BCD">
        <w:t xml:space="preserve"> of interpretation </w:t>
      </w:r>
      <w:r w:rsidR="005E5063" w:rsidRPr="00B740B4">
        <w:t>follows the procedures of divinatory interpretation of dreams or omens.</w:t>
      </w:r>
      <w:r w:rsidR="005E5063" w:rsidRPr="00B740B4">
        <w:rPr>
          <w:rStyle w:val="FootnoteReference"/>
        </w:rPr>
        <w:footnoteReference w:id="872"/>
      </w:r>
      <w:r w:rsidR="005E5063" w:rsidRPr="00B740B4">
        <w:t xml:space="preserve"> </w:t>
      </w:r>
      <w:r w:rsidRPr="00B740B4">
        <w:t xml:space="preserve">On the surface, </w:t>
      </w:r>
      <w:r w:rsidRPr="00B740B4">
        <w:rPr>
          <w:rStyle w:val="heb"/>
          <w:rFonts w:ascii="Arial" w:hAnsi="Arial" w:cs="Arial"/>
          <w:color w:val="auto"/>
        </w:rPr>
        <w:t>מנא</w:t>
      </w:r>
      <w:r w:rsidRPr="00B740B4">
        <w:t xml:space="preserve">, </w:t>
      </w:r>
      <w:r w:rsidRPr="00B740B4">
        <w:rPr>
          <w:rStyle w:val="heb"/>
          <w:rFonts w:ascii="Arial" w:hAnsi="Arial" w:cs="Arial"/>
          <w:color w:val="auto"/>
        </w:rPr>
        <w:t>תקל</w:t>
      </w:r>
      <w:r w:rsidRPr="00B740B4">
        <w:t xml:space="preserve"> and </w:t>
      </w:r>
      <w:r w:rsidRPr="00B740B4">
        <w:rPr>
          <w:rStyle w:val="heb"/>
          <w:rFonts w:ascii="Arial" w:hAnsi="Arial" w:cs="Arial"/>
          <w:color w:val="auto"/>
        </w:rPr>
        <w:t>פרס</w:t>
      </w:r>
      <w:r w:rsidRPr="00B740B4">
        <w:t xml:space="preserve"> refer to th</w:t>
      </w:r>
      <w:r w:rsidR="00B203BB" w:rsidRPr="00B740B4">
        <w:t>ree weights, a mina (about a pound), a sheqel (about 20 pounds</w:t>
      </w:r>
      <w:r w:rsidRPr="00B740B4">
        <w:t>), and a half.</w:t>
      </w:r>
      <w:r w:rsidR="00B203BB" w:rsidRPr="00B740B4">
        <w:rPr>
          <w:rStyle w:val="FootnoteReference"/>
        </w:rPr>
        <w:footnoteReference w:id="873"/>
      </w:r>
      <w:r w:rsidRPr="00B740B4">
        <w:t xml:space="preserve"> Elsewhere a “half” is a half-mina, though this </w:t>
      </w:r>
      <w:r w:rsidR="00425BCD">
        <w:t xml:space="preserve">meaning </w:t>
      </w:r>
      <w:r w:rsidRPr="00B740B4">
        <w:t>seems to be determined by the context, and the c</w:t>
      </w:r>
      <w:r w:rsidR="00B203BB" w:rsidRPr="00B740B4">
        <w:t>ontext here suggests a half-sheq</w:t>
      </w:r>
      <w:r w:rsidRPr="00B740B4">
        <w:t xml:space="preserve">el, </w:t>
      </w:r>
      <w:r w:rsidRPr="00B740B4">
        <w:rPr>
          <w:rStyle w:val="heb"/>
          <w:rFonts w:ascii="Arial" w:hAnsi="Arial" w:cs="Arial"/>
          <w:color w:val="auto"/>
        </w:rPr>
        <w:t>פרס</w:t>
      </w:r>
      <w:r w:rsidRPr="00B740B4">
        <w:t xml:space="preserve"> then being equivalent to Heb. </w:t>
      </w:r>
      <w:r w:rsidRPr="00B740B4">
        <w:rPr>
          <w:rStyle w:val="heb"/>
          <w:rFonts w:ascii="Arial" w:hAnsi="Arial" w:cs="Arial"/>
          <w:color w:val="auto"/>
        </w:rPr>
        <w:t>בקע</w:t>
      </w:r>
      <w:r w:rsidRPr="00B740B4">
        <w:t>.</w:t>
      </w:r>
      <w:r w:rsidR="00B203BB" w:rsidRPr="00B740B4">
        <w:rPr>
          <w:rStyle w:val="FootnoteReference"/>
        </w:rPr>
        <w:footnoteReference w:id="874"/>
      </w:r>
      <w:r w:rsidRPr="00B740B4">
        <w:t xml:space="preserve"> The inscription thus represents something like a merchant’s sh</w:t>
      </w:r>
      <w:r w:rsidR="00B203BB" w:rsidRPr="00B740B4">
        <w:t>out (“Reckoned at a mina, a sheq</w:t>
      </w:r>
      <w:r w:rsidRPr="00B740B4">
        <w:t>el, and [two] halves!”), or his docume</w:t>
      </w:r>
      <w:r w:rsidR="00B203BB" w:rsidRPr="00B740B4">
        <w:t>ntary record of this evaluation.</w:t>
      </w:r>
      <w:r w:rsidR="00B203BB" w:rsidRPr="00B740B4">
        <w:rPr>
          <w:rStyle w:val="FootnoteReference"/>
        </w:rPr>
        <w:footnoteReference w:id="875"/>
      </w:r>
      <w:r w:rsidRPr="00B740B4">
        <w:t xml:space="preserve"> Daniel has to explain w</w:t>
      </w:r>
      <w:r w:rsidR="00B203BB" w:rsidRPr="00B740B4">
        <w:t xml:space="preserve">hat this puzzling phrase </w:t>
      </w:r>
      <w:r w:rsidRPr="00B740B4">
        <w:t xml:space="preserve">refers to. The only point implicit in the statement is that the </w:t>
      </w:r>
      <w:r w:rsidR="00B203BB" w:rsidRPr="00B740B4">
        <w:t>sheqel</w:t>
      </w:r>
      <w:r w:rsidRPr="00B740B4">
        <w:t xml:space="preserve"> suggests something very lightweight compared with whatever is symbolized by a mina. Whatever is symbolized by the half is even less significant than </w:t>
      </w:r>
      <w:r w:rsidR="00B203BB" w:rsidRPr="00B740B4">
        <w:t>the former (if it is a half-sheq</w:t>
      </w:r>
      <w:r w:rsidRPr="00B740B4">
        <w:t>el) or more so (if it is a half-mina).</w:t>
      </w:r>
    </w:p>
    <w:p w:rsidR="00E13251" w:rsidRPr="00B740B4" w:rsidRDefault="00A3597B" w:rsidP="00661970">
      <w:r w:rsidRPr="00B740B4">
        <w:t>A</w:t>
      </w:r>
      <w:r w:rsidR="00425BCD">
        <w:t>llegorically the omen</w:t>
      </w:r>
      <w:r w:rsidR="00E13251" w:rsidRPr="00B740B4">
        <w:t xml:space="preserve"> </w:t>
      </w:r>
      <w:r w:rsidR="00425BCD">
        <w:t>might</w:t>
      </w:r>
      <w:r w:rsidRPr="00B740B4">
        <w:t xml:space="preserve"> have </w:t>
      </w:r>
      <w:r w:rsidR="00E13251" w:rsidRPr="00B740B4">
        <w:t>originally referred to Babylonian kings: e.g., Nebuchadnezzar, Nabonidus, Belshazzar;</w:t>
      </w:r>
      <w:r w:rsidRPr="00B740B4">
        <w:rPr>
          <w:rStyle w:val="FootnoteReference"/>
        </w:rPr>
        <w:footnoteReference w:id="876"/>
      </w:r>
      <w:r w:rsidR="00E13251" w:rsidRPr="00B740B4">
        <w:t xml:space="preserve"> Nebuchadnez</w:t>
      </w:r>
      <w:r w:rsidR="00943BC0" w:rsidRPr="00B740B4">
        <w:t xml:space="preserve">zar, </w:t>
      </w:r>
      <w:r w:rsidR="00943BC0" w:rsidRPr="00B740B4">
        <w:rPr>
          <w:iCs/>
        </w:rPr>
        <w:t>Ewil-merodak</w:t>
      </w:r>
      <w:r w:rsidRPr="00B740B4">
        <w:t>, Belshazzar</w:t>
      </w:r>
      <w:r w:rsidR="00E13251" w:rsidRPr="00B740B4">
        <w:t>;</w:t>
      </w:r>
      <w:r w:rsidRPr="00B740B4">
        <w:rPr>
          <w:rStyle w:val="FootnoteReference"/>
        </w:rPr>
        <w:footnoteReference w:id="877"/>
      </w:r>
      <w:r w:rsidR="00E13251" w:rsidRPr="00B740B4">
        <w:t xml:space="preserve"> Nabonidus, Belshazzar, Darius and Cyrus;</w:t>
      </w:r>
      <w:r w:rsidRPr="00B740B4">
        <w:rPr>
          <w:rStyle w:val="FootnoteReference"/>
        </w:rPr>
        <w:footnoteReference w:id="878"/>
      </w:r>
      <w:r w:rsidR="00E13251" w:rsidRPr="00B740B4">
        <w:t xml:space="preserve"> Nabonidus, Belshazzar, Median and Persian kings generally;</w:t>
      </w:r>
      <w:r w:rsidRPr="00B740B4">
        <w:rPr>
          <w:rStyle w:val="FootnoteReference"/>
        </w:rPr>
        <w:footnoteReference w:id="879"/>
      </w:r>
      <w:r w:rsidR="00E13251" w:rsidRPr="00B740B4">
        <w:t xml:space="preserve"> Babylonian, Median, </w:t>
      </w:r>
      <w:r w:rsidR="00425BCD">
        <w:t xml:space="preserve">and </w:t>
      </w:r>
      <w:r w:rsidR="00E13251" w:rsidRPr="00B740B4">
        <w:t>Persian kings.</w:t>
      </w:r>
      <w:r w:rsidRPr="00B740B4">
        <w:rPr>
          <w:rStyle w:val="FootnoteReference"/>
        </w:rPr>
        <w:footnoteReference w:id="880"/>
      </w:r>
      <w:r w:rsidR="00E13251" w:rsidRPr="00B740B4">
        <w:t xml:space="preserve"> Further possibilities emerge if the first </w:t>
      </w:r>
      <w:r w:rsidR="00E13251" w:rsidRPr="00B740B4">
        <w:rPr>
          <w:rStyle w:val="heb"/>
          <w:rFonts w:ascii="Arial" w:hAnsi="Arial" w:cs="Arial"/>
          <w:color w:val="auto"/>
        </w:rPr>
        <w:t>מנא</w:t>
      </w:r>
      <w:r w:rsidR="00E13251" w:rsidRPr="00B740B4">
        <w:t xml:space="preserve"> is taken as part of the sequence, making a series of </w:t>
      </w:r>
      <w:r w:rsidR="00943BC0" w:rsidRPr="00B740B4">
        <w:t xml:space="preserve">four: Neriglissar, </w:t>
      </w:r>
      <w:r w:rsidR="008568FC" w:rsidRPr="008568FC">
        <w:t>Amel-Marduk</w:t>
      </w:r>
      <w:r w:rsidR="00E13251" w:rsidRPr="00B740B4">
        <w:t>, Labash</w:t>
      </w:r>
      <w:r w:rsidR="00943BC0" w:rsidRPr="00B740B4">
        <w:t>i-Marduk, Nabonidus/Belshazzar</w:t>
      </w:r>
      <w:r w:rsidR="00E13251" w:rsidRPr="00B740B4">
        <w:t>;</w:t>
      </w:r>
      <w:r w:rsidR="00943BC0" w:rsidRPr="00B740B4">
        <w:rPr>
          <w:rStyle w:val="FootnoteReference"/>
        </w:rPr>
        <w:footnoteReference w:id="881"/>
      </w:r>
      <w:r w:rsidR="00E13251" w:rsidRPr="00B740B4">
        <w:t xml:space="preserve"> Babylonian, Median, Persian, and G</w:t>
      </w:r>
      <w:r w:rsidR="00943BC0" w:rsidRPr="00B740B4">
        <w:t>reek kings generally</w:t>
      </w:r>
      <w:r w:rsidR="00E13251" w:rsidRPr="00B740B4">
        <w:t>.</w:t>
      </w:r>
      <w:r w:rsidR="00943BC0" w:rsidRPr="00B740B4">
        <w:rPr>
          <w:rStyle w:val="FootnoteReference"/>
        </w:rPr>
        <w:footnoteReference w:id="882"/>
      </w:r>
      <w:r w:rsidR="00753C08">
        <w:t xml:space="preserve"> Whether or not the message</w:t>
      </w:r>
      <w:r w:rsidR="008568FC">
        <w:t xml:space="preserve"> started off </w:t>
      </w:r>
      <w:r w:rsidR="00E13251" w:rsidRPr="00B740B4">
        <w:t xml:space="preserve">as an allegory of this kind, </w:t>
      </w:r>
      <w:r w:rsidR="00E13251" w:rsidRPr="00B740B4">
        <w:lastRenderedPageBreak/>
        <w:t>what is explicit is that Daniel turns the merchant’s record into a message about history by playing on each of the three words, utilizing the meaning of the verbal root that un</w:t>
      </w:r>
      <w:r w:rsidR="00A4067A" w:rsidRPr="00B740B4">
        <w:t>derlies each noun. This</w:t>
      </w:r>
      <w:r w:rsidR="00E13251" w:rsidRPr="00B740B4">
        <w:t xml:space="preserve"> approach to interpretation </w:t>
      </w:r>
      <w:r w:rsidR="008568FC">
        <w:t>via par</w:t>
      </w:r>
      <w:r w:rsidR="00A4067A" w:rsidRPr="00B740B4">
        <w:t xml:space="preserve">onomasia </w:t>
      </w:r>
      <w:r w:rsidR="00E13251" w:rsidRPr="00B740B4">
        <w:t>was</w:t>
      </w:r>
      <w:r w:rsidR="00A312C9">
        <w:t xml:space="preserve"> applied to the s</w:t>
      </w:r>
      <w:r w:rsidR="00943BC0" w:rsidRPr="00B740B4">
        <w:t>cripture</w:t>
      </w:r>
      <w:r w:rsidR="00A312C9">
        <w:t>s</w:t>
      </w:r>
      <w:r w:rsidR="00943BC0" w:rsidRPr="00B740B4">
        <w:t xml:space="preserve"> in 1QpHab.</w:t>
      </w:r>
      <w:r w:rsidR="00943BC0" w:rsidRPr="00B740B4">
        <w:rPr>
          <w:rStyle w:val="FootnoteReference"/>
        </w:rPr>
        <w:footnoteReference w:id="883"/>
      </w:r>
      <w:r w:rsidR="00943BC0" w:rsidRPr="00B740B4">
        <w:t xml:space="preserve"> </w:t>
      </w:r>
      <w:r w:rsidR="00E13251" w:rsidRPr="00B740B4">
        <w:t>Daniel uses it to make the statement refer to Belshazzar’s being appointed, evaluated, and punished.</w:t>
      </w:r>
    </w:p>
    <w:p w:rsidR="00E13251" w:rsidRPr="00B740B4" w:rsidRDefault="00E13251" w:rsidP="00661970">
      <w:r w:rsidRPr="00B740B4">
        <w:rPr>
          <w:rStyle w:val="heb"/>
          <w:rFonts w:ascii="Arial" w:hAnsi="Arial" w:cs="Arial"/>
          <w:color w:val="auto"/>
        </w:rPr>
        <w:t>מנא</w:t>
      </w:r>
      <w:r w:rsidRPr="00B740B4">
        <w:t xml:space="preserve"> is used in the everyday sense of “count,” but </w:t>
      </w:r>
      <w:r w:rsidR="00A4067A" w:rsidRPr="00B740B4">
        <w:t xml:space="preserve">it </w:t>
      </w:r>
      <w:r w:rsidRPr="00B740B4">
        <w:t xml:space="preserve">can also suggest “to appoint” or “to destine” (cf. the god Destiny, </w:t>
      </w:r>
      <w:r w:rsidRPr="00B740B4">
        <w:rPr>
          <w:rStyle w:val="heb"/>
          <w:rFonts w:ascii="Arial" w:hAnsi="Arial" w:cs="Arial"/>
          <w:color w:val="auto"/>
        </w:rPr>
        <w:t>מני</w:t>
      </w:r>
      <w:r w:rsidRPr="00B740B4">
        <w:t>: see Isa 65:11–12); for the idea of “numbering one’s days” as applied to the individual, see Ps 90:12. Weighing (</w:t>
      </w:r>
      <w:r w:rsidRPr="00B740B4">
        <w:rPr>
          <w:rStyle w:val="heb"/>
          <w:rFonts w:ascii="Arial" w:hAnsi="Arial" w:cs="Arial"/>
          <w:color w:val="auto"/>
        </w:rPr>
        <w:t>תקל</w:t>
      </w:r>
      <w:r w:rsidRPr="00B740B4">
        <w:t>) a person’s moral value is an uncomm</w:t>
      </w:r>
      <w:r w:rsidR="008568FC">
        <w:t>on image (see Job 31:6; Ps 62:9 [10</w:t>
      </w:r>
      <w:r w:rsidRPr="00B740B4">
        <w:t>]); more often the OT speaks of measuring it (</w:t>
      </w:r>
      <w:r w:rsidRPr="00B740B4">
        <w:rPr>
          <w:rStyle w:val="heb"/>
          <w:rFonts w:ascii="Arial" w:hAnsi="Arial" w:cs="Arial"/>
          <w:color w:val="auto"/>
        </w:rPr>
        <w:t>תכן</w:t>
      </w:r>
      <w:r w:rsidRPr="00B740B4">
        <w:t>; see BDB). “Half” (</w:t>
      </w:r>
      <w:r w:rsidRPr="00B740B4">
        <w:rPr>
          <w:rStyle w:val="heb"/>
          <w:rFonts w:ascii="Arial" w:hAnsi="Arial" w:cs="Arial"/>
          <w:color w:val="auto"/>
        </w:rPr>
        <w:t>פרס</w:t>
      </w:r>
      <w:r w:rsidRPr="00B740B4">
        <w:t>) receives a double interpretation; the noun [</w:t>
      </w:r>
      <w:r w:rsidRPr="00B740B4">
        <w:rPr>
          <w:rStyle w:val="heb"/>
          <w:rFonts w:ascii="Arial" w:hAnsi="Arial" w:cs="Arial"/>
          <w:color w:val="auto"/>
        </w:rPr>
        <w:t>ין</w:t>
      </w:r>
      <w:r w:rsidRPr="00B740B4">
        <w:t>]</w:t>
      </w:r>
      <w:r w:rsidRPr="00B740B4">
        <w:rPr>
          <w:rStyle w:val="heb"/>
          <w:rFonts w:ascii="Arial" w:hAnsi="Arial" w:cs="Arial"/>
          <w:color w:val="auto"/>
        </w:rPr>
        <w:t>פרס</w:t>
      </w:r>
      <w:r w:rsidRPr="00B740B4">
        <w:t xml:space="preserve"> suggests first the verb </w:t>
      </w:r>
      <w:r w:rsidRPr="00B740B4">
        <w:rPr>
          <w:rStyle w:val="heb"/>
          <w:rFonts w:ascii="Arial" w:hAnsi="Arial" w:cs="Arial"/>
          <w:color w:val="auto"/>
        </w:rPr>
        <w:t>פרס</w:t>
      </w:r>
      <w:r w:rsidRPr="00B740B4">
        <w:t xml:space="preserve"> “broken in half,” then another noun </w:t>
      </w:r>
      <w:r w:rsidRPr="00B740B4">
        <w:rPr>
          <w:rStyle w:val="heb"/>
          <w:rFonts w:ascii="Arial" w:hAnsi="Arial" w:cs="Arial"/>
          <w:color w:val="auto"/>
        </w:rPr>
        <w:t>פרס</w:t>
      </w:r>
      <w:r w:rsidRPr="00B740B4">
        <w:t xml:space="preserve"> </w:t>
      </w:r>
      <w:r w:rsidRPr="00B740B4">
        <w:rPr>
          <w:rStyle w:val="i"/>
          <w:color w:val="auto"/>
        </w:rPr>
        <w:t>Persia</w:t>
      </w:r>
      <w:r w:rsidRPr="00B740B4">
        <w:t>. Median and Persian kings will r</w:t>
      </w:r>
      <w:r w:rsidR="00A4067A" w:rsidRPr="00B740B4">
        <w:t xml:space="preserve">eceive the kingship in </w:t>
      </w:r>
      <w:r w:rsidRPr="00B740B4">
        <w:t>5:31; 6:28</w:t>
      </w:r>
      <w:r w:rsidR="00A4067A" w:rsidRPr="00B740B4">
        <w:t xml:space="preserve"> [6:1, 29</w:t>
      </w:r>
      <w:r w:rsidRPr="00B740B4">
        <w:t>]. Daniel need not mean that the empire will be divided between the two rather than that Belshazzar’s dynasty will be broken and his authority will pass to others. The terms “Median” and “Persi</w:t>
      </w:r>
      <w:r w:rsidR="00A4067A" w:rsidRPr="00B740B4">
        <w:t>an” are often not distinguished.</w:t>
      </w:r>
      <w:r w:rsidR="00A4067A" w:rsidRPr="00B740B4">
        <w:rPr>
          <w:rStyle w:val="FootnoteReference"/>
        </w:rPr>
        <w:footnoteReference w:id="884"/>
      </w:r>
    </w:p>
    <w:p w:rsidR="00764D3F" w:rsidRPr="00B740B4" w:rsidRDefault="00764D3F" w:rsidP="00661970">
      <w:r w:rsidRPr="00B740B4">
        <w:t>The paronomasia has power because words and things are related. “The interpreter’s construction of punning meaning was not a display of wit but a perception of hidden realities and, indeed, an act of power.”</w:t>
      </w:r>
      <w:r w:rsidRPr="00B740B4">
        <w:rPr>
          <w:rStyle w:val="FootnoteReference"/>
        </w:rPr>
        <w:footnoteReference w:id="885"/>
      </w:r>
    </w:p>
    <w:p w:rsidR="00E13251" w:rsidRPr="00B740B4" w:rsidRDefault="00A4067A" w:rsidP="00661970">
      <w:r w:rsidRPr="00B740B4">
        <w:rPr>
          <w:rStyle w:val="b"/>
          <w:color w:val="auto"/>
        </w:rPr>
        <w:t>29–31</w:t>
      </w:r>
      <w:r w:rsidR="00E13251" w:rsidRPr="00B740B4">
        <w:t xml:space="preserve"> Except for Xenophon’s account of the Persians killing the unnamed Babylonian king (see on v 1), we have no independent record of Belshazzar’s death, or of what happened to him when Babylon fell.</w:t>
      </w:r>
      <w:r w:rsidR="002217C7" w:rsidRPr="00B740B4">
        <w:t xml:space="preserve"> In v 20 the implicit subject of the passive verb was God, which would suggest the same applies here.</w:t>
      </w:r>
    </w:p>
    <w:p w:rsidR="00E13251" w:rsidRPr="00B740B4" w:rsidRDefault="00E13251" w:rsidP="00661970">
      <w:r w:rsidRPr="00B740B4">
        <w:t>No Median Darius (</w:t>
      </w:r>
      <w:r w:rsidRPr="00B740B4">
        <w:rPr>
          <w:rStyle w:val="theb-i"/>
          <w:color w:val="auto"/>
        </w:rPr>
        <w:t>dārayavahuš</w:t>
      </w:r>
      <w:r w:rsidR="003A15D1">
        <w:t xml:space="preserve">, a Persian name: see </w:t>
      </w:r>
      <w:r w:rsidRPr="00B740B4">
        <w:rPr>
          <w:rStyle w:val="i"/>
          <w:color w:val="auto"/>
        </w:rPr>
        <w:t>OP</w:t>
      </w:r>
      <w:r w:rsidR="003A15D1">
        <w:t xml:space="preserve"> 189</w:t>
      </w:r>
      <w:r w:rsidRPr="00B740B4">
        <w:t>) is otherwise known. Critical scholarship has regarded him as an imaginary construct built up from various separate historical and scriptural elements.</w:t>
      </w:r>
      <w:r w:rsidR="0098759E" w:rsidRPr="00B740B4">
        <w:rPr>
          <w:rStyle w:val="FootnoteReference"/>
        </w:rPr>
        <w:footnoteReference w:id="886"/>
      </w:r>
      <w:r w:rsidRPr="00B740B4">
        <w:t xml:space="preserve"> </w:t>
      </w:r>
      <w:r w:rsidR="00E45228">
        <w:t>Cyrus’</w:t>
      </w:r>
      <w:r w:rsidRPr="00B740B4">
        <w:t xml:space="preserve"> Persian empire did replace a Median empire, in areas north of Babylonia; Cyrus himself did not immediately assume the title “King of Babyl</w:t>
      </w:r>
      <w:r w:rsidR="008568FC">
        <w:t xml:space="preserve">on,” but ruled through a vassal </w:t>
      </w:r>
      <w:r w:rsidRPr="00B740B4">
        <w:t xml:space="preserve">king; Belshazzar’s successor as lord of the Babylonian empire (i.e., Cyrus) </w:t>
      </w:r>
      <w:r w:rsidRPr="00B740B4">
        <w:rPr>
          <w:rStyle w:val="i"/>
          <w:color w:val="auto"/>
        </w:rPr>
        <w:t>was</w:t>
      </w:r>
      <w:r w:rsidRPr="00B740B4">
        <w:t xml:space="preserve"> about sixty-two and may have been part-Median himself; Babylon </w:t>
      </w:r>
      <w:r w:rsidRPr="00B740B4">
        <w:rPr>
          <w:rStyle w:val="i"/>
          <w:color w:val="auto"/>
        </w:rPr>
        <w:t>was</w:t>
      </w:r>
      <w:r w:rsidRPr="00B740B4">
        <w:t xml:space="preserve"> captured and ruled by a D</w:t>
      </w:r>
      <w:r w:rsidR="00A4067A" w:rsidRPr="00B740B4">
        <w:t>arius who appointed satraps (6:1 [2</w:t>
      </w:r>
      <w:r w:rsidRPr="00B740B4">
        <w:t>]</w:t>
      </w:r>
      <w:r w:rsidR="008568FC">
        <w:t>)</w:t>
      </w:r>
      <w:r w:rsidRPr="00B740B4">
        <w:t xml:space="preserve"> and who was related to Xerxes (9:1—but see </w:t>
      </w:r>
      <w:r w:rsidRPr="00B740B4">
        <w:rPr>
          <w:rStyle w:val="i"/>
          <w:color w:val="auto"/>
        </w:rPr>
        <w:t>Comment</w:t>
      </w:r>
      <w:r w:rsidR="00A4067A" w:rsidRPr="00B740B4">
        <w:t xml:space="preserve">)—that is, </w:t>
      </w:r>
      <w:r w:rsidRPr="00B740B4">
        <w:t>Darius Hystaspis, Cambyses</w:t>
      </w:r>
      <w:r w:rsidR="00A4067A" w:rsidRPr="00B740B4">
        <w:t xml:space="preserve">’s successor, </w:t>
      </w:r>
      <w:r w:rsidR="00E45228">
        <w:t>Xerxes’</w:t>
      </w:r>
      <w:r w:rsidR="00A4067A" w:rsidRPr="00B740B4">
        <w:t xml:space="preserve"> father.</w:t>
      </w:r>
      <w:r w:rsidR="00A4067A" w:rsidRPr="00B740B4">
        <w:rPr>
          <w:rStyle w:val="FootnoteReference"/>
        </w:rPr>
        <w:footnoteReference w:id="887"/>
      </w:r>
      <w:r w:rsidRPr="00B740B4">
        <w:t xml:space="preserve"> The prophets speak of a Median conquest of Babylon (Isa 13:17; 21:2; Jer 51:11, 28) and of a Darius as king when Jerusalem is being restored after the exile (Hag 1</w:t>
      </w:r>
      <w:r w:rsidR="00A4067A" w:rsidRPr="00B740B4">
        <w:t>:1, 15; 2:10; Zech 1:1, 7; 7:1).</w:t>
      </w:r>
      <w:r w:rsidR="00A4067A" w:rsidRPr="00B740B4">
        <w:rPr>
          <w:rStyle w:val="FootnoteReference"/>
        </w:rPr>
        <w:footnoteReference w:id="888"/>
      </w:r>
      <w:r w:rsidR="00A4067A" w:rsidRPr="00B740B4">
        <w:t xml:space="preserve"> </w:t>
      </w:r>
      <w:r w:rsidRPr="00B740B4">
        <w:t>“Median” might be an archaizing description of the Achaemenids</w:t>
      </w:r>
      <w:r w:rsidR="00A4067A" w:rsidRPr="00B740B4">
        <w:t>.</w:t>
      </w:r>
      <w:r w:rsidR="00A4067A" w:rsidRPr="00B740B4">
        <w:rPr>
          <w:rStyle w:val="FootnoteReference"/>
        </w:rPr>
        <w:footnoteReference w:id="889"/>
      </w:r>
      <w:r w:rsidRPr="00B740B4">
        <w:t xml:space="preserve"> </w:t>
      </w:r>
    </w:p>
    <w:p w:rsidR="00E13251" w:rsidRPr="00B740B4" w:rsidRDefault="00E13251" w:rsidP="00661970">
      <w:r w:rsidRPr="00B740B4">
        <w:t>Those who are inclined to take Daniel as historical point out that known history once contained no reference to Belshazzar</w:t>
      </w:r>
      <w:r w:rsidR="00526A7F" w:rsidRPr="00B740B4">
        <w:t>.</w:t>
      </w:r>
      <w:r w:rsidR="00526A7F" w:rsidRPr="00B740B4">
        <w:rPr>
          <w:rStyle w:val="FootnoteReference"/>
        </w:rPr>
        <w:footnoteReference w:id="890"/>
      </w:r>
      <w:r w:rsidR="00526A7F" w:rsidRPr="00B740B4">
        <w:t xml:space="preserve"> </w:t>
      </w:r>
      <w:r w:rsidRPr="00B740B4">
        <w:t xml:space="preserve"> Darius might have been a throne-name for some rul</w:t>
      </w:r>
      <w:r w:rsidR="00526A7F" w:rsidRPr="00B740B4">
        <w:t>er known to us by another name</w:t>
      </w:r>
      <w:r w:rsidRPr="00B740B4">
        <w:t>.</w:t>
      </w:r>
      <w:r w:rsidR="00526A7F" w:rsidRPr="00B740B4">
        <w:rPr>
          <w:rStyle w:val="FootnoteReference"/>
        </w:rPr>
        <w:footnoteReference w:id="891"/>
      </w:r>
      <w:r w:rsidRPr="00B740B4">
        <w:t xml:space="preserve"> Among the identifications proposed for this ruler are </w:t>
      </w:r>
      <w:r w:rsidR="00EC1A23" w:rsidRPr="00B740B4">
        <w:t xml:space="preserve">Xerxes or </w:t>
      </w:r>
      <w:r w:rsidR="00934229" w:rsidRPr="00B740B4">
        <w:t xml:space="preserve">Artaxerxes (OG); </w:t>
      </w:r>
      <w:r w:rsidRPr="00B740B4">
        <w:t>Cyrus the Persian himself;</w:t>
      </w:r>
      <w:r w:rsidR="00526A7F" w:rsidRPr="00B740B4">
        <w:rPr>
          <w:rStyle w:val="FootnoteReference"/>
        </w:rPr>
        <w:footnoteReference w:id="892"/>
      </w:r>
      <w:r w:rsidRPr="00B740B4">
        <w:t xml:space="preserve"> </w:t>
      </w:r>
      <w:r w:rsidR="00E45228">
        <w:t>Cyrus’</w:t>
      </w:r>
      <w:r w:rsidRPr="00B740B4">
        <w:t xml:space="preserve"> son Cambyses, who at some time was titular King of Babylon;</w:t>
      </w:r>
      <w:r w:rsidR="00526A7F" w:rsidRPr="00B740B4">
        <w:rPr>
          <w:rStyle w:val="FootnoteReference"/>
        </w:rPr>
        <w:footnoteReference w:id="893"/>
      </w:r>
      <w:r w:rsidRPr="00B740B4">
        <w:t xml:space="preserve"> the last Median king Astyages</w:t>
      </w:r>
      <w:r w:rsidR="00526A7F" w:rsidRPr="00B740B4">
        <w:t>;</w:t>
      </w:r>
      <w:r w:rsidR="00526A7F" w:rsidRPr="00B740B4">
        <w:rPr>
          <w:rStyle w:val="FootnoteReference"/>
        </w:rPr>
        <w:footnoteReference w:id="894"/>
      </w:r>
      <w:r w:rsidRPr="00B740B4">
        <w:t xml:space="preserve"> his son Cyaxares II, referred to only by Xenophon (</w:t>
      </w:r>
      <w:r w:rsidRPr="00B740B4">
        <w:rPr>
          <w:rStyle w:val="i"/>
          <w:color w:val="auto"/>
        </w:rPr>
        <w:t>Cyr</w:t>
      </w:r>
      <w:r w:rsidR="00526A7F" w:rsidRPr="00B740B4">
        <w:rPr>
          <w:rStyle w:val="i"/>
          <w:color w:val="auto"/>
        </w:rPr>
        <w:t>opedia</w:t>
      </w:r>
      <w:r w:rsidRPr="00B740B4">
        <w:t xml:space="preserve"> 1–8)</w:t>
      </w:r>
      <w:r w:rsidR="00526A7F" w:rsidRPr="00B740B4">
        <w:t>;</w:t>
      </w:r>
      <w:r w:rsidR="00526A7F" w:rsidRPr="00B740B4">
        <w:rPr>
          <w:rStyle w:val="FootnoteReference"/>
        </w:rPr>
        <w:footnoteReference w:id="895"/>
      </w:r>
      <w:r w:rsidRPr="00B740B4">
        <w:t xml:space="preserve"> </w:t>
      </w:r>
      <w:r w:rsidR="00E45228">
        <w:t>Cyrus’</w:t>
      </w:r>
      <w:r w:rsidRPr="00B740B4">
        <w:t xml:space="preserve"> </w:t>
      </w:r>
      <w:r w:rsidRPr="00B740B4">
        <w:lastRenderedPageBreak/>
        <w:t xml:space="preserve">general Gobryas (Gubaru/Ugbaru, </w:t>
      </w:r>
      <w:r w:rsidRPr="004A3897">
        <w:rPr>
          <w:rStyle w:val="i"/>
          <w:i w:val="0"/>
          <w:color w:val="auto"/>
        </w:rPr>
        <w:t>OP</w:t>
      </w:r>
      <w:r w:rsidRPr="00B740B4">
        <w:t xml:space="preserve"> Gaubaruwa) who captured Babylon for the Persians, ruled there on </w:t>
      </w:r>
      <w:r w:rsidR="00E45228">
        <w:t>Cyrus’</w:t>
      </w:r>
      <w:r w:rsidRPr="00B740B4">
        <w:t xml:space="preserve"> behalf for a period, and as governor of Gutium could be thought of as a Mede;</w:t>
      </w:r>
      <w:r w:rsidR="00316B19" w:rsidRPr="00B740B4">
        <w:rPr>
          <w:rStyle w:val="FootnoteReference"/>
        </w:rPr>
        <w:footnoteReference w:id="896"/>
      </w:r>
      <w:r w:rsidRPr="00B740B4">
        <w:t xml:space="preserve"> and—on the hypothesis that this Gobryas/Ugbaru died very soon after the fall of Babylon (so one understanding of the Babylonian Chronicle)—</w:t>
      </w:r>
      <w:r w:rsidR="00E45228">
        <w:t>Cyrus’</w:t>
      </w:r>
      <w:r w:rsidRPr="00B740B4">
        <w:t xml:space="preserve"> governor in Babylon, another Gubaru.</w:t>
      </w:r>
      <w:r w:rsidR="00316B19" w:rsidRPr="00B740B4">
        <w:rPr>
          <w:rStyle w:val="FootnoteReference"/>
        </w:rPr>
        <w:footnoteReference w:id="897"/>
      </w:r>
    </w:p>
    <w:p w:rsidR="00E13251" w:rsidRPr="00B740B4" w:rsidRDefault="00E13251" w:rsidP="00661970">
      <w:r w:rsidRPr="00B740B4">
        <w:t>The significance of Darius the Mede for Daniel is first that he represents the beginning of the fulfillment of Belshazzar’s portent regarding the destiny of</w:t>
      </w:r>
      <w:r w:rsidR="008568FC">
        <w:t xml:space="preserve"> Belshazzar’s empire; </w:t>
      </w:r>
      <w:r w:rsidR="00316B19" w:rsidRPr="00B740B4">
        <w:t>5:28; 6:28 [29</w:t>
      </w:r>
      <w:r w:rsidR="008568FC">
        <w:t>] will bring a second stage</w:t>
      </w:r>
      <w:r w:rsidRPr="00B740B4">
        <w:t xml:space="preserve">. In the perspective of the stories as a whole, he is the third of the four rulers of Babylon envisaged by Nebuchadnezzar’s dream (see on chap. 2). Read </w:t>
      </w:r>
      <w:r w:rsidR="00330C0F">
        <w:t>in light</w:t>
      </w:r>
      <w:r w:rsidRPr="00B740B4">
        <w:t xml:space="preserve"> of subsequent visions, he will become the embodiment of the se</w:t>
      </w:r>
      <w:r w:rsidR="00316B19" w:rsidRPr="00B740B4">
        <w:t>cond of Daniel’s four empires.</w:t>
      </w:r>
      <w:r w:rsidR="00316B19" w:rsidRPr="00B740B4">
        <w:rPr>
          <w:rStyle w:val="FootnoteReference"/>
        </w:rPr>
        <w:footnoteReference w:id="898"/>
      </w:r>
    </w:p>
    <w:p w:rsidR="00E13251" w:rsidRPr="00B740B4" w:rsidRDefault="00E13251" w:rsidP="00661970">
      <w:r w:rsidRPr="00B740B4">
        <w:t>The precision of “sixty-two” makes it unlikely that Daniel is merely indicating that Darius was rather old and therefore reigned only a short time. Sixty-two years takes us back to the beginning of the exile, so the reference might suggest that the seeds of the downfall of Nebuchadnezzar’s dynasty were sown even then</w:t>
      </w:r>
      <w:r w:rsidR="00316B19" w:rsidRPr="00B740B4">
        <w:t>.</w:t>
      </w:r>
      <w:r w:rsidR="00316B19" w:rsidRPr="00B740B4">
        <w:rPr>
          <w:rStyle w:val="FootnoteReference"/>
        </w:rPr>
        <w:footnoteReference w:id="899"/>
      </w:r>
      <w:r w:rsidRPr="00B740B4">
        <w:t xml:space="preserve"> Mo</w:t>
      </w:r>
      <w:r w:rsidR="00316B19" w:rsidRPr="00B740B4">
        <w:t>re likely sixty-two relates to</w:t>
      </w:r>
      <w:r w:rsidRPr="00B740B4">
        <w:t xml:space="preserve"> the omen. If the</w:t>
      </w:r>
      <w:r w:rsidR="008568FC">
        <w:t xml:space="preserve"> mina is </w:t>
      </w:r>
      <w:r w:rsidR="00316B19" w:rsidRPr="00B740B4">
        <w:t>the mina comprising sixty</w:t>
      </w:r>
      <w:r w:rsidRPr="00B740B4">
        <w:t xml:space="preserve"> </w:t>
      </w:r>
      <w:r w:rsidR="00B203BB" w:rsidRPr="00B740B4">
        <w:t>sheqel</w:t>
      </w:r>
      <w:r w:rsidRPr="00B740B4">
        <w:t xml:space="preserve">s (not </w:t>
      </w:r>
      <w:r w:rsidR="00316B19" w:rsidRPr="00B740B4">
        <w:t>the more usual Palestinian mina comprising fifty</w:t>
      </w:r>
      <w:r w:rsidRPr="00B740B4">
        <w:t xml:space="preserve"> </w:t>
      </w:r>
      <w:r w:rsidR="00B203BB" w:rsidRPr="00B740B4">
        <w:t>sheqel</w:t>
      </w:r>
      <w:r w:rsidRPr="00B740B4">
        <w:t xml:space="preserve">s), then a mina, a </w:t>
      </w:r>
      <w:r w:rsidR="00B203BB" w:rsidRPr="00B740B4">
        <w:t>sheqel</w:t>
      </w:r>
      <w:r w:rsidRPr="00B740B4">
        <w:t xml:space="preserve"> and (two) halves (of a </w:t>
      </w:r>
      <w:r w:rsidR="00B203BB" w:rsidRPr="00B740B4">
        <w:t>sheqel</w:t>
      </w:r>
      <w:r w:rsidRPr="00B740B4">
        <w:t xml:space="preserve">) come to 62 </w:t>
      </w:r>
      <w:r w:rsidR="00B203BB" w:rsidRPr="00B740B4">
        <w:t>sheqel</w:t>
      </w:r>
      <w:r w:rsidR="00316B19" w:rsidRPr="00B740B4">
        <w:t>s</w:t>
      </w:r>
      <w:r w:rsidRPr="00B740B4">
        <w:t>.</w:t>
      </w:r>
      <w:r w:rsidR="00316B19" w:rsidRPr="00B740B4">
        <w:rPr>
          <w:rStyle w:val="FootnoteReference"/>
        </w:rPr>
        <w:footnoteReference w:id="900"/>
      </w:r>
      <w:r w:rsidRPr="00B740B4">
        <w:t xml:space="preserve"> The years attributed to Darius “sum up” another aspect of the omen’s meaning: he i</w:t>
      </w:r>
      <w:r w:rsidR="00316B19" w:rsidRPr="00B740B4">
        <w:t xml:space="preserve">s the </w:t>
      </w:r>
      <w:r w:rsidRPr="00B740B4">
        <w:t>person who brings its fulfillment upon Belshazzar.</w:t>
      </w:r>
    </w:p>
    <w:p w:rsidR="00E13251" w:rsidRPr="00B740B4" w:rsidRDefault="00E13251" w:rsidP="009479B1">
      <w:pPr>
        <w:pStyle w:val="Heading2"/>
      </w:pPr>
      <w:r w:rsidRPr="00B740B4">
        <w:t>Explanation</w:t>
      </w:r>
    </w:p>
    <w:p w:rsidR="00B0435E" w:rsidRPr="00B740B4" w:rsidRDefault="00E13251" w:rsidP="00661970">
      <w:r w:rsidRPr="00B740B4">
        <w:rPr>
          <w:rStyle w:val="b"/>
          <w:color w:val="auto"/>
        </w:rPr>
        <w:t>1–4</w:t>
      </w:r>
      <w:r w:rsidRPr="00B740B4">
        <w:t xml:space="preserve"> Belshazzar’s story begins like Nebuchadnezzar’s, with a flourishing monarchy in royal majesty. But </w:t>
      </w:r>
      <w:r w:rsidR="00143B35">
        <w:t xml:space="preserve">there was an ambiguity about this description of </w:t>
      </w:r>
      <w:r w:rsidRPr="00B740B4">
        <w:t>Nebuchadnezzar’s succ</w:t>
      </w:r>
      <w:r w:rsidR="00143B35">
        <w:t>ess</w:t>
      </w:r>
      <w:r w:rsidR="00975AD6" w:rsidRPr="00B740B4">
        <w:t>. T</w:t>
      </w:r>
      <w:r w:rsidRPr="00B740B4">
        <w:t>he desc</w:t>
      </w:r>
      <w:r w:rsidR="00B0435E" w:rsidRPr="00B740B4">
        <w:t>ription of things going so well</w:t>
      </w:r>
      <w:r w:rsidR="00975AD6" w:rsidRPr="00B740B4">
        <w:t>,</w:t>
      </w:r>
      <w:r w:rsidR="00B0435E" w:rsidRPr="00B740B4">
        <w:t xml:space="preserve"> which did not mention God</w:t>
      </w:r>
      <w:r w:rsidR="00975AD6" w:rsidRPr="00B740B4">
        <w:t>,</w:t>
      </w:r>
      <w:r w:rsidRPr="00B740B4">
        <w:t xml:space="preserve"> already hinted that catastrophe might be imminent. There is a similar ambiguity about the story of Belshazzar’s state banquet. A banquet is a sign of honor appropriate to a king (1 Kgs 3:15), but the temperate streak in Jewish thinking is reserved about such occasions. They can bode ill. Things tend to go wrong at royal banquets (Gen 40:20–22; Esth 1; Mark 6:21–28). </w:t>
      </w:r>
    </w:p>
    <w:p w:rsidR="00E13251" w:rsidRPr="00B740B4" w:rsidRDefault="00E13251" w:rsidP="00661970">
      <w:r w:rsidRPr="00B740B4">
        <w:t xml:space="preserve">A further contrast with the previous chapter likewise bodes ill. The story of Nebuchadnezzar’s humiliation was prefaced by a testimony that revealed </w:t>
      </w:r>
      <w:r w:rsidR="00DD2555">
        <w:t xml:space="preserve">in anticipation </w:t>
      </w:r>
      <w:r w:rsidRPr="00B740B4">
        <w:t xml:space="preserve">that all turned out well in the end. Belshazzar’s story has no such preface. </w:t>
      </w:r>
      <w:r w:rsidR="00975AD6" w:rsidRPr="00B740B4">
        <w:t>We are not getting Belshazzar’s testimony but a narrator’s story about him. And the story</w:t>
      </w:r>
      <w:r w:rsidRPr="00B740B4">
        <w:t xml:space="preserve"> begins with a scene that can be read as one of ostentation, decadence, carousing, coarseness, wantonness, and self-indulgence, a scene that might have been designed to ill</w:t>
      </w:r>
      <w:r w:rsidR="00B0435E" w:rsidRPr="00B740B4">
        <w:t xml:space="preserve">ustrate the </w:t>
      </w:r>
      <w:r w:rsidRPr="00B740B4">
        <w:t xml:space="preserve">warnings </w:t>
      </w:r>
      <w:r w:rsidR="00B0435E" w:rsidRPr="00B740B4">
        <w:t xml:space="preserve">in Proverbs </w:t>
      </w:r>
      <w:r w:rsidRPr="00B740B4">
        <w:t>about power, sex, and drink (e.g., Prov 23:29–35</w:t>
      </w:r>
      <w:r w:rsidR="00DD2555">
        <w:t>)</w:t>
      </w:r>
      <w:r w:rsidR="00B0435E" w:rsidRPr="00B740B4">
        <w:t>.</w:t>
      </w:r>
      <w:r w:rsidR="00B0435E" w:rsidRPr="00B740B4">
        <w:rPr>
          <w:rStyle w:val="FootnoteReference"/>
        </w:rPr>
        <w:footnoteReference w:id="901"/>
      </w:r>
    </w:p>
    <w:p w:rsidR="001E5D6E" w:rsidRPr="00B740B4" w:rsidRDefault="00E13251" w:rsidP="001E5D6E">
      <w:r w:rsidRPr="00B740B4">
        <w:t>Fro</w:t>
      </w:r>
      <w:r w:rsidR="00B0435E" w:rsidRPr="00B740B4">
        <w:t>m self-indulgence issue</w:t>
      </w:r>
      <w:r w:rsidRPr="00B740B4">
        <w:t xml:space="preserve"> </w:t>
      </w:r>
      <w:r w:rsidR="00975AD6" w:rsidRPr="00B740B4">
        <w:t>sacrilege and blasphemy. W</w:t>
      </w:r>
      <w:r w:rsidR="00B0435E" w:rsidRPr="00B740B4">
        <w:t>hat i</w:t>
      </w:r>
      <w:r w:rsidRPr="00B740B4">
        <w:t>s wrong wi</w:t>
      </w:r>
      <w:r w:rsidR="00B0435E" w:rsidRPr="00B740B4">
        <w:t>th the banquet is not the event itself but where it leads. Daniel will in due course explicitly locate B</w:t>
      </w:r>
      <w:r w:rsidR="00DD2555">
        <w:t>elshazzar’s wrongdoing</w:t>
      </w:r>
      <w:r w:rsidR="00B0435E" w:rsidRPr="00B740B4">
        <w:t xml:space="preserve"> in his attitude to God and in his position before God </w:t>
      </w:r>
      <w:r w:rsidRPr="00B740B4">
        <w:t>(vv 22–23). We are not told why Belshazzar sent for these particular vessels. Perhaps they are assumed to be t</w:t>
      </w:r>
      <w:r w:rsidR="00975AD6" w:rsidRPr="00B740B4">
        <w:t>he most valuable he possessed. T</w:t>
      </w:r>
      <w:r w:rsidRPr="00B740B4">
        <w:t>h</w:t>
      </w:r>
      <w:r w:rsidR="00B0435E" w:rsidRPr="00B740B4">
        <w:t>eologi</w:t>
      </w:r>
      <w:r w:rsidR="00975AD6" w:rsidRPr="00B740B4">
        <w:t xml:space="preserve">cally, </w:t>
      </w:r>
      <w:r w:rsidRPr="00B740B4">
        <w:t xml:space="preserve">they </w:t>
      </w:r>
      <w:r w:rsidRPr="00B740B4">
        <w:lastRenderedPageBreak/>
        <w:t>certainly were. To a pagan, drinking the customary libations with the vessels mig</w:t>
      </w:r>
      <w:r w:rsidR="00975AD6" w:rsidRPr="00B740B4">
        <w:t>ht mitigate any</w:t>
      </w:r>
      <w:r w:rsidRPr="00B740B4">
        <w:t xml:space="preserve"> suggestion of sacrilege involved in utilizing temple vessels at a palace banquet. Like saying grace, it set</w:t>
      </w:r>
      <w:r w:rsidR="00B0435E" w:rsidRPr="00B740B4">
        <w:t>s</w:t>
      </w:r>
      <w:r w:rsidRPr="00B740B4">
        <w:t xml:space="preserve"> the celebration in th</w:t>
      </w:r>
      <w:r w:rsidR="00B0435E" w:rsidRPr="00B740B4">
        <w:t>e context of faith; it signifies that people kno</w:t>
      </w:r>
      <w:r w:rsidRPr="00B740B4">
        <w:t xml:space="preserve">w they were having their celebration before God. </w:t>
      </w:r>
      <w:r w:rsidR="00975AD6" w:rsidRPr="00B740B4">
        <w:t xml:space="preserve">It might thus be seen as a way of honoring the deity. But </w:t>
      </w:r>
      <w:r w:rsidRPr="00B740B4">
        <w:t xml:space="preserve">these vessels </w:t>
      </w:r>
      <w:r w:rsidR="00975AD6" w:rsidRPr="00B740B4">
        <w:t xml:space="preserve">are </w:t>
      </w:r>
      <w:r w:rsidRPr="00B740B4">
        <w:t xml:space="preserve">sacred to one who hates idolatry </w:t>
      </w:r>
      <w:r w:rsidR="00975AD6" w:rsidRPr="00B740B4">
        <w:t xml:space="preserve">and they </w:t>
      </w:r>
      <w:r w:rsidRPr="00B740B4">
        <w:t xml:space="preserve">are </w:t>
      </w:r>
      <w:r w:rsidR="00975AD6" w:rsidRPr="00B740B4">
        <w:t xml:space="preserve">being </w:t>
      </w:r>
      <w:r w:rsidRPr="00B740B4">
        <w:t xml:space="preserve">used </w:t>
      </w:r>
      <w:r w:rsidR="00B0435E" w:rsidRPr="00B740B4">
        <w:t>for libations to idols</w:t>
      </w:r>
      <w:r w:rsidR="00975AD6" w:rsidRPr="00B740B4">
        <w:t>, which</w:t>
      </w:r>
      <w:r w:rsidR="00B0435E" w:rsidRPr="00B740B4">
        <w:t xml:space="preserve"> compounds the offense instead.</w:t>
      </w:r>
      <w:r w:rsidRPr="00B740B4">
        <w:t xml:space="preserve"> The exile might be thought to have established the power of Babylon’s gods over the God of Israel; therefore the exile produces all the stronger affirmations of </w:t>
      </w:r>
      <w:r w:rsidR="00B0435E" w:rsidRPr="00B740B4">
        <w:t xml:space="preserve">this </w:t>
      </w:r>
      <w:r w:rsidRPr="00B740B4">
        <w:t xml:space="preserve">God’s sole authority and power and of the powerlessness of idols (Isa 40–41; 44). To offer libations to them </w:t>
      </w:r>
      <w:r w:rsidR="00287A93" w:rsidRPr="00B740B4">
        <w:t xml:space="preserve">in this way </w:t>
      </w:r>
      <w:r w:rsidRPr="00B740B4">
        <w:t xml:space="preserve">is to slight the deity of God. </w:t>
      </w:r>
      <w:r w:rsidR="00287A93" w:rsidRPr="00B740B4">
        <w:t>“Belshazzar’s blasphemy consisted in taking what belonged to the true and living God and using it for his own corrupt and decadent</w:t>
      </w:r>
      <w:r w:rsidR="00DD2555">
        <w:t xml:space="preserve"> </w:t>
      </w:r>
      <w:r w:rsidR="00287A93" w:rsidRPr="00B740B4">
        <w:t>purposes in a context of contempt for God’s assumed powerlessness.”</w:t>
      </w:r>
      <w:r w:rsidR="00287A93" w:rsidRPr="00B740B4">
        <w:rPr>
          <w:vertAlign w:val="superscript"/>
        </w:rPr>
        <w:footnoteReference w:id="902"/>
      </w:r>
      <w:r w:rsidR="00287A93" w:rsidRPr="00B740B4">
        <w:t xml:space="preserve"> </w:t>
      </w:r>
      <w:r w:rsidR="003B1033">
        <w:t>It is a “reckless gesture.”</w:t>
      </w:r>
      <w:r w:rsidR="003B1033">
        <w:rPr>
          <w:rStyle w:val="FootnoteReference"/>
        </w:rPr>
        <w:footnoteReference w:id="903"/>
      </w:r>
      <w:r w:rsidR="003B1033">
        <w:t xml:space="preserve"> </w:t>
      </w:r>
      <w:r w:rsidR="00287A93" w:rsidRPr="00B740B4">
        <w:t xml:space="preserve">The extra note in </w:t>
      </w:r>
      <w:r w:rsidR="00AF422C">
        <w:t>v</w:t>
      </w:r>
      <w:r w:rsidR="00287A93" w:rsidRPr="00B740B4">
        <w:t xml:space="preserve"> 3 which avoids the description being simple repetition underlines the point.</w:t>
      </w:r>
      <w:r w:rsidR="00287A93" w:rsidRPr="00B740B4">
        <w:rPr>
          <w:vertAlign w:val="superscript"/>
        </w:rPr>
        <w:footnoteReference w:id="904"/>
      </w:r>
      <w:r w:rsidR="00287A93" w:rsidRPr="00B740B4">
        <w:t xml:space="preserve"> </w:t>
      </w:r>
      <w:r w:rsidRPr="00B740B4">
        <w:t>The story is one of the many that indicate that the Bible comes from a multi-faith context; Daniel’s approach to</w:t>
      </w:r>
      <w:r w:rsidR="00DD2555">
        <w:t xml:space="preserve"> multi-faith questions is among</w:t>
      </w:r>
      <w:r w:rsidRPr="00B740B4">
        <w:t xml:space="preserve"> the ones that reflection on these questions has to take into a</w:t>
      </w:r>
      <w:r w:rsidR="00B0435E" w:rsidRPr="00B740B4">
        <w:t>ccount</w:t>
      </w:r>
      <w:r w:rsidRPr="00B740B4">
        <w:t>.</w:t>
      </w:r>
    </w:p>
    <w:p w:rsidR="00287A93" w:rsidRPr="00B740B4" w:rsidRDefault="00E13251" w:rsidP="00287A93">
      <w:r w:rsidRPr="00B740B4">
        <w:t>Belshazzar’s “</w:t>
      </w:r>
      <w:r w:rsidR="00247EC1">
        <w:t>father” had captured the temple articles</w:t>
      </w:r>
      <w:r w:rsidRPr="00B740B4">
        <w:t xml:space="preserve"> and had learned to honor the God to whom they belonged, as</w:t>
      </w:r>
      <w:r w:rsidR="00B0435E" w:rsidRPr="00B740B4">
        <w:t xml:space="preserve"> has</w:t>
      </w:r>
      <w:r w:rsidR="00DD2555">
        <w:t xml:space="preserve"> just been pointed out (4:37</w:t>
      </w:r>
      <w:r w:rsidRPr="00B740B4">
        <w:t>); Belshazzar remembers the one fact, but not the other. Belshazzar’s actual father, Nabonidus, had likewise learned to repent of his attachmen</w:t>
      </w:r>
      <w:r w:rsidR="00DD2555">
        <w:t>t to gods of gold, silver, bronze</w:t>
      </w:r>
      <w:r w:rsidRPr="00B740B4">
        <w:t>, iron, wood, and stone</w:t>
      </w:r>
      <w:r w:rsidR="00247EC1">
        <w:t>, according to the Prayer of Nabonidus</w:t>
      </w:r>
      <w:r w:rsidRPr="00B740B4">
        <w:t xml:space="preserve"> (4QPrNab). </w:t>
      </w:r>
      <w:r w:rsidR="00287A93" w:rsidRPr="00B740B4">
        <w:t>In a sense, what Belshazzar does is in keeping with what Nebuchadnezzar did with them (1:2), but as far as we know</w:t>
      </w:r>
      <w:r w:rsidR="00247EC1">
        <w:t xml:space="preserve"> Nebuchadnezzar simply left the articles</w:t>
      </w:r>
      <w:r w:rsidR="00287A93" w:rsidRPr="00B740B4">
        <w:t xml:space="preserve"> laid up in the treasury; he did nothing of this kind with them.</w:t>
      </w:r>
      <w:r w:rsidR="00287A93" w:rsidRPr="00B740B4">
        <w:rPr>
          <w:vertAlign w:val="superscript"/>
        </w:rPr>
        <w:footnoteReference w:id="905"/>
      </w:r>
      <w:r w:rsidR="00287A93" w:rsidRPr="00B740B4">
        <w:t xml:space="preserve"> In bringing </w:t>
      </w:r>
      <w:r w:rsidR="00247EC1">
        <w:t xml:space="preserve">them out </w:t>
      </w:r>
      <w:r w:rsidR="00287A93" w:rsidRPr="00B740B4">
        <w:t>and using them at his banquet Belshazzar is going one better than his father.</w:t>
      </w:r>
      <w:r w:rsidR="00287A93" w:rsidRPr="00B740B4">
        <w:rPr>
          <w:vertAlign w:val="superscript"/>
        </w:rPr>
        <w:footnoteReference w:id="906"/>
      </w:r>
    </w:p>
    <w:p w:rsidR="00E13251" w:rsidRPr="00B740B4" w:rsidRDefault="00247EC1" w:rsidP="00661970">
      <w:r>
        <w:t>The temple articles’ presence</w:t>
      </w:r>
      <w:r w:rsidR="00E13251" w:rsidRPr="00B740B4">
        <w:t xml:space="preserve"> in Babylon is a reminder o</w:t>
      </w:r>
      <w:r>
        <w:t xml:space="preserve">f something significant that had happened a few decades before in </w:t>
      </w:r>
      <w:r w:rsidR="00E13251" w:rsidRPr="00B740B4">
        <w:t>political history, but asserting the authority of Babylon and its gods over the exiles and their God succeeds in provoking the exiles’ God to send Belshazzar a portent that only an exile can interpret for him. It will prove that the God who is treated as powerless has power, and it will expose the gods who are manifestly powerless for what they are (cf. Ps 115:1–8 and, in the context of Babylonian exile, Isa 40</w:t>
      </w:r>
      <w:r w:rsidR="00B0435E" w:rsidRPr="00B740B4">
        <w:t>:12–31; 41:1–7; 44:6–20).</w:t>
      </w:r>
      <w:r w:rsidR="00165DF3" w:rsidRPr="00B740B4">
        <w:rPr>
          <w:rStyle w:val="FootnoteReference"/>
        </w:rPr>
        <w:footnoteReference w:id="907"/>
      </w:r>
      <w:r w:rsidR="00B0435E" w:rsidRPr="00B740B4">
        <w:t xml:space="preserve"> Belshazzar’s action is</w:t>
      </w:r>
      <w:r w:rsidR="00E13251" w:rsidRPr="00B740B4">
        <w:t xml:space="preserve"> a mad gesture, and the story perhaps hints that it would only have taken place under the influence of alcohol (v 2).</w:t>
      </w:r>
    </w:p>
    <w:p w:rsidR="00287A93" w:rsidRPr="00B740B4" w:rsidRDefault="00E13251" w:rsidP="00661970">
      <w:r w:rsidRPr="00B740B4">
        <w:rPr>
          <w:rStyle w:val="b"/>
          <w:color w:val="auto"/>
        </w:rPr>
        <w:t>5–9</w:t>
      </w:r>
      <w:r w:rsidR="00287A93" w:rsidRPr="00B740B4">
        <w:t xml:space="preserve"> To the listen</w:t>
      </w:r>
      <w:r w:rsidRPr="00B740B4">
        <w:t xml:space="preserve">er, it is clear enough that there must be some divine response to the enormity that has been described. It comes instantly, like the </w:t>
      </w:r>
      <w:r w:rsidR="00B0435E" w:rsidRPr="00B740B4">
        <w:t>judgm</w:t>
      </w:r>
      <w:r w:rsidR="00247EC1">
        <w:t>ent on Nebuchadnezzar (4:31</w:t>
      </w:r>
      <w:r w:rsidR="00B0435E" w:rsidRPr="00B740B4">
        <w:t>) and that on Herod (</w:t>
      </w:r>
      <w:r w:rsidRPr="00B740B4">
        <w:t>Acts 12:23</w:t>
      </w:r>
      <w:r w:rsidR="00B0435E" w:rsidRPr="00B740B4">
        <w:t>)</w:t>
      </w:r>
      <w:r w:rsidR="00287A93" w:rsidRPr="00B740B4">
        <w:t xml:space="preserve">, to make </w:t>
      </w:r>
      <w:r w:rsidRPr="00B740B4">
        <w:t>its significance</w:t>
      </w:r>
      <w:r w:rsidR="00287A93" w:rsidRPr="00B740B4">
        <w:t xml:space="preserve"> clear</w:t>
      </w:r>
      <w:r w:rsidR="0021382A" w:rsidRPr="00B740B4">
        <w:t xml:space="preserve">. </w:t>
      </w:r>
      <w:r w:rsidRPr="00B740B4">
        <w:t xml:space="preserve">Whether or not he recognizes it, Belshazzar and in him the whole Babylonian empire has issued a challenge that God must accept. There thus follows an item that did not appear on the program for the evening, yet one that had been wished into </w:t>
      </w:r>
      <w:r w:rsidR="007E48C3" w:rsidRPr="00B740B4">
        <w:t>being by Belshazzar’s act</w:t>
      </w:r>
      <w:r w:rsidRPr="00B740B4">
        <w:t>; his worship of lifeless gods provokes a hidden theophan</w:t>
      </w:r>
      <w:r w:rsidR="00287A93" w:rsidRPr="00B740B4">
        <w:t>y in the form of a living hand. Commentators like to observe that it is the</w:t>
      </w:r>
      <w:r w:rsidRPr="00B740B4">
        <w:t xml:space="preserve"> hand which wrote at Sinai (Exod 31:18) but which now inscribes a more sinister mes</w:t>
      </w:r>
      <w:r w:rsidR="007E48C3" w:rsidRPr="00B740B4">
        <w:t>sage</w:t>
      </w:r>
      <w:r w:rsidR="00287A93" w:rsidRPr="00B740B4">
        <w:t>,</w:t>
      </w:r>
      <w:r w:rsidR="007E48C3" w:rsidRPr="00B740B4">
        <w:rPr>
          <w:rStyle w:val="FootnoteReference"/>
        </w:rPr>
        <w:footnoteReference w:id="908"/>
      </w:r>
      <w:r w:rsidR="00287A93" w:rsidRPr="00B740B4">
        <w:t xml:space="preserve"> though it is noteworthy that the story makes a point of calling it a human hand</w:t>
      </w:r>
      <w:r w:rsidR="00247EC1">
        <w:t>. It</w:t>
      </w:r>
      <w:r w:rsidR="005F7D7C" w:rsidRPr="00B740B4">
        <w:t xml:space="preserve"> </w:t>
      </w:r>
      <w:r w:rsidR="00247EC1">
        <w:t xml:space="preserve">is </w:t>
      </w:r>
      <w:r w:rsidR="005F7D7C" w:rsidRPr="00B740B4">
        <w:t>manifestly preternatural but not manifestly divine, like the dream messages of chaps. 2 and 4, and it lacks the self-evident clarity of a</w:t>
      </w:r>
      <w:r w:rsidR="00247EC1">
        <w:t xml:space="preserve"> direct prophetic message. God brings his</w:t>
      </w:r>
      <w:r w:rsidR="00247EC1" w:rsidRPr="00247EC1">
        <w:t xml:space="preserve"> clear message</w:t>
      </w:r>
      <w:r w:rsidR="005F7D7C" w:rsidRPr="00B740B4">
        <w:t xml:space="preserve"> </w:t>
      </w:r>
      <w:r w:rsidR="005F7D7C" w:rsidRPr="00B740B4">
        <w:lastRenderedPageBreak/>
        <w:t>via an</w:t>
      </w:r>
      <w:r w:rsidR="00247EC1">
        <w:t xml:space="preserve"> interpreter such as Daniel. Yet t</w:t>
      </w:r>
      <w:r w:rsidR="005F7D7C" w:rsidRPr="00B740B4">
        <w:t>he combination of preternatural omen and clear message may have more chance of finding a hearing.</w:t>
      </w:r>
    </w:p>
    <w:p w:rsidR="00E13251" w:rsidRPr="00B740B4" w:rsidRDefault="007E48C3" w:rsidP="00661970">
      <w:r w:rsidRPr="00B740B4">
        <w:t>Although the narrative may imply</w:t>
      </w:r>
      <w:r w:rsidR="00E13251" w:rsidRPr="00B740B4">
        <w:t xml:space="preserve"> that everyone could </w:t>
      </w:r>
      <w:r w:rsidR="00E13251" w:rsidRPr="00B740B4">
        <w:rPr>
          <w:rStyle w:val="i"/>
          <w:color w:val="auto"/>
        </w:rPr>
        <w:t>see</w:t>
      </w:r>
      <w:r w:rsidR="00E13251" w:rsidRPr="00B740B4">
        <w:t xml:space="preserve"> the inscription, its message</w:t>
      </w:r>
      <w:r w:rsidRPr="00B740B4">
        <w:t xml:space="preserve"> will concern Belshazzar</w:t>
      </w:r>
      <w:r w:rsidR="00E13251" w:rsidRPr="00B740B4">
        <w:t xml:space="preserve"> more than the people he</w:t>
      </w:r>
      <w:r w:rsidRPr="00B740B4">
        <w:t xml:space="preserve"> represents, and perhaps the hand,</w:t>
      </w:r>
      <w:r w:rsidR="00E13251" w:rsidRPr="00B740B4">
        <w:t xml:space="preserve"> which appeared for the sake of one man, was visible to him alone. </w:t>
      </w:r>
      <w:r w:rsidR="00A12D54" w:rsidRPr="00B740B4">
        <w:t>“The reader is placed in the position of the king, who knows neither where the hand cam</w:t>
      </w:r>
      <w:r w:rsidR="005F7D7C" w:rsidRPr="00B740B4">
        <w:t>e</w:t>
      </w:r>
      <w:r w:rsidR="00A12D54" w:rsidRPr="00B740B4">
        <w:t xml:space="preserve"> from nor what the writing says.” </w:t>
      </w:r>
      <w:r w:rsidR="00A12D54" w:rsidRPr="00B740B4">
        <w:rPr>
          <w:rStyle w:val="FootnoteReference"/>
        </w:rPr>
        <w:footnoteReference w:id="909"/>
      </w:r>
      <w:r w:rsidR="00A12D54" w:rsidRPr="00B740B4">
        <w:t xml:space="preserve"> If </w:t>
      </w:r>
      <w:r w:rsidR="000C05F0" w:rsidRPr="00B740B4">
        <w:t xml:space="preserve">Belshazzar </w:t>
      </w:r>
      <w:r w:rsidR="00A12D54" w:rsidRPr="00B740B4">
        <w:t xml:space="preserve">alone </w:t>
      </w:r>
      <w:r w:rsidR="000C05F0" w:rsidRPr="00B740B4">
        <w:t>could see the inscription, it would heighten the parallel with chap. 2, where the experts needed to be able to say what the king’s dream was as well as interpreting it.</w:t>
      </w:r>
      <w:r w:rsidR="000C05F0" w:rsidRPr="00B740B4">
        <w:rPr>
          <w:rStyle w:val="FootnoteReference"/>
        </w:rPr>
        <w:footnoteReference w:id="910"/>
      </w:r>
      <w:r w:rsidR="000C05F0" w:rsidRPr="00B740B4">
        <w:t xml:space="preserve"> </w:t>
      </w:r>
      <w:r w:rsidR="00247EC1">
        <w:t>Initially it is Belshazzar</w:t>
      </w:r>
      <w:r w:rsidR="00E13251" w:rsidRPr="00B740B4">
        <w:t xml:space="preserve"> who is devastate</w:t>
      </w:r>
      <w:r w:rsidRPr="00B740B4">
        <w:t>d by a portent that replaces any</w:t>
      </w:r>
      <w:r w:rsidR="00E13251" w:rsidRPr="00B740B4">
        <w:t xml:space="preserve"> sen</w:t>
      </w:r>
      <w:r w:rsidRPr="00B740B4">
        <w:t>se</w:t>
      </w:r>
      <w:r w:rsidR="005F7D7C" w:rsidRPr="00B740B4">
        <w:t xml:space="preserve"> of confidence and security by</w:t>
      </w:r>
      <w:r w:rsidR="00E13251" w:rsidRPr="00B740B4">
        <w:t xml:space="preserve"> shaking and terror. Its content is not yet stated, but its implications are clear.</w:t>
      </w:r>
    </w:p>
    <w:p w:rsidR="00E13251" w:rsidRPr="00B740B4" w:rsidRDefault="007E48C3" w:rsidP="00661970">
      <w:r w:rsidRPr="00B740B4">
        <w:t>As in chap.</w:t>
      </w:r>
      <w:r w:rsidR="00E13251" w:rsidRPr="00B740B4">
        <w:t xml:space="preserve"> 2, the king now gives a double task to his multiform </w:t>
      </w:r>
      <w:r w:rsidR="00081BE6" w:rsidRPr="00B740B4">
        <w:t>expert</w:t>
      </w:r>
      <w:r w:rsidR="00E13251" w:rsidRPr="00B740B4">
        <w:t>s. They must de</w:t>
      </w:r>
      <w:r w:rsidRPr="00B740B4">
        <w:t>clare what the portent said, then explain</w:t>
      </w:r>
      <w:r w:rsidR="00E13251" w:rsidRPr="00B740B4">
        <w:t xml:space="preserve"> what it meant or referred to—and, no doubt, what measure</w:t>
      </w:r>
      <w:r w:rsidRPr="00B740B4">
        <w:t>s</w:t>
      </w:r>
      <w:r w:rsidR="00E13251" w:rsidRPr="00B740B4">
        <w:t xml:space="preserve"> could be taken to evade</w:t>
      </w:r>
      <w:r w:rsidRPr="00B740B4">
        <w:t xml:space="preserve"> its fulfillment. Whoever can fulfill</w:t>
      </w:r>
      <w:r w:rsidR="00E13251" w:rsidRPr="00B740B4">
        <w:t xml:space="preserve"> this </w:t>
      </w:r>
      <w:r w:rsidRPr="00B740B4">
        <w:t xml:space="preserve">commission </w:t>
      </w:r>
      <w:r w:rsidR="00E13251" w:rsidRPr="00B740B4">
        <w:t xml:space="preserve">will receive a share in the king’s royal prestige and power in Babylon. Of course none </w:t>
      </w:r>
      <w:r w:rsidR="005F7D7C" w:rsidRPr="00B740B4">
        <w:t xml:space="preserve">of them </w:t>
      </w:r>
      <w:r w:rsidR="00E13251" w:rsidRPr="00B740B4">
        <w:t>can</w:t>
      </w:r>
      <w:r w:rsidR="00247EC1">
        <w:t xml:space="preserve"> do so</w:t>
      </w:r>
      <w:r w:rsidR="00E13251" w:rsidRPr="00B740B4">
        <w:t>—not “of course” for Belshazzar, but “of course” for the hearer, who is familiar with this feature of previous chapters. Motifs in the stories recur to drive key points home more forcefully:</w:t>
      </w:r>
      <w:r w:rsidRPr="00B740B4">
        <w:rPr>
          <w:rStyle w:val="FootnoteReference"/>
        </w:rPr>
        <w:footnoteReference w:id="911"/>
      </w:r>
      <w:r w:rsidRPr="00B740B4">
        <w:t xml:space="preserve"> alien expertise</w:t>
      </w:r>
      <w:r w:rsidR="00247EC1">
        <w:t xml:space="preserve"> </w:t>
      </w:r>
      <w:r w:rsidR="00E13251" w:rsidRPr="00B740B4">
        <w:t>is helpless when God intervenes to spe</w:t>
      </w:r>
      <w:r w:rsidRPr="00B740B4">
        <w:t>ak and act. The king’s alarm deepens,</w:t>
      </w:r>
      <w:r w:rsidR="00E13251" w:rsidRPr="00B740B4">
        <w:t xml:space="preserve"> and extends to the </w:t>
      </w:r>
      <w:r w:rsidR="00973FEA" w:rsidRPr="00B740B4">
        <w:t>lord</w:t>
      </w:r>
      <w:r w:rsidR="00E13251" w:rsidRPr="00B740B4">
        <w:t>s at his banquet.</w:t>
      </w:r>
    </w:p>
    <w:p w:rsidR="00E13251" w:rsidRPr="00B740B4" w:rsidRDefault="00E13251" w:rsidP="00661970">
      <w:r w:rsidRPr="00B740B4">
        <w:rPr>
          <w:rStyle w:val="b"/>
          <w:color w:val="auto"/>
        </w:rPr>
        <w:t>10–12</w:t>
      </w:r>
      <w:r w:rsidR="0061716C">
        <w:t xml:space="preserve"> But i</w:t>
      </w:r>
      <w:r w:rsidRPr="00B740B4">
        <w:t xml:space="preserve">t is from within his own court that a witness to the God of the exiles comes to </w:t>
      </w:r>
      <w:r w:rsidR="005F7D7C" w:rsidRPr="00B740B4">
        <w:t>Belshazzar. This motif, too, parallels</w:t>
      </w:r>
      <w:r w:rsidRPr="00B740B4">
        <w:t xml:space="preserve"> chaps. 1 and 2: the power of God at work among the exil</w:t>
      </w:r>
      <w:r w:rsidR="007E48C3" w:rsidRPr="00B740B4">
        <w:t xml:space="preserve">es is clear enough for the king’s aides and family to see, even if the king </w:t>
      </w:r>
      <w:r w:rsidRPr="00B740B4">
        <w:t>cannot</w:t>
      </w:r>
      <w:r w:rsidR="0061716C">
        <w:t xml:space="preserve"> see it</w:t>
      </w:r>
      <w:r w:rsidRPr="00B740B4">
        <w:t xml:space="preserve">. The queen’s description of Daniel </w:t>
      </w:r>
      <w:r w:rsidR="005F7D7C" w:rsidRPr="00B740B4">
        <w:t>is yet more laudatory than statements about him</w:t>
      </w:r>
      <w:r w:rsidRPr="00B740B4">
        <w:t xml:space="preserve"> in previous chapters. The extraordinary insight required to interpret dreams and portents comes through being subject to supernatural influence, and Daniel has proved himself </w:t>
      </w:r>
      <w:r w:rsidR="005F7D7C" w:rsidRPr="00B740B4">
        <w:t xml:space="preserve">as </w:t>
      </w:r>
      <w:r w:rsidRPr="00B740B4">
        <w:t xml:space="preserve">someone to whose mind God has access. The Bible sometimes envisages the spirit of God working through the human spirit by means of the ordinary analytic functioning of the human mind, but </w:t>
      </w:r>
      <w:r w:rsidR="007E48C3" w:rsidRPr="00B740B4">
        <w:t xml:space="preserve">it </w:t>
      </w:r>
      <w:r w:rsidRPr="00B740B4">
        <w:t>more characteristically associates the spirit of God with the receiving of extraordinary insights th</w:t>
      </w:r>
      <w:r w:rsidR="0061716C">
        <w:t>at one might rather associate with</w:t>
      </w:r>
      <w:r w:rsidRPr="00B740B4">
        <w:t xml:space="preserve"> intuition, creative imagination, or second sight. It assumes that such inspiration is not an everyday event, but </w:t>
      </w:r>
      <w:r w:rsidR="007E48C3" w:rsidRPr="00B740B4">
        <w:t xml:space="preserve">that it </w:t>
      </w:r>
      <w:r w:rsidRPr="00B740B4">
        <w:t xml:space="preserve">does occur periodically, </w:t>
      </w:r>
      <w:r w:rsidR="007E48C3" w:rsidRPr="00B740B4">
        <w:t xml:space="preserve">and it is then </w:t>
      </w:r>
      <w:r w:rsidR="005F7D7C" w:rsidRPr="00B740B4">
        <w:t xml:space="preserve">testimony to the </w:t>
      </w:r>
      <w:r w:rsidRPr="00B740B4">
        <w:t>activity of God through a particular person. It is capable of being described both theologically and anthropologically, as divine inspiration or as intuitive imagination, as a matter of the spirit of God being present (v 11) or as a matter of having a remarkable spirit (v 12).</w:t>
      </w:r>
    </w:p>
    <w:p w:rsidR="00E13251" w:rsidRPr="00B740B4" w:rsidRDefault="00E13251" w:rsidP="00661970">
      <w:r w:rsidRPr="00B740B4">
        <w:rPr>
          <w:rStyle w:val="b"/>
          <w:color w:val="auto"/>
        </w:rPr>
        <w:t>13–16</w:t>
      </w:r>
      <w:r w:rsidRPr="00B740B4">
        <w:t xml:space="preserve"> Belshazzar’s words to Daniel refer back beyond Nebuchadnezzar’s recognition of him to Nebuchadnezzar’s having brought him from Judah in the first place. The mighty Babyl</w:t>
      </w:r>
      <w:r w:rsidR="007E48C3" w:rsidRPr="00B740B4">
        <w:t>onian kings acknowledge a Judahite</w:t>
      </w:r>
      <w:r w:rsidRPr="00B740B4">
        <w:t xml:space="preserve"> exile as the one in whom the supreme God is active and i</w:t>
      </w:r>
      <w:r w:rsidR="0061716C">
        <w:t>n whom supreme discernment</w:t>
      </w:r>
      <w:r w:rsidRPr="00B740B4">
        <w:t xml:space="preserve"> is found.</w:t>
      </w:r>
      <w:r w:rsidR="0061716C">
        <w:t xml:space="preserve"> T</w:t>
      </w:r>
      <w:r w:rsidR="00B64461" w:rsidRPr="00B740B4">
        <w:t>he difference is that Nebuchadnezzar knows or acknowledges it</w:t>
      </w:r>
      <w:r w:rsidR="00CB4E7D" w:rsidRPr="00B740B4">
        <w:t xml:space="preserve"> (4:9 [6])</w:t>
      </w:r>
      <w:r w:rsidR="00B64461" w:rsidRPr="00B740B4">
        <w:t>, whereas Belshazzar has only heard tell of it.</w:t>
      </w:r>
      <w:r w:rsidR="00CB4E7D" w:rsidRPr="00B740B4">
        <w:rPr>
          <w:rStyle w:val="FootnoteReference"/>
        </w:rPr>
        <w:footnoteReference w:id="912"/>
      </w:r>
    </w:p>
    <w:p w:rsidR="00A8642C" w:rsidRPr="00B740B4" w:rsidRDefault="00E13251" w:rsidP="00661970">
      <w:r w:rsidRPr="00B740B4">
        <w:rPr>
          <w:rStyle w:val="b"/>
          <w:color w:val="auto"/>
        </w:rPr>
        <w:t>17–24</w:t>
      </w:r>
      <w:r w:rsidRPr="00B740B4">
        <w:t xml:space="preserve"> </w:t>
      </w:r>
      <w:r w:rsidR="007E4CB7" w:rsidRPr="00B740B4">
        <w:t xml:space="preserve">Perhaps “Daniel has not missed the slight” </w:t>
      </w:r>
      <w:r w:rsidR="00AB0178" w:rsidRPr="00B740B4">
        <w:t>in those words,</w:t>
      </w:r>
      <w:r w:rsidR="00AB0178" w:rsidRPr="00B740B4">
        <w:rPr>
          <w:vertAlign w:val="superscript"/>
        </w:rPr>
        <w:footnoteReference w:id="913"/>
      </w:r>
      <w:r w:rsidR="00AB0178" w:rsidRPr="00B740B4">
        <w:t xml:space="preserve"> </w:t>
      </w:r>
      <w:r w:rsidR="00291B3B" w:rsidRPr="00B740B4">
        <w:t>and he is annoyed. But in any case</w:t>
      </w:r>
      <w:r w:rsidRPr="00B740B4">
        <w:t xml:space="preserve"> </w:t>
      </w:r>
      <w:r w:rsidR="00AB0178" w:rsidRPr="00B740B4">
        <w:t xml:space="preserve">he </w:t>
      </w:r>
      <w:r w:rsidRPr="00B740B4">
        <w:t>responds to the king like a prophet</w:t>
      </w:r>
      <w:r w:rsidR="00AB0178" w:rsidRPr="00B740B4">
        <w:t xml:space="preserve"> (and prophets do get annoyed)</w:t>
      </w:r>
      <w:r w:rsidRPr="00B740B4">
        <w:t xml:space="preserve">, not </w:t>
      </w:r>
      <w:r w:rsidR="00AB0178" w:rsidRPr="00B740B4">
        <w:t xml:space="preserve">like </w:t>
      </w:r>
      <w:r w:rsidRPr="00B740B4">
        <w:t xml:space="preserve">a mere </w:t>
      </w:r>
      <w:r w:rsidR="00AB0178" w:rsidRPr="00B740B4">
        <w:t>adviser</w:t>
      </w:r>
      <w:r w:rsidRPr="00B740B4">
        <w:t>, with the same tone he had u</w:t>
      </w:r>
      <w:r w:rsidR="007E48C3" w:rsidRPr="00B740B4">
        <w:t xml:space="preserve">sed to Nebuchadnezzar in chap. 4. </w:t>
      </w:r>
      <w:r w:rsidR="00A8642C" w:rsidRPr="00B740B4">
        <w:t>There he offered a word of advice for which he had not been asked; here he preaches a sermon for which he had not been asked.</w:t>
      </w:r>
      <w:r w:rsidR="00A8642C" w:rsidRPr="00B740B4">
        <w:rPr>
          <w:rStyle w:val="FootnoteReference"/>
        </w:rPr>
        <w:footnoteReference w:id="914"/>
      </w:r>
    </w:p>
    <w:p w:rsidR="00E13251" w:rsidRPr="00B740B4" w:rsidRDefault="007E48C3" w:rsidP="00661970">
      <w:r w:rsidRPr="00B740B4">
        <w:lastRenderedPageBreak/>
        <w:t>Being f</w:t>
      </w:r>
      <w:r w:rsidR="00E13251" w:rsidRPr="00B740B4">
        <w:t>inancial</w:t>
      </w:r>
      <w:r w:rsidRPr="00B740B4">
        <w:t>ly dependent on one’s</w:t>
      </w:r>
      <w:r w:rsidR="00E13251" w:rsidRPr="00B740B4">
        <w:t xml:space="preserve"> listeners threatens constraints upon a speaker; Daniel refuses to allow any prospect of rewards to influence the nature of his message</w:t>
      </w:r>
      <w:r w:rsidR="0061716C">
        <w:t>, and maybe th</w:t>
      </w:r>
      <w:r w:rsidR="00AB0178" w:rsidRPr="00B740B4">
        <w:t>e disappearance of that consideration makes it unnecessary for him to resist the recognition that comes later (</w:t>
      </w:r>
      <w:r w:rsidR="00AF422C">
        <w:t>v</w:t>
      </w:r>
      <w:r w:rsidR="00AB0178" w:rsidRPr="00B740B4">
        <w:t xml:space="preserve"> 29)</w:t>
      </w:r>
      <w:r w:rsidR="00E13251" w:rsidRPr="00B740B4">
        <w:t>. He is characteristically confident that he can read and interpret the inscription, and direct in his confronting of the king, like Nathan before David, or Jonah at Nineveh. As in these cases, it is through a prophetic figure that God exercises his kingship, manifesting before the human king t</w:t>
      </w:r>
      <w:r w:rsidRPr="00B740B4">
        <w:t xml:space="preserve">hat </w:t>
      </w:r>
      <w:r w:rsidR="00E13251" w:rsidRPr="00B740B4">
        <w:t xml:space="preserve">God is king. As </w:t>
      </w:r>
      <w:r w:rsidR="00AB0178" w:rsidRPr="00B740B4">
        <w:t>in the</w:t>
      </w:r>
      <w:r w:rsidR="00E13251" w:rsidRPr="00B740B4">
        <w:t>se cases, the prophet issues no demand for repentance and offers no prospect of averting the disaster</w:t>
      </w:r>
      <w:r w:rsidR="0061716C">
        <w:t>. Y</w:t>
      </w:r>
      <w:r w:rsidR="00D01F2C" w:rsidRPr="00B740B4">
        <w:t>et this omission does not mean God is not offering his grace to Belshazzar</w:t>
      </w:r>
      <w:r w:rsidR="0061716C">
        <w:t>, any more than Nathan was to David or Jonah was to Nineveh</w:t>
      </w:r>
      <w:r w:rsidR="00D01F2C" w:rsidRPr="00B740B4">
        <w:t>; Daniel is stil</w:t>
      </w:r>
      <w:r w:rsidR="00AB0178" w:rsidRPr="00B740B4">
        <w:t>l</w:t>
      </w:r>
      <w:r w:rsidR="00D01F2C" w:rsidRPr="00B740B4">
        <w:t xml:space="preserve"> fulfilling “the pastoral office of the church.”</w:t>
      </w:r>
      <w:r w:rsidR="00D01F2C" w:rsidRPr="00B740B4">
        <w:rPr>
          <w:rStyle w:val="FootnoteReference"/>
        </w:rPr>
        <w:footnoteReference w:id="915"/>
      </w:r>
      <w:r w:rsidR="00E13251" w:rsidRPr="00B740B4">
        <w:t xml:space="preserve"> David and the people of Nineveh did repent, and </w:t>
      </w:r>
      <w:r w:rsidR="00DF5B3C" w:rsidRPr="00B740B4">
        <w:t xml:space="preserve">they </w:t>
      </w:r>
      <w:r w:rsidR="00E13251" w:rsidRPr="00B740B4">
        <w:t xml:space="preserve">found mitigation or cancellation of </w:t>
      </w:r>
      <w:r w:rsidR="0061716C">
        <w:t>the threatened punishment. This path would be</w:t>
      </w:r>
      <w:r w:rsidR="00E13251" w:rsidRPr="00B740B4">
        <w:t xml:space="preserve"> open to Belshazzar. It will not be taken, and Dan</w:t>
      </w:r>
      <w:r w:rsidR="00DF5B3C" w:rsidRPr="00B740B4">
        <w:t>iel’s words already hint at the fact</w:t>
      </w:r>
      <w:r w:rsidR="00E13251" w:rsidRPr="00B740B4">
        <w:t xml:space="preserve">, as does the absence of the invitation to repentance that Daniel had </w:t>
      </w:r>
      <w:r w:rsidR="00DF5B3C" w:rsidRPr="00B740B4">
        <w:t xml:space="preserve">extended to </w:t>
      </w:r>
      <w:r w:rsidR="0061716C">
        <w:t>Nebuchadnezzar (4:27</w:t>
      </w:r>
      <w:r w:rsidR="00E13251" w:rsidRPr="00B740B4">
        <w:t>). Belshazzar has shown that he was unwilling to learn from his father’s experience. He is unlikely, therfore, to respond to the preaching of his father’s counselor (cf. the argument of Heb 6:4–8).</w:t>
      </w:r>
    </w:p>
    <w:p w:rsidR="00E13251" w:rsidRPr="00B740B4" w:rsidRDefault="0062476E" w:rsidP="00661970">
      <w:r w:rsidRPr="00B740B4">
        <w:t>The act of interpretation that Daniel undertakes is twofold: “firstly, he interprets the heart of Be</w:t>
      </w:r>
      <w:r w:rsidR="0061716C">
        <w:t>lshazzar, and secondly, he in</w:t>
      </w:r>
      <w:r w:rsidRPr="00B740B4">
        <w:t>terprets the handwriting on the wall.</w:t>
      </w:r>
      <w:r w:rsidR="0061716C">
        <w:t>”</w:t>
      </w:r>
      <w:r w:rsidRPr="00B740B4">
        <w:rPr>
          <w:vertAlign w:val="superscript"/>
        </w:rPr>
        <w:footnoteReference w:id="916"/>
      </w:r>
      <w:r w:rsidRPr="00B740B4">
        <w:t xml:space="preserve"> He </w:t>
      </w:r>
      <w:r w:rsidR="00E13251" w:rsidRPr="00B740B4">
        <w:t xml:space="preserve">begins </w:t>
      </w:r>
      <w:r w:rsidR="00DF5B3C" w:rsidRPr="00B740B4">
        <w:t xml:space="preserve">(vv 18-21) </w:t>
      </w:r>
      <w:r w:rsidR="00E13251" w:rsidRPr="00B740B4">
        <w:t>by recalling the powerful position occupied by Ne</w:t>
      </w:r>
      <w:r w:rsidR="00DF5B3C" w:rsidRPr="00B740B4">
        <w:t>buchadnezzar, though he does so</w:t>
      </w:r>
      <w:r w:rsidR="00E13251" w:rsidRPr="00B740B4">
        <w:t xml:space="preserve"> in such a way as to underline the ambiguity of that position. Nebuchadnezzar possessed royal authority and glorious splendor: the terms correspond particularly closely to</w:t>
      </w:r>
      <w:r w:rsidR="00DF5B3C" w:rsidRPr="00B740B4">
        <w:t xml:space="preserve"> the description of God in 1</w:t>
      </w:r>
      <w:r w:rsidR="0061716C">
        <w:t xml:space="preserve"> Chr 29:11; compare Dan 4:36</w:t>
      </w:r>
      <w:r w:rsidR="00E13251" w:rsidRPr="00B740B4">
        <w:t xml:space="preserve">; 2:37 </w:t>
      </w:r>
      <w:r w:rsidR="00DF5B3C" w:rsidRPr="00B740B4">
        <w:t xml:space="preserve">(and the </w:t>
      </w:r>
      <w:r w:rsidR="00E13251" w:rsidRPr="00B740B4">
        <w:rPr>
          <w:rStyle w:val="i"/>
          <w:color w:val="auto"/>
        </w:rPr>
        <w:t>Explanation</w:t>
      </w:r>
      <w:r w:rsidR="00DF5B3C" w:rsidRPr="00B740B4">
        <w:rPr>
          <w:rStyle w:val="i"/>
          <w:i w:val="0"/>
          <w:color w:val="auto"/>
        </w:rPr>
        <w:t>)</w:t>
      </w:r>
      <w:r w:rsidR="00E13251" w:rsidRPr="00B740B4">
        <w:t xml:space="preserve">. Within his realm he had a power of life and death, of ennoblement and disgrace, which is also quasi-divine (cf. </w:t>
      </w:r>
      <w:r w:rsidR="00DF5B3C" w:rsidRPr="00B740B4">
        <w:t>Deut 32:39; 1 Sam 2:6–7; Ps 7</w:t>
      </w:r>
      <w:r w:rsidR="0061716C">
        <w:t>5:7 [8]; also Dan 2:21; 4:17</w:t>
      </w:r>
      <w:r w:rsidR="00E13251" w:rsidRPr="00B740B4">
        <w:t>). In reminding Belshazzar of Nebuchadnezzar’s experience, however, Daniel begins by drawing attention to the derivative nature of Nebuchadnezzar’s authority. The chapter had begun from what Nebuchadnezzar took (</w:t>
      </w:r>
      <w:r w:rsidR="0061716C">
        <w:t xml:space="preserve">v 2); </w:t>
      </w:r>
      <w:r w:rsidR="00DF5B3C" w:rsidRPr="00B740B4">
        <w:t>that would be the way</w:t>
      </w:r>
      <w:r w:rsidR="0061716C">
        <w:t xml:space="preserve"> Belshazzar spoke</w:t>
      </w:r>
      <w:r w:rsidR="00E13251" w:rsidRPr="00B740B4">
        <w:t xml:space="preserve">. Daniel invites him to think in terms of what Nebuchadnezzar was given, by one whose own royal authority and glorious splendor are </w:t>
      </w:r>
      <w:r w:rsidR="00E13251" w:rsidRPr="00B740B4">
        <w:rPr>
          <w:rStyle w:val="i"/>
          <w:color w:val="auto"/>
        </w:rPr>
        <w:t>a fortiori</w:t>
      </w:r>
      <w:r w:rsidR="00E13251" w:rsidRPr="00B740B4">
        <w:t xml:space="preserve"> greater. All human authority and power is an echo and a servant of that divine authority and power from which it derives and on which it depends.</w:t>
      </w:r>
      <w:r w:rsidR="00DF5B3C" w:rsidRPr="00B740B4">
        <w:rPr>
          <w:rStyle w:val="FootnoteReference"/>
        </w:rPr>
        <w:footnoteReference w:id="917"/>
      </w:r>
      <w:r w:rsidR="00E13251" w:rsidRPr="00B740B4">
        <w:t xml:space="preserve"> Further, to attribute to Nebuchadnezzar a quasi-divine power over the people within his realm is to draw attention to the temptation with which people in power live. There is a link and a contrast between Nebuchadnezzar’s great power and his great fall. It was his area of strength that bec</w:t>
      </w:r>
      <w:r w:rsidR="00DF5B3C" w:rsidRPr="00B740B4">
        <w:t>ame his area of vulnerability. H</w:t>
      </w:r>
      <w:r w:rsidR="00E13251" w:rsidRPr="00B740B4">
        <w:t>is power became his weakness. His power then had to become actual weakness before it could be restored.</w:t>
      </w:r>
    </w:p>
    <w:p w:rsidR="00E13251" w:rsidRPr="00B740B4" w:rsidRDefault="0061716C" w:rsidP="00661970">
      <w:r>
        <w:t xml:space="preserve">Daniel makes </w:t>
      </w:r>
      <w:r w:rsidRPr="0061716C">
        <w:t>Belshazzar</w:t>
      </w:r>
      <w:r>
        <w:t xml:space="preserve"> </w:t>
      </w:r>
      <w:r w:rsidRPr="0061716C">
        <w:t>the subject of a se</w:t>
      </w:r>
      <w:r>
        <w:t>ries of strong verbs:</w:t>
      </w:r>
      <w:r w:rsidRPr="0061716C">
        <w:t xml:space="preserve"> </w:t>
      </w:r>
      <w:r w:rsidR="00E13251" w:rsidRPr="00B740B4">
        <w:t>“You knew, you ignored, you exalted yourself, you desecrated, you comm</w:t>
      </w:r>
      <w:r w:rsidR="00DF5B3C" w:rsidRPr="00B740B4">
        <w:t>itted idolatry, you disregarded</w:t>
      </w:r>
      <w:r w:rsidR="00E13251" w:rsidRPr="00B740B4">
        <w:t xml:space="preserve">” </w:t>
      </w:r>
      <w:r w:rsidR="00DF5B3C" w:rsidRPr="00B740B4">
        <w:t>(v</w:t>
      </w:r>
      <w:r w:rsidR="00AF422C">
        <w:t>v</w:t>
      </w:r>
      <w:r w:rsidR="00DF5B3C" w:rsidRPr="00B740B4">
        <w:t xml:space="preserve"> 22-23). Daniel emphasizes Belshazzar’s responsibility for his attitudes and actions. Hi</w:t>
      </w:r>
      <w:r w:rsidR="00E13251" w:rsidRPr="00B740B4">
        <w:t xml:space="preserve">s willful blindness makes him brazenly proud, just like his father (the same words are used), in the very presence of the one who is actually Lord of </w:t>
      </w:r>
      <w:r w:rsidR="00DF5B3C" w:rsidRPr="00B740B4">
        <w:t xml:space="preserve">the </w:t>
      </w:r>
      <w:r w:rsidR="00E13251" w:rsidRPr="00B740B4">
        <w:t>heaven</w:t>
      </w:r>
      <w:r>
        <w:t>s. T</w:t>
      </w:r>
      <w:r w:rsidR="00DF5B3C" w:rsidRPr="00B740B4">
        <w:t>his</w:t>
      </w:r>
      <w:r w:rsidR="00E13251" w:rsidRPr="00B740B4">
        <w:t xml:space="preserve"> phrase comes only here; both elements in it suggest the almightiness of</w:t>
      </w:r>
      <w:r>
        <w:t xml:space="preserve"> the one Belshazzar disdains.  His willful blindness</w:t>
      </w:r>
      <w:r w:rsidR="00E13251" w:rsidRPr="00B740B4">
        <w:t xml:space="preserve"> makes him sacrilegiously contemptuous of the sacred possessions of this God, who entrusted them to his father</w:t>
      </w:r>
      <w:r w:rsidR="00DF5B3C" w:rsidRPr="00B740B4">
        <w:t>.T</w:t>
      </w:r>
      <w:r w:rsidR="00E13251" w:rsidRPr="00B740B4">
        <w:t xml:space="preserve">he vessels that should have reminded him of </w:t>
      </w:r>
      <w:r>
        <w:t xml:space="preserve">the </w:t>
      </w:r>
      <w:r w:rsidR="00E13251" w:rsidRPr="00B740B4">
        <w:t xml:space="preserve">God who </w:t>
      </w:r>
      <w:r w:rsidR="00E13251" w:rsidRPr="00B740B4">
        <w:rPr>
          <w:rStyle w:val="i"/>
          <w:color w:val="auto"/>
        </w:rPr>
        <w:t>gave</w:t>
      </w:r>
      <w:r w:rsidR="00E13251" w:rsidRPr="00B740B4">
        <w:t xml:space="preserve"> them into Nebuchadnezzar’s power (1:2) become </w:t>
      </w:r>
      <w:r w:rsidR="00DF5B3C" w:rsidRPr="00B740B4">
        <w:t xml:space="preserve">the </w:t>
      </w:r>
      <w:r w:rsidR="00E13251" w:rsidRPr="00B740B4">
        <w:t xml:space="preserve">means of his self-indulgence. It makes him grotesquely idolatrous in worshiping senseless objects and </w:t>
      </w:r>
      <w:r w:rsidR="00DF5B3C" w:rsidRPr="00B740B4">
        <w:t xml:space="preserve">ignoring the God who has power over his </w:t>
      </w:r>
      <w:r w:rsidR="00E13251" w:rsidRPr="00B740B4">
        <w:t>destin</w:t>
      </w:r>
      <w:r w:rsidR="00DF5B3C" w:rsidRPr="00B740B4">
        <w:t xml:space="preserve">y; he fails to take God </w:t>
      </w:r>
      <w:r w:rsidR="00E13251" w:rsidRPr="00B740B4">
        <w:t xml:space="preserve">seriously, like his father—but with less excuse, because his father’s story has made clear to him that God has this power. </w:t>
      </w:r>
      <w:r>
        <w:t xml:space="preserve">Historically, </w:t>
      </w:r>
      <w:r w:rsidR="00AB0178" w:rsidRPr="00B740B4">
        <w:t>Belshazzar may have fallen</w:t>
      </w:r>
      <w:r w:rsidR="00E13251" w:rsidRPr="00B740B4">
        <w:t xml:space="preserve"> because he could not handle a political </w:t>
      </w:r>
      <w:r w:rsidR="00AB0178" w:rsidRPr="00B740B4">
        <w:t xml:space="preserve">and military crisis; </w:t>
      </w:r>
      <w:r>
        <w:t xml:space="preserve">in this story, </w:t>
      </w:r>
      <w:r w:rsidR="00E13251" w:rsidRPr="00B740B4">
        <w:t>mor</w:t>
      </w:r>
      <w:r>
        <w:t>e profoundly</w:t>
      </w:r>
      <w:r w:rsidR="00E13251" w:rsidRPr="00B740B4">
        <w:t xml:space="preserve"> he </w:t>
      </w:r>
      <w:r w:rsidR="00E13251" w:rsidRPr="00B740B4">
        <w:lastRenderedPageBreak/>
        <w:t>fell because of h</w:t>
      </w:r>
      <w:r w:rsidR="00DF5B3C" w:rsidRPr="00B740B4">
        <w:t>is irresponsibility before God.</w:t>
      </w:r>
      <w:r w:rsidR="00DF5B3C" w:rsidRPr="00B740B4">
        <w:rPr>
          <w:rStyle w:val="FootnoteReference"/>
        </w:rPr>
        <w:footnoteReference w:id="918"/>
      </w:r>
      <w:r w:rsidR="0062476E" w:rsidRPr="00B740B4">
        <w:t xml:space="preserve"> He has despised the riches of God’s kindness, forbearance and longsuffering (Rom 2:4)</w:t>
      </w:r>
      <w:r>
        <w:t xml:space="preserve"> </w:t>
      </w:r>
      <w:r w:rsidR="0062476E" w:rsidRPr="00B740B4">
        <w:t>as he has seen them extended to Nebuchadnezzar; hence the psalm’s exhortation not to harden your hearts when you hear God’s voice (Ps 95:7-8).</w:t>
      </w:r>
      <w:r w:rsidR="0062476E" w:rsidRPr="00B740B4">
        <w:rPr>
          <w:vertAlign w:val="superscript"/>
        </w:rPr>
        <w:footnoteReference w:id="919"/>
      </w:r>
    </w:p>
    <w:p w:rsidR="00CB4E7D" w:rsidRPr="00B740B4" w:rsidRDefault="00E13251" w:rsidP="00661970">
      <w:r w:rsidRPr="00B740B4">
        <w:rPr>
          <w:rStyle w:val="b"/>
          <w:color w:val="auto"/>
        </w:rPr>
        <w:t>25–28</w:t>
      </w:r>
      <w:r w:rsidRPr="00B740B4">
        <w:t xml:space="preserve"> Daniel recognizes that on the sur</w:t>
      </w:r>
      <w:r w:rsidR="0062476E" w:rsidRPr="00B740B4">
        <w:t>face the inscription records the</w:t>
      </w:r>
      <w:r w:rsidRPr="00B740B4">
        <w:t xml:space="preserve"> assessment of something in terms of monetary weights: “counted at a mina, a </w:t>
      </w:r>
      <w:r w:rsidR="00B203BB" w:rsidRPr="00B740B4">
        <w:t>sheqel</w:t>
      </w:r>
      <w:r w:rsidRPr="00B740B4">
        <w:t>, and halves.” The three nouns also reflect three verbal roots (as, in English, “pound” and “halve” can be verbs as well as nouns). Under the surface of the inscription Daniel sees in these verbs a message for Belshazzar. They hint at three moments in God’s dealings with him as king, the past moment when he appointed him, the present moment when he is evaluating his performance, and the coming moment when he breaks off his dynasty because of its failure. All three are past from</w:t>
      </w:r>
      <w:r w:rsidR="00E837C4">
        <w:t xml:space="preserve"> the perspective of the pronouncement</w:t>
      </w:r>
      <w:r w:rsidRPr="00B740B4">
        <w:t>; like many OT prophecies, it speaks of coming events as already actual, on the basis of God’s decision that they sho</w:t>
      </w:r>
      <w:r w:rsidR="00E837C4">
        <w:t>uld take place. Belshazzar’s wrongdoing</w:t>
      </w:r>
      <w:r w:rsidRPr="00B740B4">
        <w:t xml:space="preserve"> has exceeded Nebuchadnezzar’s, and so will his fall, </w:t>
      </w:r>
      <w:r w:rsidR="0062476E" w:rsidRPr="00B740B4">
        <w:t xml:space="preserve">a fall </w:t>
      </w:r>
      <w:r w:rsidRPr="00B740B4">
        <w:t xml:space="preserve">not merely to banishment in humiliation, but to death and </w:t>
      </w:r>
      <w:r w:rsidR="0062476E" w:rsidRPr="00B740B4">
        <w:t xml:space="preserve">to </w:t>
      </w:r>
      <w:r w:rsidRPr="00B740B4">
        <w:t>the end of his dynasty, without finding repentance</w:t>
      </w:r>
      <w:r w:rsidR="00F824F6" w:rsidRPr="00B740B4">
        <w:t>.</w:t>
      </w:r>
      <w:r w:rsidR="00F824F6" w:rsidRPr="00B740B4">
        <w:rPr>
          <w:rStyle w:val="FootnoteReference"/>
        </w:rPr>
        <w:footnoteReference w:id="920"/>
      </w:r>
      <w:r w:rsidR="0062476E" w:rsidRPr="00B740B4">
        <w:t xml:space="preserve"> </w:t>
      </w:r>
      <w:r w:rsidR="00CB4E7D" w:rsidRPr="00B740B4">
        <w:t>Belshazzar is a “lightweight interpreter”</w:t>
      </w:r>
      <w:r w:rsidR="00CB4E7D" w:rsidRPr="00B740B4">
        <w:rPr>
          <w:rStyle w:val="FootnoteReference"/>
        </w:rPr>
        <w:footnoteReference w:id="921"/>
      </w:r>
      <w:r w:rsidR="00CB4E7D" w:rsidRPr="00B740B4">
        <w:t xml:space="preserve"> and a lightweight king.</w:t>
      </w:r>
    </w:p>
    <w:p w:rsidR="00E13251" w:rsidRPr="00B740B4" w:rsidRDefault="00E13251" w:rsidP="00661970">
      <w:r w:rsidRPr="00B740B4">
        <w:t xml:space="preserve">At first sight, to say that Belshazzar’s days were numbered from the beginning of his reign suggests that the nature of his reign and the coming of judgment upon it were irreversibly predestined. If Daniel says that Belshazzar’s reign has been evaluated and found deficient, however, he implies that Belshazzar has not been an automaton; he is responsible for the way he has exercised his sovereign authority. Perhaps Daniel indicates that the “counting out” of Belshazzar’s reign had a provisional nature, establishing how long he </w:t>
      </w:r>
      <w:r w:rsidRPr="00B740B4">
        <w:rPr>
          <w:rStyle w:val="i"/>
          <w:color w:val="auto"/>
        </w:rPr>
        <w:t>could</w:t>
      </w:r>
      <w:r w:rsidRPr="00B740B4">
        <w:t xml:space="preserve"> reign; in the event, his reign is to end earlier than it should. Or perhaps Daniel presupposes the alternative perspective that God’s being able to foresee the nature of Belshazzar’s reign also enables him to predetermine its length, without implying that Belshazzar’s responsibility is reduced or his judgment imposed independently of his character and actions. “All is foreseen, but freedom of choice is given” (</w:t>
      </w:r>
      <w:r w:rsidRPr="00E837C4">
        <w:rPr>
          <w:i/>
        </w:rPr>
        <w:t>m</w:t>
      </w:r>
      <w:r w:rsidR="00E837C4" w:rsidRPr="00E837C4">
        <w:rPr>
          <w:i/>
        </w:rPr>
        <w:t>.</w:t>
      </w:r>
      <w:r w:rsidRPr="00E837C4">
        <w:rPr>
          <w:i/>
        </w:rPr>
        <w:t xml:space="preserve"> </w:t>
      </w:r>
      <w:r w:rsidRPr="00E837C4">
        <w:rPr>
          <w:rStyle w:val="theb"/>
          <w:i/>
          <w:color w:val="auto"/>
        </w:rPr>
        <w:t>˒Abot</w:t>
      </w:r>
      <w:r w:rsidR="00F824F6" w:rsidRPr="00B740B4">
        <w:t xml:space="preserve"> 3:16</w:t>
      </w:r>
      <w:r w:rsidRPr="00B740B4">
        <w:t>).</w:t>
      </w:r>
      <w:r w:rsidR="00F824F6" w:rsidRPr="00B740B4">
        <w:rPr>
          <w:rStyle w:val="FootnoteReference"/>
        </w:rPr>
        <w:footnoteReference w:id="922"/>
      </w:r>
      <w:r w:rsidRPr="00B740B4">
        <w:t xml:space="preserve"> God’s sovereignty and human responsibility are both factors in history. Both are real.</w:t>
      </w:r>
    </w:p>
    <w:p w:rsidR="00E13251" w:rsidRPr="00B740B4" w:rsidRDefault="00E13251" w:rsidP="00661970">
      <w:r w:rsidRPr="00B740B4">
        <w:t>God’s judgment also at first sight involves his acting in sovereign independence of ordinary processes of cause and effect ra</w:t>
      </w:r>
      <w:r w:rsidR="00F824F6" w:rsidRPr="00B740B4">
        <w:t>ther than through them. Yet a</w:t>
      </w:r>
      <w:r w:rsidRPr="00B740B4">
        <w:t xml:space="preserve"> historical study of</w:t>
      </w:r>
      <w:r w:rsidR="00F824F6" w:rsidRPr="00B740B4">
        <w:t xml:space="preserve"> the course of events </w:t>
      </w:r>
      <w:r w:rsidRPr="00B740B4">
        <w:t>would likely be able to describe them in terms of ordinary</w:t>
      </w:r>
      <w:r w:rsidR="00F824F6" w:rsidRPr="00B740B4">
        <w:t xml:space="preserve"> processes of cause and effect</w:t>
      </w:r>
      <w:r w:rsidR="00E837C4">
        <w:t>, as is the case with a process such as Babylon’s yielding to Persia</w:t>
      </w:r>
      <w:r w:rsidR="00F824F6" w:rsidRPr="00B740B4">
        <w:t xml:space="preserve">. </w:t>
      </w:r>
      <w:r w:rsidRPr="00B740B4">
        <w:t>God’s purpose needs to be seen at work behind the ordinary process of cause and effect tha</w:t>
      </w:r>
      <w:r w:rsidR="00F824F6" w:rsidRPr="00B740B4">
        <w:t>t the historian seeks to trace.</w:t>
      </w:r>
      <w:r w:rsidR="00F824F6" w:rsidRPr="00B740B4">
        <w:rPr>
          <w:rStyle w:val="FootnoteReference"/>
        </w:rPr>
        <w:footnoteReference w:id="923"/>
      </w:r>
    </w:p>
    <w:p w:rsidR="00E13251" w:rsidRPr="00B740B4" w:rsidRDefault="00E13251" w:rsidP="00661970">
      <w:r w:rsidRPr="00B740B4">
        <w:t xml:space="preserve">Belshazzar’s story </w:t>
      </w:r>
      <w:r w:rsidR="00E837C4">
        <w:t xml:space="preserve">further suggests </w:t>
      </w:r>
      <w:r w:rsidRPr="00B740B4">
        <w:t>that</w:t>
      </w:r>
      <w:r w:rsidR="003B5ECE" w:rsidRPr="00B740B4">
        <w:t xml:space="preserve"> revolutionary </w:t>
      </w:r>
      <w:r w:rsidR="0062476E" w:rsidRPr="00B740B4">
        <w:t xml:space="preserve">or military </w:t>
      </w:r>
      <w:r w:rsidR="003B5ECE" w:rsidRPr="00B740B4">
        <w:t>violence is a means</w:t>
      </w:r>
      <w:r w:rsidRPr="00B740B4">
        <w:t xml:space="preserve"> through which God works i</w:t>
      </w:r>
      <w:r w:rsidR="00E837C4">
        <w:t>n history. Ye</w:t>
      </w:r>
      <w:r w:rsidR="003B5ECE" w:rsidRPr="00B740B4">
        <w:t>t what it effects</w:t>
      </w:r>
      <w:r w:rsidRPr="00B740B4">
        <w:t xml:space="preserve"> is not the final rule of God but the rule of Darius the Mede to replace</w:t>
      </w:r>
      <w:r w:rsidR="003B5ECE" w:rsidRPr="00B740B4">
        <w:t xml:space="preserve"> that of Belshazzar the Babylonian.</w:t>
      </w:r>
      <w:r w:rsidR="003B5ECE" w:rsidRPr="00B740B4">
        <w:rPr>
          <w:rStyle w:val="FootnoteReference"/>
        </w:rPr>
        <w:footnoteReference w:id="924"/>
      </w:r>
      <w:r w:rsidR="003B5ECE" w:rsidRPr="00B740B4">
        <w:t xml:space="preserve"> </w:t>
      </w:r>
      <w:r w:rsidR="00E837C4">
        <w:t>T</w:t>
      </w:r>
      <w:r w:rsidRPr="00B740B4">
        <w:t xml:space="preserve">he fall of Belshazzar is a major historical </w:t>
      </w:r>
      <w:r w:rsidR="00E837C4">
        <w:t xml:space="preserve">turning-point, which </w:t>
      </w:r>
      <w:r w:rsidRPr="00B740B4">
        <w:t>co</w:t>
      </w:r>
      <w:r w:rsidR="00E837C4">
        <w:t>mes</w:t>
      </w:r>
      <w:r w:rsidR="0062476E" w:rsidRPr="00B740B4">
        <w:t xml:space="preserve"> about because the Babylonian king</w:t>
      </w:r>
      <w:r w:rsidR="003B5ECE" w:rsidRPr="00B740B4">
        <w:t xml:space="preserve"> fail</w:t>
      </w:r>
      <w:r w:rsidR="0062476E" w:rsidRPr="00B740B4">
        <w:t>s</w:t>
      </w:r>
      <w:r w:rsidRPr="00B740B4">
        <w:t xml:space="preserve"> to</w:t>
      </w:r>
      <w:r w:rsidR="003B5ECE" w:rsidRPr="00B740B4">
        <w:t xml:space="preserve"> recognize the God of the Judahite</w:t>
      </w:r>
      <w:r w:rsidRPr="00B740B4">
        <w:t xml:space="preserve"> exiles, </w:t>
      </w:r>
      <w:r w:rsidR="0062476E" w:rsidRPr="00B740B4">
        <w:t>the God whose agents the Babylonians</w:t>
      </w:r>
      <w:r w:rsidR="003B5ECE" w:rsidRPr="00B740B4">
        <w:t xml:space="preserve"> have</w:t>
      </w:r>
      <w:r w:rsidRPr="00B740B4">
        <w:t xml:space="preserve"> unwittingly been. The worldly empire has had its opportunity, and </w:t>
      </w:r>
      <w:r w:rsidR="003B5ECE" w:rsidRPr="00B740B4">
        <w:t xml:space="preserve">has </w:t>
      </w:r>
      <w:r w:rsidR="00E837C4">
        <w:t>missed it. And e</w:t>
      </w:r>
      <w:r w:rsidRPr="00B740B4">
        <w:t xml:space="preserve">lsewhere in the OT, the fall of Babylon is not merely the end of an era, but one realization of the Day of Yahweh. Daniel is interested in that </w:t>
      </w:r>
      <w:r w:rsidR="003B5ECE" w:rsidRPr="00B740B4">
        <w:t>Day, though h</w:t>
      </w:r>
      <w:r w:rsidR="0062476E" w:rsidRPr="00B740B4">
        <w:t>e does not use the expression, b</w:t>
      </w:r>
      <w:r w:rsidRPr="00B740B4">
        <w:t xml:space="preserve">ut he does not see the </w:t>
      </w:r>
      <w:r w:rsidR="0062476E" w:rsidRPr="00B740B4">
        <w:t>fall of Babylon in this light. I</w:t>
      </w:r>
      <w:r w:rsidRPr="00B740B4">
        <w:t xml:space="preserve">t is just the moment when power passes from one dynasty to another. The story warns against overestimating the significance of history </w:t>
      </w:r>
      <w:r w:rsidRPr="00B740B4">
        <w:lastRenderedPageBreak/>
        <w:t>and politics. Yet it also indicates that when God casts off one ruler for his arrogance, he does not thereby dissociate himself from all world events and exercise of power.</w:t>
      </w:r>
      <w:r w:rsidR="003B5ECE" w:rsidRPr="00B740B4">
        <w:rPr>
          <w:rStyle w:val="FootnoteReference"/>
        </w:rPr>
        <w:footnoteReference w:id="925"/>
      </w:r>
    </w:p>
    <w:p w:rsidR="00E13251" w:rsidRPr="00B740B4" w:rsidRDefault="003B5ECE" w:rsidP="00661970">
      <w:r w:rsidRPr="00B740B4">
        <w:rPr>
          <w:rStyle w:val="b"/>
          <w:color w:val="auto"/>
        </w:rPr>
        <w:t>29–31</w:t>
      </w:r>
      <w:r w:rsidRPr="00B740B4">
        <w:t xml:space="preserve"> If chap.</w:t>
      </w:r>
      <w:r w:rsidR="00E13251" w:rsidRPr="00B740B4">
        <w:t xml:space="preserve"> 5 were centra</w:t>
      </w:r>
      <w:r w:rsidRPr="00B740B4">
        <w:t xml:space="preserve">lly concerned with </w:t>
      </w:r>
      <w:r w:rsidR="00E13251" w:rsidRPr="00B740B4">
        <w:t>Belshazzar’s personal rela</w:t>
      </w:r>
      <w:r w:rsidRPr="00B740B4">
        <w:t>tionship with God, as some</w:t>
      </w:r>
      <w:r w:rsidR="00E13251" w:rsidRPr="00B740B4">
        <w:t xml:space="preserve"> reader</w:t>
      </w:r>
      <w:r w:rsidRPr="00B740B4">
        <w:t>s</w:t>
      </w:r>
      <w:r w:rsidR="00E13251" w:rsidRPr="00B740B4">
        <w:t xml:space="preserve"> may be inclined to assume, Belshazzar’s response to Daniel’s words would appear bizarre</w:t>
      </w:r>
      <w:r w:rsidR="00922BB9">
        <w:t>. Does Belshazzar refuse</w:t>
      </w:r>
      <w:r w:rsidR="00E13251" w:rsidRPr="00B740B4">
        <w:t xml:space="preserve"> to accept an implicit invitation to repentance, or perhaps on the contrary accepts God’s judgment upon him and therefore a</w:t>
      </w:r>
      <w:r w:rsidR="00922BB9">
        <w:t>ccept</w:t>
      </w:r>
      <w:r w:rsidRPr="00B740B4">
        <w:t xml:space="preserve"> the death coming to him</w:t>
      </w:r>
      <w:r w:rsidR="00922BB9">
        <w:t>?</w:t>
      </w:r>
      <w:r w:rsidRPr="00B740B4">
        <w:rPr>
          <w:rStyle w:val="FootnoteReference"/>
        </w:rPr>
        <w:footnoteReference w:id="926"/>
      </w:r>
      <w:r w:rsidR="00922BB9">
        <w:t xml:space="preserve"> Yet the story offers no </w:t>
      </w:r>
      <w:r w:rsidR="00E13251" w:rsidRPr="00B740B4">
        <w:t xml:space="preserve">comment on Belshazzar’s response. </w:t>
      </w:r>
      <w:r w:rsidR="00922BB9">
        <w:t xml:space="preserve">It omits reference to his </w:t>
      </w:r>
      <w:r w:rsidR="00E13251" w:rsidRPr="00B740B4">
        <w:t xml:space="preserve">relationship with God (contrast Josephus, </w:t>
      </w:r>
      <w:r w:rsidR="00E13251" w:rsidRPr="00B740B4">
        <w:rPr>
          <w:rStyle w:val="i"/>
          <w:color w:val="auto"/>
        </w:rPr>
        <w:t>Ant</w:t>
      </w:r>
      <w:r w:rsidR="00E86B1D" w:rsidRPr="00B740B4">
        <w:rPr>
          <w:rStyle w:val="i"/>
          <w:color w:val="auto"/>
        </w:rPr>
        <w:t>iquities</w:t>
      </w:r>
      <w:r w:rsidR="00E13251" w:rsidRPr="00B740B4">
        <w:rPr>
          <w:rStyle w:val="i"/>
          <w:color w:val="auto"/>
        </w:rPr>
        <w:t>.</w:t>
      </w:r>
      <w:r w:rsidR="00E13251" w:rsidRPr="00B740B4">
        <w:t xml:space="preserve"> 10.10.4 [10.204]) because its concerns focus on the public vindication of Daniel and of his God. Belshazzar’s response parallels that of Nebuchadnezzar in 2:46–48, where similar consideration</w:t>
      </w:r>
      <w:r w:rsidR="00922BB9">
        <w:t xml:space="preserve">s obtain. Belshazzar </w:t>
      </w:r>
      <w:r w:rsidR="00E13251" w:rsidRPr="00B740B4">
        <w:t>acknowledges Daniel</w:t>
      </w:r>
      <w:r w:rsidRPr="00B740B4">
        <w:t>, though</w:t>
      </w:r>
      <w:r w:rsidR="00E13251" w:rsidRPr="00B740B4">
        <w:t xml:space="preserve"> no</w:t>
      </w:r>
      <w:r w:rsidRPr="00B740B4">
        <w:t xml:space="preserve">t his God; but the story </w:t>
      </w:r>
      <w:r w:rsidR="00E13251" w:rsidRPr="00B740B4">
        <w:t>comes to a climax with the fulfillment of prophecy, not with the exaltation of Daniel.</w:t>
      </w:r>
    </w:p>
    <w:p w:rsidR="0051322E" w:rsidRPr="00B740B4" w:rsidRDefault="00E13251" w:rsidP="00661970">
      <w:r w:rsidRPr="00B740B4">
        <w:t>Belshazzar’s story does s</w:t>
      </w:r>
      <w:r w:rsidR="003B5ECE" w:rsidRPr="00B740B4">
        <w:t xml:space="preserve">how that for </w:t>
      </w:r>
      <w:r w:rsidRPr="00B740B4">
        <w:t>every person there is a sense in which “the limitation of human life” by birth and death is “a trace</w:t>
      </w:r>
      <w:r w:rsidR="003B5ECE" w:rsidRPr="00B740B4">
        <w:t xml:space="preserve"> of the divine world-governance</w:t>
      </w:r>
      <w:r w:rsidRPr="00B740B4">
        <w:t>.</w:t>
      </w:r>
      <w:r w:rsidR="003B5ECE" w:rsidRPr="00B740B4">
        <w:t>”</w:t>
      </w:r>
      <w:r w:rsidR="003B5ECE" w:rsidRPr="00B740B4">
        <w:rPr>
          <w:rStyle w:val="FootnoteReference"/>
        </w:rPr>
        <w:footnoteReference w:id="927"/>
      </w:r>
      <w:r w:rsidR="00922BB9">
        <w:t xml:space="preserve"> In the case of a Belshazzar</w:t>
      </w:r>
      <w:r w:rsidR="0062476E" w:rsidRPr="00B740B4">
        <w:t xml:space="preserve">, </w:t>
      </w:r>
      <w:r w:rsidRPr="00B740B4">
        <w:t>the fulfillment of Daniel’s prop</w:t>
      </w:r>
      <w:r w:rsidR="0051322E" w:rsidRPr="00B740B4">
        <w:t>hecy comes with that common Middle</w:t>
      </w:r>
      <w:r w:rsidRPr="00B740B4">
        <w:t xml:space="preserve"> Eastern phenomenon, a coup d</w:t>
      </w:r>
      <w:r w:rsidR="0051322E" w:rsidRPr="00B740B4">
        <w:t>’</w:t>
      </w:r>
      <w:r w:rsidRPr="00B740B4">
        <w:t xml:space="preserve">état involving the </w:t>
      </w:r>
      <w:r w:rsidR="0051322E" w:rsidRPr="00B740B4">
        <w:t>assassination of the present ruler</w:t>
      </w:r>
      <w:r w:rsidRPr="00B740B4">
        <w:t xml:space="preserve">—the process whereby Belshazzar’s actual father, Nabonidus, came to power. The historical and human factors that brought this revolution, and the means by which it was effected, are again ignored. Belshazzar </w:t>
      </w:r>
      <w:r w:rsidRPr="00B740B4">
        <w:rPr>
          <w:rStyle w:val="i"/>
          <w:color w:val="auto"/>
        </w:rPr>
        <w:t>was killed</w:t>
      </w:r>
      <w:r w:rsidR="0062476E" w:rsidRPr="00B740B4">
        <w:t xml:space="preserve">, by whom we are not told. Is </w:t>
      </w:r>
      <w:r w:rsidR="00922BB9">
        <w:t xml:space="preserve">it in effect by God? Certainly </w:t>
      </w:r>
      <w:r w:rsidRPr="00B740B4">
        <w:t xml:space="preserve">the sovereign purpose of God in the event is </w:t>
      </w:r>
      <w:r w:rsidR="00922BB9">
        <w:t xml:space="preserve">alone </w:t>
      </w:r>
      <w:r w:rsidRPr="00B740B4">
        <w:t>of interest</w:t>
      </w:r>
      <w:r w:rsidR="00922BB9">
        <w:t xml:space="preserve"> in this story</w:t>
      </w:r>
      <w:r w:rsidRPr="00B740B4">
        <w:t xml:space="preserve">. When people act with violence, the story encourages us to believe that God can effect his purpose through them, and that we can trust him to fulfill his just purpose in events one way or another. </w:t>
      </w:r>
      <w:r w:rsidR="00922BB9">
        <w:t>Worldly empires are shown</w:t>
      </w:r>
      <w:r w:rsidRPr="00B740B4">
        <w:t xml:space="preserve"> to be </w:t>
      </w:r>
      <w:r w:rsidR="0051322E" w:rsidRPr="00B740B4">
        <w:t>subject to the God of the Judahite</w:t>
      </w:r>
      <w:r w:rsidRPr="00B740B4">
        <w:t xml:space="preserve"> exiles. The impression encouraged by Belshazzar at the beginning of the story, that Nebuchadnezzar was lord of history and </w:t>
      </w:r>
      <w:r w:rsidR="0062476E" w:rsidRPr="00B740B4">
        <w:t xml:space="preserve">that </w:t>
      </w:r>
      <w:r w:rsidRPr="00B740B4">
        <w:t>the God of Jerusalem was powerless, is controvert</w:t>
      </w:r>
      <w:r w:rsidR="00922BB9">
        <w:t>ed by the way the story ends. God</w:t>
      </w:r>
      <w:r w:rsidRPr="00B740B4">
        <w:t xml:space="preserve"> brings calamity to the conquerors he once used (cf. Isa 10; Jer 25).</w:t>
      </w:r>
      <w:r w:rsidR="0051322E" w:rsidRPr="00B740B4">
        <w:rPr>
          <w:rStyle w:val="FootnoteReference"/>
        </w:rPr>
        <w:footnoteReference w:id="928"/>
      </w:r>
      <w:r w:rsidRPr="00B740B4">
        <w:t xml:space="preserve"> Worldly power is real, but it is subservient </w:t>
      </w:r>
      <w:r w:rsidR="0051322E" w:rsidRPr="00B740B4">
        <w:t>to the will of God.</w:t>
      </w:r>
      <w:r w:rsidR="0051322E" w:rsidRPr="00B740B4">
        <w:rPr>
          <w:vertAlign w:val="superscript"/>
        </w:rPr>
        <w:footnoteReference w:id="929"/>
      </w:r>
    </w:p>
    <w:p w:rsidR="00E13251" w:rsidRPr="00B740B4" w:rsidRDefault="00E13251" w:rsidP="00661970">
      <w:r w:rsidRPr="00B740B4">
        <w:t>As the portent came while Belshazzar was yet committing his act</w:t>
      </w:r>
      <w:r w:rsidR="00922BB9">
        <w:t xml:space="preserve"> of idolatry, the end comes the same</w:t>
      </w:r>
      <w:r w:rsidRPr="00B740B4">
        <w:t xml:space="preserve"> night, to make explicit the sovereign power of Daniel’s God and the authority of his </w:t>
      </w:r>
      <w:r w:rsidR="00081BE6" w:rsidRPr="00B740B4">
        <w:t>expert</w:t>
      </w:r>
      <w:r w:rsidRPr="00B740B4">
        <w:t>. “In a single night the brilliant revel is changed, first into terror and bewilderment, and then into disaster and death”;</w:t>
      </w:r>
      <w:r w:rsidR="0051322E" w:rsidRPr="00B740B4">
        <w:rPr>
          <w:rStyle w:val="FootnoteReference"/>
        </w:rPr>
        <w:footnoteReference w:id="930"/>
      </w:r>
      <w:r w:rsidRPr="00B740B4">
        <w:t xml:space="preserve"> compare the warnings of Amos 6; Matt 24:38–39.</w:t>
      </w:r>
      <w:r w:rsidR="0051322E" w:rsidRPr="00B740B4">
        <w:rPr>
          <w:rStyle w:val="FootnoteReference"/>
        </w:rPr>
        <w:footnoteReference w:id="931"/>
      </w:r>
      <w:r w:rsidRPr="00B740B4">
        <w:t xml:space="preserve"> The moment when God says “You fool” (Luke 12:20) is one </w:t>
      </w:r>
      <w:r w:rsidR="0051322E" w:rsidRPr="00B740B4">
        <w:t xml:space="preserve">that </w:t>
      </w:r>
      <w:r w:rsidRPr="00B740B4">
        <w:t xml:space="preserve">all have to fear, but </w:t>
      </w:r>
      <w:r w:rsidR="0051322E" w:rsidRPr="00B740B4">
        <w:t xml:space="preserve">it is </w:t>
      </w:r>
      <w:r w:rsidRPr="00B740B4">
        <w:t xml:space="preserve">a moment </w:t>
      </w:r>
      <w:r w:rsidR="0051322E" w:rsidRPr="00B740B4">
        <w:t xml:space="preserve">that </w:t>
      </w:r>
      <w:r w:rsidRPr="00B740B4">
        <w:t xml:space="preserve">leaders especially have to fear. They may seem </w:t>
      </w:r>
      <w:r w:rsidR="0051322E" w:rsidRPr="00B740B4">
        <w:t xml:space="preserve">to be </w:t>
      </w:r>
      <w:r w:rsidRPr="00B740B4">
        <w:t>the embodiment of order, destiny, power, and divinity. Yet death comes to them, too, an incontrovertible proof of their pretension to power and significance</w:t>
      </w:r>
      <w:r w:rsidR="0051322E" w:rsidRPr="00B740B4">
        <w:t>.</w:t>
      </w:r>
      <w:r w:rsidR="0051322E" w:rsidRPr="00B740B4">
        <w:rPr>
          <w:rStyle w:val="FootnoteReference"/>
        </w:rPr>
        <w:footnoteReference w:id="932"/>
      </w:r>
      <w:r w:rsidRPr="00B740B4">
        <w:t xml:space="preserve"> </w:t>
      </w:r>
    </w:p>
    <w:p w:rsidR="00807B81" w:rsidRDefault="0051322E" w:rsidP="00113AAD">
      <w:pPr>
        <w:rPr>
          <w:rFonts w:eastAsiaTheme="minorHAnsi" w:cs="TimesNewRomanPSMT"/>
          <w:lang w:bidi="he-IL"/>
        </w:rPr>
      </w:pPr>
      <w:r w:rsidRPr="00B740B4">
        <w:t>Both chap. 4 and chap.</w:t>
      </w:r>
      <w:r w:rsidR="00E13251" w:rsidRPr="00B740B4">
        <w:t xml:space="preserve"> 5 tell of a portent and a person</w:t>
      </w:r>
      <w:r w:rsidRPr="00B740B4">
        <w:t>al calamity, but one story</w:t>
      </w:r>
      <w:r w:rsidR="00E13251" w:rsidRPr="00B740B4">
        <w:t xml:space="preserve"> </w:t>
      </w:r>
      <w:r w:rsidRPr="00B740B4">
        <w:t>ends reasonably happily, the other end</w:t>
      </w:r>
      <w:r w:rsidR="00E13251" w:rsidRPr="00B740B4">
        <w:t xml:space="preserve"> unhappily. </w:t>
      </w:r>
      <w:r w:rsidR="00FF19D7" w:rsidRPr="00B740B4">
        <w:t>“Whereas the fulfillment in chapter 4 occupied ten verses, in this chapter it is one short and dramatic sentence”</w:t>
      </w:r>
      <w:r w:rsidR="00FF19D7" w:rsidRPr="00B740B4">
        <w:rPr>
          <w:rStyle w:val="FootnoteReference"/>
        </w:rPr>
        <w:footnoteReference w:id="933"/>
      </w:r>
      <w:r w:rsidR="00FF19D7" w:rsidRPr="00B740B4">
        <w:t>—which also contrasts with the way suspense has been allowed to build up</w:t>
      </w:r>
      <w:r w:rsidR="00922BB9">
        <w:t xml:space="preserve"> in the leisured narrative that</w:t>
      </w:r>
      <w:r w:rsidR="00FF19D7" w:rsidRPr="00B740B4">
        <w:t xml:space="preserve"> leads to this climax. </w:t>
      </w:r>
      <w:r w:rsidR="00E13251" w:rsidRPr="00B740B4">
        <w:t xml:space="preserve">One is comedy, the other tragedy. </w:t>
      </w:r>
      <w:r w:rsidR="00E13251" w:rsidRPr="00B740B4">
        <w:lastRenderedPageBreak/>
        <w:t>One reveals the divine mercy, the other the divine judgment. Even in the heathen world can be perceived God’s election of some to a positive place in his purpose, of others to a negative one (Rom 9:13–14). In everyday events and in political affairs some find life, others find death. Human responsibility is real, and every experience tests by eliciting a response that either draws people toward</w:t>
      </w:r>
      <w:r w:rsidRPr="00B740B4">
        <w:t>s</w:t>
      </w:r>
      <w:r w:rsidR="00E13251" w:rsidRPr="00B740B4">
        <w:t xml:space="preserve"> God and his blessing, or draws </w:t>
      </w:r>
      <w:r w:rsidRPr="00B740B4">
        <w:t xml:space="preserve">them </w:t>
      </w:r>
      <w:r w:rsidR="00E13251" w:rsidRPr="00B740B4">
        <w:t>in the opposite direction. Behind the whole is the purpose of God, whose wisdom and sovereign acts are deep and mysterious (Rom 9:33), but ultimately trustworthy.</w:t>
      </w:r>
      <w:r w:rsidRPr="00B740B4">
        <w:rPr>
          <w:rStyle w:val="FootnoteReference"/>
        </w:rPr>
        <w:footnoteReference w:id="934"/>
      </w:r>
      <w:r w:rsidR="00E13251" w:rsidRPr="00B740B4">
        <w:t xml:space="preserve"> Ps 2 talks about God laughing when nations and governments assert themselves against him and his purpose. He knows they always end up falling into the pit they dug. Hearing God’s laughter is important for the Belshazzars of the world; it is a way God may get through to them.</w:t>
      </w:r>
      <w:r w:rsidRPr="00B740B4">
        <w:rPr>
          <w:rStyle w:val="FootnoteReference"/>
        </w:rPr>
        <w:footnoteReference w:id="935"/>
      </w:r>
      <w:r w:rsidR="00E13251" w:rsidRPr="00B740B4">
        <w:t xml:space="preserve"> It is important for their subjects, who can afford to sit lighter to them than they sometimes realize, and </w:t>
      </w:r>
      <w:r w:rsidR="00922BB9">
        <w:t xml:space="preserve">who </w:t>
      </w:r>
      <w:r w:rsidR="00E13251" w:rsidRPr="00B740B4">
        <w:t xml:space="preserve">may be able to stand up to them </w:t>
      </w:r>
      <w:r w:rsidR="00B17C7C" w:rsidRPr="00B740B4">
        <w:t>better when they do realize it.</w:t>
      </w:r>
      <w:r w:rsidR="00807B81" w:rsidRPr="00B740B4">
        <w:t xml:space="preserve"> Dan 5 is not just about a one-time</w:t>
      </w:r>
      <w:r w:rsidR="00113AAD" w:rsidRPr="00B740B4">
        <w:t xml:space="preserve"> event in the sixth century; it is</w:t>
      </w:r>
      <w:r w:rsidR="00807B81" w:rsidRPr="00B740B4">
        <w:t xml:space="preserve"> a theologoical reflectio</w:t>
      </w:r>
      <w:r w:rsidR="00807B81" w:rsidRPr="00B740B4">
        <w:rPr>
          <w:rFonts w:eastAsiaTheme="minorHAnsi" w:cs="TimesNewRomanPSMT"/>
          <w:lang w:bidi="he-IL"/>
        </w:rPr>
        <w:t>n on divine</w:t>
      </w:r>
      <w:r w:rsidR="00113AAD" w:rsidRPr="00B740B4">
        <w:rPr>
          <w:rFonts w:eastAsiaTheme="minorHAnsi" w:cs="TimesNewRomanPSMT"/>
          <w:lang w:bidi="he-IL"/>
        </w:rPr>
        <w:t xml:space="preserve"> </w:t>
      </w:r>
      <w:r w:rsidR="00807B81" w:rsidRPr="00B740B4">
        <w:rPr>
          <w:rFonts w:eastAsiaTheme="minorHAnsi" w:cs="TimesNewRomanPSMT"/>
          <w:lang w:bidi="he-IL"/>
        </w:rPr>
        <w:t>justice in th</w:t>
      </w:r>
      <w:r w:rsidR="00113AAD" w:rsidRPr="00B740B4">
        <w:rPr>
          <w:rFonts w:eastAsiaTheme="minorHAnsi" w:cs="TimesNewRomanPSMT"/>
          <w:lang w:bidi="he-IL"/>
        </w:rPr>
        <w:t>e history of the world and</w:t>
      </w:r>
      <w:r w:rsidR="00807B81" w:rsidRPr="00B740B4">
        <w:rPr>
          <w:rFonts w:eastAsiaTheme="minorHAnsi" w:cs="TimesNewRomanPSMT"/>
          <w:lang w:bidi="he-IL"/>
        </w:rPr>
        <w:t xml:space="preserve"> it contains a parable about a scale in which God weighs oppressors.</w:t>
      </w:r>
      <w:r w:rsidR="00807B81" w:rsidRPr="00B740B4">
        <w:rPr>
          <w:rStyle w:val="FootnoteReference"/>
          <w:rFonts w:eastAsiaTheme="minorHAnsi" w:cs="TimesNewRomanPSMT"/>
          <w:lang w:bidi="he-IL"/>
        </w:rPr>
        <w:footnoteReference w:id="936"/>
      </w:r>
      <w:r w:rsidR="00807B81" w:rsidRPr="00B740B4">
        <w:rPr>
          <w:rFonts w:eastAsiaTheme="minorHAnsi" w:cs="TimesNewRomanPSMT"/>
          <w:lang w:bidi="he-IL"/>
        </w:rPr>
        <w:t xml:space="preserve"> </w:t>
      </w:r>
    </w:p>
    <w:p w:rsidR="00922BB9" w:rsidRDefault="00922BB9">
      <w:pPr>
        <w:spacing w:after="200" w:line="276" w:lineRule="auto"/>
        <w:ind w:firstLine="0"/>
        <w:rPr>
          <w:rFonts w:eastAsiaTheme="minorHAnsi" w:cstheme="majorBidi"/>
          <w:b/>
          <w:bCs/>
          <w:iCs/>
          <w:sz w:val="28"/>
        </w:rPr>
      </w:pPr>
      <w:r>
        <w:br w:type="page"/>
      </w:r>
    </w:p>
    <w:p w:rsidR="00301660" w:rsidRPr="00B740B4" w:rsidRDefault="00301660" w:rsidP="00096F8C">
      <w:pPr>
        <w:pStyle w:val="Heading1"/>
      </w:pPr>
      <w:r w:rsidRPr="00B740B4">
        <w:lastRenderedPageBreak/>
        <w:t>God Vindicates His Power When Daniel Chooses the Li</w:t>
      </w:r>
      <w:r w:rsidR="006A59D0" w:rsidRPr="00B740B4">
        <w:t xml:space="preserve">on Pit rather than </w:t>
      </w:r>
      <w:r w:rsidR="00FD7E5B">
        <w:t>Compromise</w:t>
      </w:r>
      <w:r w:rsidR="006A59D0" w:rsidRPr="00B740B4">
        <w:t xml:space="preserve"> (6:1–28 [2–29</w:t>
      </w:r>
      <w:r w:rsidRPr="00B740B4">
        <w:t>])</w:t>
      </w:r>
    </w:p>
    <w:p w:rsidR="006A59D0" w:rsidRPr="00B740B4" w:rsidRDefault="006A59D0" w:rsidP="006A59D0">
      <w:r w:rsidRPr="00B740B4">
        <w:t xml:space="preserve">As noted in connection with chap. 5, I follow Luther’s chapter division. References </w:t>
      </w:r>
      <w:r w:rsidR="00FD7E5B">
        <w:t xml:space="preserve">in square brackets correspond to </w:t>
      </w:r>
      <w:r w:rsidRPr="00B740B4">
        <w:t xml:space="preserve">the medieval </w:t>
      </w:r>
      <w:r w:rsidR="00FD7E5B">
        <w:t xml:space="preserve">chapter </w:t>
      </w:r>
      <w:r w:rsidRPr="00B740B4">
        <w:t>division which appears in p</w:t>
      </w:r>
      <w:r w:rsidR="00922BB9">
        <w:t>rinted Hebrew Bibles</w:t>
      </w:r>
      <w:r w:rsidR="00FD7E5B">
        <w:t>, which</w:t>
      </w:r>
      <w:r w:rsidR="00922BB9">
        <w:t xml:space="preserve"> treats 5:31</w:t>
      </w:r>
      <w:r w:rsidRPr="00B740B4">
        <w:t xml:space="preserve"> as the first verse of chap. 6. </w:t>
      </w:r>
      <w:r w:rsidR="001C1034">
        <w:t>In both versions t</w:t>
      </w:r>
      <w:r w:rsidRPr="00B740B4">
        <w:t>he chapter break a</w:t>
      </w:r>
      <w:r w:rsidR="001C1034">
        <w:t xml:space="preserve">t the end of chap. 6 </w:t>
      </w:r>
      <w:r w:rsidR="00922BB9">
        <w:t>corresponds to the petucha</w:t>
      </w:r>
      <w:r w:rsidRPr="00B740B4">
        <w:t xml:space="preserve"> in MT.</w:t>
      </w:r>
    </w:p>
    <w:p w:rsidR="00301660" w:rsidRPr="00B740B4" w:rsidRDefault="00301660" w:rsidP="009479B1">
      <w:pPr>
        <w:pStyle w:val="Heading2"/>
      </w:pPr>
      <w:r w:rsidRPr="00B740B4">
        <w:t>Pericope Bibliography</w:t>
      </w:r>
    </w:p>
    <w:p w:rsidR="001C1034" w:rsidRDefault="009A0C59" w:rsidP="00721105">
      <w:pPr>
        <w:pStyle w:val="ListParagraph"/>
        <w:ind w:left="0" w:firstLine="0"/>
      </w:pPr>
      <w:r w:rsidRPr="009A0C59">
        <w:rPr>
          <w:rFonts w:eastAsiaTheme="minorHAnsi"/>
          <w:b/>
        </w:rPr>
        <w:t>Arnold, B. T.</w:t>
      </w:r>
      <w:r w:rsidRPr="009A0C59">
        <w:rPr>
          <w:rFonts w:eastAsiaTheme="minorHAnsi"/>
        </w:rPr>
        <w:t xml:space="preserve">  </w:t>
      </w:r>
      <w:r w:rsidRPr="009A0C59">
        <w:t>“</w:t>
      </w:r>
      <w:r w:rsidRPr="009A0C59">
        <w:rPr>
          <w:rFonts w:eastAsiaTheme="minorHAnsi"/>
        </w:rPr>
        <w:t xml:space="preserve">Wordplay and Narrative Techniques in Daniel 5 and 6.” </w:t>
      </w:r>
      <w:r w:rsidR="00301660" w:rsidRPr="009A0C59">
        <w:rPr>
          <w:rStyle w:val="b"/>
          <w:color w:val="auto"/>
          <w:sz w:val="22"/>
          <w:szCs w:val="22"/>
        </w:rPr>
        <w:t>Bentzen, A.</w:t>
      </w:r>
      <w:r w:rsidR="00301660" w:rsidRPr="009A0C59">
        <w:t xml:space="preserve"> “Da</w:t>
      </w:r>
      <w:r w:rsidR="003438B1" w:rsidRPr="009A0C59">
        <w:t xml:space="preserve">niel 6.” </w:t>
      </w:r>
      <w:r w:rsidR="00280940" w:rsidRPr="00B740B4">
        <w:rPr>
          <w:rFonts w:eastAsiaTheme="minorHAnsi"/>
          <w:b/>
        </w:rPr>
        <w:t>Boogaart, T. A.</w:t>
      </w:r>
      <w:r w:rsidR="00280940" w:rsidRPr="00B740B4">
        <w:rPr>
          <w:rFonts w:eastAsiaTheme="minorHAnsi"/>
        </w:rPr>
        <w:t xml:space="preserve"> “Daniel 6.”‖ </w:t>
      </w:r>
      <w:r w:rsidR="00301660" w:rsidRPr="009A0C59">
        <w:rPr>
          <w:rStyle w:val="b"/>
          <w:color w:val="auto"/>
          <w:sz w:val="22"/>
          <w:szCs w:val="22"/>
        </w:rPr>
        <w:t>Boutflower, C.</w:t>
      </w:r>
      <w:r w:rsidR="00301660" w:rsidRPr="009A0C59">
        <w:t xml:space="preserve"> “The Historical Value of Daniel v and vi.” </w:t>
      </w:r>
      <w:r w:rsidR="00301660" w:rsidRPr="009A0C59">
        <w:rPr>
          <w:rStyle w:val="b"/>
          <w:color w:val="auto"/>
          <w:sz w:val="22"/>
          <w:szCs w:val="22"/>
        </w:rPr>
        <w:t>Cassin, E.</w:t>
      </w:r>
      <w:r w:rsidR="00301660" w:rsidRPr="009A0C59">
        <w:t xml:space="preserve"> “Dan</w:t>
      </w:r>
      <w:r w:rsidR="003438B1" w:rsidRPr="009A0C59">
        <w:t xml:space="preserve">iel dans la ‘fosse’ aux lions.” </w:t>
      </w:r>
      <w:r w:rsidR="00E935B8">
        <w:rPr>
          <w:b/>
        </w:rPr>
        <w:t>Davies, P. R.</w:t>
      </w:r>
      <w:r w:rsidR="001C1034">
        <w:rPr>
          <w:b/>
        </w:rPr>
        <w:t xml:space="preserve"> </w:t>
      </w:r>
      <w:r w:rsidR="00E935B8" w:rsidRPr="00E935B8">
        <w:t>“Daniel in the Lion’s Den</w:t>
      </w:r>
      <w:r w:rsidR="00E935B8">
        <w:rPr>
          <w:rStyle w:val="b"/>
          <w:color w:val="auto"/>
          <w:sz w:val="22"/>
          <w:szCs w:val="22"/>
        </w:rPr>
        <w:t>.</w:t>
      </w:r>
      <w:r w:rsidR="00FD7E5B">
        <w:rPr>
          <w:rStyle w:val="b"/>
          <w:b w:val="0"/>
          <w:color w:val="auto"/>
          <w:sz w:val="22"/>
          <w:szCs w:val="22"/>
        </w:rPr>
        <w:t>”</w:t>
      </w:r>
      <w:r w:rsidR="00E935B8">
        <w:rPr>
          <w:rStyle w:val="b"/>
          <w:color w:val="auto"/>
          <w:sz w:val="22"/>
          <w:szCs w:val="22"/>
        </w:rPr>
        <w:t xml:space="preserve"> </w:t>
      </w:r>
      <w:r w:rsidR="00301660" w:rsidRPr="009A0C59">
        <w:rPr>
          <w:rStyle w:val="b"/>
          <w:color w:val="auto"/>
          <w:sz w:val="22"/>
          <w:szCs w:val="22"/>
        </w:rPr>
        <w:t>Derrett, J. D. M.</w:t>
      </w:r>
      <w:r w:rsidR="00301660" w:rsidRPr="009A0C59">
        <w:t xml:space="preserve"> “Daniel and Salvation-History.” </w:t>
      </w:r>
      <w:r w:rsidR="00CD3B70" w:rsidRPr="00CD3B70">
        <w:rPr>
          <w:rFonts w:eastAsiaTheme="minorHAnsi"/>
          <w:b/>
        </w:rPr>
        <w:t>Donaldson, T. L.</w:t>
      </w:r>
      <w:r w:rsidR="00CD3B70">
        <w:rPr>
          <w:rFonts w:eastAsiaTheme="minorHAnsi"/>
        </w:rPr>
        <w:t xml:space="preserve"> </w:t>
      </w:r>
      <w:r w:rsidR="00CD3B70">
        <w:rPr>
          <w:rFonts w:eastAsiaTheme="minorHAnsi"/>
          <w:bCs/>
        </w:rPr>
        <w:t>“</w:t>
      </w:r>
      <w:r w:rsidR="001C1034">
        <w:rPr>
          <w:rFonts w:eastAsiaTheme="minorHAnsi"/>
          <w:bCs/>
        </w:rPr>
        <w:t>Royal Sympathizers i</w:t>
      </w:r>
      <w:r w:rsidR="00CD3B70" w:rsidRPr="00CD3B70">
        <w:rPr>
          <w:rFonts w:eastAsiaTheme="minorHAnsi"/>
          <w:bCs/>
        </w:rPr>
        <w:t xml:space="preserve">n </w:t>
      </w:r>
      <w:r w:rsidR="00CD3B70">
        <w:rPr>
          <w:rFonts w:eastAsiaTheme="minorHAnsi"/>
          <w:bCs/>
        </w:rPr>
        <w:t xml:space="preserve">Jewish Narrative.” </w:t>
      </w:r>
      <w:r w:rsidR="00793633" w:rsidRPr="009A0C59">
        <w:rPr>
          <w:b/>
          <w:bCs/>
          <w:iCs/>
        </w:rPr>
        <w:t xml:space="preserve">Dulaey, M. </w:t>
      </w:r>
      <w:r w:rsidR="00793633" w:rsidRPr="009A0C59">
        <w:rPr>
          <w:bCs/>
          <w:iCs/>
        </w:rPr>
        <w:t>“Daniel dans la fosse aux lions.”</w:t>
      </w:r>
      <w:r w:rsidR="0048420C" w:rsidRPr="0048420C">
        <w:rPr>
          <w:rFonts w:eastAsia="Times-Roman"/>
          <w:b/>
        </w:rPr>
        <w:t xml:space="preserve"> </w:t>
      </w:r>
      <w:r w:rsidR="0005395D">
        <w:rPr>
          <w:b/>
        </w:rPr>
        <w:t xml:space="preserve">Helms, D. </w:t>
      </w:r>
      <w:r w:rsidR="0005395D">
        <w:rPr>
          <w:i/>
        </w:rPr>
        <w:t>Konfliktfelder der Diaspora und die Löwengrube</w:t>
      </w:r>
      <w:r w:rsidR="0005395D">
        <w:t xml:space="preserve">. </w:t>
      </w:r>
      <w:r w:rsidR="00301660" w:rsidRPr="009A0C59">
        <w:rPr>
          <w:rStyle w:val="b"/>
          <w:color w:val="auto"/>
          <w:sz w:val="22"/>
          <w:szCs w:val="22"/>
        </w:rPr>
        <w:t>Levinger, J.</w:t>
      </w:r>
      <w:r w:rsidR="00301660" w:rsidRPr="009A0C59">
        <w:t xml:space="preserve"> </w:t>
      </w:r>
    </w:p>
    <w:p w:rsidR="00672C42" w:rsidRDefault="00301660" w:rsidP="00721105">
      <w:pPr>
        <w:pStyle w:val="ListParagraph"/>
        <w:ind w:left="0" w:firstLine="0"/>
      </w:pPr>
      <w:r w:rsidRPr="009A0C59">
        <w:t>“</w:t>
      </w:r>
      <w:r w:rsidRPr="009A0C59">
        <w:rPr>
          <w:rStyle w:val="heb"/>
          <w:rFonts w:ascii="Arial" w:hAnsi="Arial" w:cs="Arial"/>
          <w:color w:val="auto"/>
        </w:rPr>
        <w:t>האריות</w:t>
      </w:r>
      <w:r w:rsidR="001C1034">
        <w:rPr>
          <w:rStyle w:val="heb"/>
          <w:rFonts w:ascii="Arial" w:hAnsi="Arial" w:cs="Arial"/>
          <w:color w:val="auto"/>
        </w:rPr>
        <w:t xml:space="preserve">  </w:t>
      </w:r>
      <w:r w:rsidR="001C1034" w:rsidRPr="001C1034">
        <w:rPr>
          <w:rFonts w:ascii="Arial" w:hAnsi="Arial" w:cs="Arial"/>
        </w:rPr>
        <w:t>ב</w:t>
      </w:r>
      <w:r w:rsidR="001C1034">
        <w:rPr>
          <w:rStyle w:val="heb"/>
          <w:rFonts w:ascii="Arial" w:hAnsi="Arial" w:cs="Arial"/>
          <w:color w:val="auto"/>
        </w:rPr>
        <w:t xml:space="preserve"> </w:t>
      </w:r>
      <w:r w:rsidR="001C1034" w:rsidRPr="001C1034">
        <w:rPr>
          <w:rFonts w:ascii="Arial" w:hAnsi="Arial" w:cs="Arial"/>
        </w:rPr>
        <w:t>ו</w:t>
      </w:r>
      <w:r w:rsidR="001C1034">
        <w:rPr>
          <w:rFonts w:ascii="Arial" w:hAnsi="Arial" w:cs="Arial"/>
        </w:rPr>
        <w:t xml:space="preserve"> </w:t>
      </w:r>
      <w:r w:rsidR="001C1034" w:rsidRPr="001C1034">
        <w:rPr>
          <w:rFonts w:ascii="Arial" w:hAnsi="Arial" w:cs="Arial"/>
        </w:rPr>
        <w:t>ג</w:t>
      </w:r>
      <w:r w:rsidR="001C1034">
        <w:rPr>
          <w:rFonts w:ascii="Arial" w:hAnsi="Arial" w:cs="Arial"/>
        </w:rPr>
        <w:t xml:space="preserve"> </w:t>
      </w:r>
      <w:r w:rsidR="001C1034" w:rsidRPr="001C1034">
        <w:rPr>
          <w:rFonts w:ascii="Arial" w:hAnsi="Arial" w:cs="Arial"/>
        </w:rPr>
        <w:t xml:space="preserve">ב </w:t>
      </w:r>
      <w:r w:rsidR="001C1034">
        <w:rPr>
          <w:rFonts w:ascii="Arial" w:hAnsi="Arial" w:cs="Arial"/>
        </w:rPr>
        <w:t xml:space="preserve"> </w:t>
      </w:r>
      <w:r w:rsidR="001C1034" w:rsidRPr="001C1034">
        <w:rPr>
          <w:rFonts w:ascii="Arial" w:hAnsi="Arial" w:cs="Arial"/>
        </w:rPr>
        <w:t>ניאלד</w:t>
      </w:r>
      <w:r w:rsidR="00F35E9E">
        <w:rPr>
          <w:rFonts w:ascii="Arial" w:hAnsi="Arial" w:cs="Arial"/>
        </w:rPr>
        <w:t>.</w:t>
      </w:r>
      <w:r w:rsidRPr="009A0C59">
        <w:t xml:space="preserve">” </w:t>
      </w:r>
      <w:r w:rsidRPr="009A0C59">
        <w:rPr>
          <w:rStyle w:val="b"/>
          <w:color w:val="auto"/>
          <w:sz w:val="22"/>
          <w:szCs w:val="22"/>
        </w:rPr>
        <w:t>Mayer, R.</w:t>
      </w:r>
      <w:r w:rsidRPr="009A0C59">
        <w:t xml:space="preserve"> </w:t>
      </w:r>
      <w:r w:rsidRPr="009A0C59">
        <w:rPr>
          <w:rStyle w:val="i"/>
          <w:i w:val="0"/>
          <w:color w:val="auto"/>
          <w:szCs w:val="22"/>
        </w:rPr>
        <w:t>“Iranischer Beitrag zu Problemen des Daniel- und Esther-Buches.”</w:t>
      </w:r>
      <w:r w:rsidRPr="009A0C59">
        <w:rPr>
          <w:i/>
        </w:rPr>
        <w:t xml:space="preserve"> </w:t>
      </w:r>
      <w:r w:rsidRPr="009A0C59">
        <w:rPr>
          <w:rStyle w:val="i"/>
          <w:b/>
          <w:i w:val="0"/>
          <w:color w:val="auto"/>
          <w:szCs w:val="22"/>
        </w:rPr>
        <w:t>Montgomery, J. A.</w:t>
      </w:r>
      <w:r w:rsidRPr="009A0C59">
        <w:t xml:space="preserve"> “The ‘Two Youths’ in the LXX to Dan. 6.” </w:t>
      </w:r>
      <w:r w:rsidRPr="009A0C59">
        <w:rPr>
          <w:rStyle w:val="b"/>
          <w:color w:val="auto"/>
          <w:sz w:val="22"/>
          <w:szCs w:val="22"/>
        </w:rPr>
        <w:t>Paul, S.</w:t>
      </w:r>
      <w:r w:rsidR="00FD4A3E" w:rsidRPr="009A0C59">
        <w:t xml:space="preserve"> “Dan 6,</w:t>
      </w:r>
      <w:r w:rsidRPr="009A0C59">
        <w:t xml:space="preserve">8.” </w:t>
      </w:r>
      <w:r w:rsidR="00EA5E57">
        <w:rPr>
          <w:b/>
          <w:bCs/>
        </w:rPr>
        <w:t>——— .</w:t>
      </w:r>
      <w:r w:rsidR="00FE7AAE" w:rsidRPr="00FE7AAE">
        <w:rPr>
          <w:b/>
          <w:bCs/>
        </w:rPr>
        <w:t xml:space="preserve"> </w:t>
      </w:r>
      <w:r w:rsidR="00FE7AAE" w:rsidRPr="00FE7AAE">
        <w:t xml:space="preserve">“Daniel 6:20.” </w:t>
      </w:r>
      <w:r w:rsidR="00665A62" w:rsidRPr="009A0C59">
        <w:rPr>
          <w:rFonts w:eastAsiaTheme="minorHAnsi"/>
          <w:b/>
          <w:bCs/>
        </w:rPr>
        <w:t>Prinsloo, G. T. M.</w:t>
      </w:r>
      <w:r w:rsidR="00665A62" w:rsidRPr="009A0C59">
        <w:rPr>
          <w:rFonts w:eastAsiaTheme="minorHAnsi"/>
          <w:bCs/>
        </w:rPr>
        <w:t xml:space="preserve"> “Two Poems in a Sea of Prose.” </w:t>
      </w:r>
      <w:r w:rsidRPr="009A0C59">
        <w:rPr>
          <w:rStyle w:val="b"/>
          <w:color w:val="auto"/>
          <w:sz w:val="22"/>
          <w:szCs w:val="22"/>
        </w:rPr>
        <w:t>Schmidt, N.</w:t>
      </w:r>
      <w:r w:rsidRPr="009A0C59">
        <w:t xml:space="preserve"> “Daniel and Androcles.” </w:t>
      </w:r>
      <w:r w:rsidRPr="009A0C59">
        <w:rPr>
          <w:rStyle w:val="b"/>
          <w:color w:val="auto"/>
          <w:sz w:val="22"/>
          <w:szCs w:val="22"/>
        </w:rPr>
        <w:t>Shea, W. H.</w:t>
      </w:r>
      <w:r w:rsidRPr="009A0C59">
        <w:t xml:space="preserve"> “A Further Note on Daniel 6.” </w:t>
      </w:r>
      <w:r w:rsidR="003F2339" w:rsidRPr="009A0C59">
        <w:rPr>
          <w:b/>
        </w:rPr>
        <w:t>Smith-Christopher, D. L.</w:t>
      </w:r>
      <w:r w:rsidR="003F2339" w:rsidRPr="009A0C59">
        <w:t xml:space="preserve"> “Gandhi on Daniel 6.” </w:t>
      </w:r>
      <w:r w:rsidR="00614B50" w:rsidRPr="00614B50">
        <w:rPr>
          <w:b/>
        </w:rPr>
        <w:t>Sörries, R</w:t>
      </w:r>
      <w:r w:rsidR="00FE3A4F" w:rsidRPr="00614B50">
        <w:rPr>
          <w:b/>
        </w:rPr>
        <w:t>.</w:t>
      </w:r>
      <w:r w:rsidR="00FE3A4F">
        <w:t xml:space="preserve"> </w:t>
      </w:r>
      <w:r w:rsidR="00FE3A4F" w:rsidRPr="00FE3A4F">
        <w:rPr>
          <w:bCs/>
          <w:i/>
        </w:rPr>
        <w:t>Daniel in der Löwengrube</w:t>
      </w:r>
      <w:r w:rsidR="00614B50">
        <w:rPr>
          <w:bCs/>
        </w:rPr>
        <w:t>.</w:t>
      </w:r>
      <w:r w:rsidR="00614B50">
        <w:t xml:space="preserve"> </w:t>
      </w:r>
      <w:r w:rsidR="006E1572">
        <w:rPr>
          <w:rFonts w:eastAsia="Times-Roman"/>
          <w:b/>
        </w:rPr>
        <w:t>V</w:t>
      </w:r>
      <w:r w:rsidR="006E1572" w:rsidRPr="00B740B4">
        <w:rPr>
          <w:rFonts w:eastAsia="Times-Roman"/>
          <w:b/>
        </w:rPr>
        <w:t xml:space="preserve">an der Toorn, K. </w:t>
      </w:r>
      <w:r w:rsidR="006E1572" w:rsidRPr="00B740B4">
        <w:rPr>
          <w:rFonts w:eastAsia="Times-Roman"/>
        </w:rPr>
        <w:t>“In the Lions’ Den.”</w:t>
      </w:r>
      <w:r w:rsidR="006E1572" w:rsidRPr="00B740B4">
        <w:rPr>
          <w:rFonts w:eastAsia="Times-Roman"/>
          <w:b/>
        </w:rPr>
        <w:t xml:space="preserve"> </w:t>
      </w:r>
      <w:r w:rsidR="00EA5E57">
        <w:rPr>
          <w:rFonts w:eastAsia="Times-Roman"/>
          <w:b/>
          <w:bCs/>
        </w:rPr>
        <w:t>———</w:t>
      </w:r>
      <w:r w:rsidR="004B11BC" w:rsidRPr="004B11BC">
        <w:rPr>
          <w:rFonts w:eastAsia="Times-Roman"/>
          <w:b/>
          <w:bCs/>
        </w:rPr>
        <w:t xml:space="preserve">. </w:t>
      </w:r>
      <w:r w:rsidR="004B11BC" w:rsidRPr="004B11BC">
        <w:t xml:space="preserve">“Scholars at the Oriental Court,” in </w:t>
      </w:r>
      <w:r w:rsidR="004B11BC" w:rsidRPr="004B11BC">
        <w:rPr>
          <w:bCs/>
        </w:rPr>
        <w:t xml:space="preserve">Collins/Flint (eds.), </w:t>
      </w:r>
      <w:r w:rsidR="004B11BC" w:rsidRPr="004B11BC">
        <w:rPr>
          <w:bCs/>
          <w:i/>
        </w:rPr>
        <w:t>The Book of Daniel</w:t>
      </w:r>
      <w:r w:rsidR="004B11BC" w:rsidRPr="004B11BC">
        <w:rPr>
          <w:bCs/>
        </w:rPr>
        <w:t xml:space="preserve"> </w:t>
      </w:r>
      <w:r w:rsidR="00F20AC6">
        <w:rPr>
          <w:bCs/>
        </w:rPr>
        <w:t>1:</w:t>
      </w:r>
      <w:r w:rsidR="004B11BC" w:rsidRPr="004B11BC">
        <w:rPr>
          <w:bCs/>
        </w:rPr>
        <w:t>37-54.</w:t>
      </w:r>
      <w:r w:rsidR="004B11BC">
        <w:t xml:space="preserve"> </w:t>
      </w:r>
      <w:r w:rsidR="00740E65" w:rsidRPr="00740E65">
        <w:rPr>
          <w:rFonts w:eastAsiaTheme="minorHAnsi"/>
          <w:b/>
        </w:rPr>
        <w:t xml:space="preserve">Van der Woude, A. S.  </w:t>
      </w:r>
      <w:r w:rsidR="00740E65" w:rsidRPr="00740E65">
        <w:rPr>
          <w:rFonts w:eastAsiaTheme="minorHAnsi"/>
        </w:rPr>
        <w:t>“Zu Daniel 6,11.”</w:t>
      </w:r>
      <w:r w:rsidR="00740E65" w:rsidRPr="00740E65">
        <w:rPr>
          <w:rFonts w:eastAsiaTheme="minorHAnsi"/>
          <w:b/>
        </w:rPr>
        <w:t xml:space="preserve"> </w:t>
      </w:r>
      <w:r w:rsidR="0006752E" w:rsidRPr="009A0C59">
        <w:rPr>
          <w:rFonts w:eastAsia="Times-Roman" w:cs="Times-Roman"/>
          <w:b/>
        </w:rPr>
        <w:t>Van Deventer, H. J. M</w:t>
      </w:r>
      <w:r w:rsidR="0006752E" w:rsidRPr="009A0C59">
        <w:rPr>
          <w:rFonts w:eastAsia="Times-Roman" w:cs="Times-Roman"/>
        </w:rPr>
        <w:t xml:space="preserve">. </w:t>
      </w:r>
      <w:r w:rsidR="0006752E" w:rsidRPr="009A0C59">
        <w:t xml:space="preserve">“Literary Lions with Real Bite.” </w:t>
      </w:r>
      <w:r w:rsidR="00754F32" w:rsidRPr="00B740B4">
        <w:rPr>
          <w:b/>
          <w:noProof/>
        </w:rPr>
        <w:t>V</w:t>
      </w:r>
      <w:r w:rsidR="00754F32" w:rsidRPr="00B740B4">
        <w:rPr>
          <w:b/>
          <w:bCs/>
          <w:noProof/>
        </w:rPr>
        <w:t xml:space="preserve">an Henten , J. W. </w:t>
      </w:r>
      <w:r w:rsidR="00754F32" w:rsidRPr="00B740B4">
        <w:rPr>
          <w:bCs/>
          <w:noProof/>
        </w:rPr>
        <w:t xml:space="preserve">“Daniel 3 and </w:t>
      </w:r>
      <w:r w:rsidR="00754F32">
        <w:rPr>
          <w:bCs/>
          <w:noProof/>
        </w:rPr>
        <w:t>6 in Early Christian Literature,” i</w:t>
      </w:r>
      <w:r w:rsidR="00754F32" w:rsidRPr="00B740B4">
        <w:rPr>
          <w:bCs/>
          <w:noProof/>
        </w:rPr>
        <w:t xml:space="preserve">n Collins/Flint (eds.), </w:t>
      </w:r>
      <w:r w:rsidR="00754F32" w:rsidRPr="00B740B4">
        <w:rPr>
          <w:bCs/>
          <w:i/>
          <w:noProof/>
        </w:rPr>
        <w:t>The Book of Daniel</w:t>
      </w:r>
      <w:r w:rsidR="00754F32" w:rsidRPr="00B740B4">
        <w:rPr>
          <w:bCs/>
          <w:noProof/>
        </w:rPr>
        <w:t xml:space="preserve"> 1:149-69. </w:t>
      </w:r>
      <w:r w:rsidR="00754F32" w:rsidRPr="00754F32">
        <w:rPr>
          <w:b/>
          <w:bCs/>
          <w:noProof/>
        </w:rPr>
        <w:t xml:space="preserve">——— </w:t>
      </w:r>
      <w:r w:rsidR="00754F32" w:rsidRPr="00754F32">
        <w:rPr>
          <w:bCs/>
          <w:noProof/>
        </w:rPr>
        <w:t xml:space="preserve">. “The Reception of Daniel 3 and 6 and the Maccabean Martyrdoms in Hebrews 11:33-38.” </w:t>
      </w:r>
      <w:r w:rsidR="00BF47EA" w:rsidRPr="00BF47EA">
        <w:rPr>
          <w:b/>
        </w:rPr>
        <w:t>Walton, J. H.</w:t>
      </w:r>
      <w:r w:rsidR="00BF47EA" w:rsidRPr="00BF47EA">
        <w:t xml:space="preserve"> “The Decree of Darius the Mede in Daniel 6.” </w:t>
      </w:r>
      <w:r w:rsidR="00614B50" w:rsidRPr="00614B50">
        <w:rPr>
          <w:rFonts w:eastAsiaTheme="minorHAnsi" w:cs="AdvOTfc06a83e"/>
          <w:b/>
          <w:color w:val="232020"/>
        </w:rPr>
        <w:t>Xeravits, G. G.</w:t>
      </w:r>
      <w:r w:rsidR="00614B50">
        <w:rPr>
          <w:rFonts w:eastAsiaTheme="minorHAnsi" w:cs="AdvOTfc06a83e"/>
          <w:color w:val="232020"/>
        </w:rPr>
        <w:t xml:space="preserve"> </w:t>
      </w:r>
      <w:r w:rsidR="002F1269">
        <w:rPr>
          <w:rFonts w:eastAsiaTheme="minorHAnsi" w:cs="AdvOTfc06a83e"/>
          <w:color w:val="232020"/>
        </w:rPr>
        <w:t xml:space="preserve">“The Figure of Daniel in Late Antique Synangogue Art.” </w:t>
      </w:r>
      <w:r w:rsidR="00EA5E57">
        <w:rPr>
          <w:rFonts w:eastAsiaTheme="minorHAnsi" w:cs="AdvOTfc06a83e"/>
          <w:b/>
          <w:bCs/>
          <w:color w:val="232020"/>
        </w:rPr>
        <w:t>———</w:t>
      </w:r>
      <w:r w:rsidR="002F1269" w:rsidRPr="002F1269">
        <w:rPr>
          <w:rFonts w:eastAsiaTheme="minorHAnsi" w:cs="AdvOTfc06a83e"/>
          <w:bCs/>
          <w:color w:val="232020"/>
        </w:rPr>
        <w:t>.</w:t>
      </w:r>
      <w:r w:rsidR="002F1269">
        <w:rPr>
          <w:rFonts w:eastAsiaTheme="minorHAnsi" w:cs="AdvOTfc06a83e"/>
          <w:bCs/>
          <w:color w:val="232020"/>
        </w:rPr>
        <w:t xml:space="preserve"> </w:t>
      </w:r>
      <w:r w:rsidR="00614B50">
        <w:rPr>
          <w:rFonts w:eastAsiaTheme="minorHAnsi" w:cs="AdvOTfc06a83e"/>
          <w:color w:val="232020"/>
        </w:rPr>
        <w:t>“</w:t>
      </w:r>
      <w:r w:rsidR="00614B50" w:rsidRPr="00614B50">
        <w:rPr>
          <w:rFonts w:asciiTheme="minorHAnsi" w:eastAsiaTheme="minorHAnsi" w:hAnsiTheme="minorHAnsi" w:cs="AdvOT58b04b30.B"/>
          <w:color w:val="232020"/>
          <w:szCs w:val="22"/>
        </w:rPr>
        <w:t>A Possible Greek Bible Source for Late</w:t>
      </w:r>
      <w:r w:rsidR="00E610A2">
        <w:rPr>
          <w:rFonts w:asciiTheme="minorHAnsi" w:eastAsiaTheme="minorHAnsi" w:hAnsiTheme="minorHAnsi" w:cs="AdvOT58b04b30.B"/>
          <w:color w:val="232020"/>
          <w:szCs w:val="22"/>
        </w:rPr>
        <w:t xml:space="preserve"> </w:t>
      </w:r>
      <w:r w:rsidR="00614B50" w:rsidRPr="00614B50">
        <w:rPr>
          <w:rFonts w:asciiTheme="minorHAnsi" w:eastAsiaTheme="minorHAnsi" w:hAnsiTheme="minorHAnsi" w:cs="AdvOT58b04b30.B"/>
          <w:color w:val="232020"/>
          <w:szCs w:val="22"/>
        </w:rPr>
        <w:t>Antique Synagogue Art</w:t>
      </w:r>
      <w:r w:rsidR="00614B50">
        <w:rPr>
          <w:rFonts w:eastAsia="Times-Roman"/>
          <w:b/>
        </w:rPr>
        <w:t>.</w:t>
      </w:r>
      <w:r w:rsidR="00E610A2">
        <w:rPr>
          <w:rFonts w:eastAsia="Times-Roman"/>
          <w:b/>
        </w:rPr>
        <w:t>”</w:t>
      </w:r>
      <w:r w:rsidR="00614B50">
        <w:rPr>
          <w:rFonts w:eastAsia="Times-Roman"/>
          <w:b/>
        </w:rPr>
        <w:t xml:space="preserve"> </w:t>
      </w:r>
      <w:r w:rsidR="00721105" w:rsidRPr="00754F32">
        <w:rPr>
          <w:rFonts w:eastAsia="Times-Roman"/>
          <w:b/>
        </w:rPr>
        <w:t xml:space="preserve">Zissu, B. </w:t>
      </w:r>
      <w:r w:rsidR="00721105" w:rsidRPr="004B11BC">
        <w:rPr>
          <w:rFonts w:eastAsia="Times-Roman"/>
        </w:rPr>
        <w:t>“Daniel in the</w:t>
      </w:r>
      <w:r w:rsidR="00721105">
        <w:rPr>
          <w:rFonts w:eastAsia="Times-Roman"/>
        </w:rPr>
        <w:t xml:space="preserve"> Lion's Den (?) at Tel Lavnin.” </w:t>
      </w:r>
    </w:p>
    <w:p w:rsidR="00301660" w:rsidRPr="00614B50" w:rsidRDefault="00A05B3A" w:rsidP="00672C42">
      <w:pPr>
        <w:pStyle w:val="ListParagraph"/>
        <w:ind w:left="0" w:firstLine="720"/>
      </w:pPr>
      <w:r w:rsidRPr="009A0C59">
        <w:t xml:space="preserve">On Darius the Mede, see </w:t>
      </w:r>
      <w:r w:rsidR="0098643F">
        <w:t xml:space="preserve">also chap. 5 </w:t>
      </w:r>
      <w:r w:rsidR="0098643F" w:rsidRPr="0098643F">
        <w:rPr>
          <w:i/>
        </w:rPr>
        <w:t>B</w:t>
      </w:r>
      <w:r w:rsidR="00672C42" w:rsidRPr="0098643F">
        <w:rPr>
          <w:i/>
        </w:rPr>
        <w:t>ibliography</w:t>
      </w:r>
      <w:r w:rsidR="00672C42">
        <w:t>.</w:t>
      </w:r>
    </w:p>
    <w:p w:rsidR="00301660" w:rsidRPr="00B740B4" w:rsidRDefault="00301660" w:rsidP="009479B1">
      <w:pPr>
        <w:pStyle w:val="Heading2"/>
      </w:pPr>
      <w:r w:rsidRPr="00B740B4">
        <w:t>Translation</w:t>
      </w:r>
    </w:p>
    <w:p w:rsidR="009277F4" w:rsidRPr="00B740B4" w:rsidRDefault="002C3A66" w:rsidP="00301660">
      <w:r w:rsidRPr="00FA4758">
        <w:rPr>
          <w:rStyle w:val="ver"/>
          <w:i/>
        </w:rPr>
        <w:t>1</w:t>
      </w:r>
      <w:r w:rsidR="00FA4758">
        <w:rPr>
          <w:rStyle w:val="i"/>
          <w:color w:val="auto"/>
        </w:rPr>
        <w:t>It seemed good to D</w:t>
      </w:r>
      <w:r w:rsidR="00131C06">
        <w:rPr>
          <w:rStyle w:val="i"/>
          <w:color w:val="auto"/>
        </w:rPr>
        <w:t>areyaweš</w:t>
      </w:r>
      <w:r w:rsidR="00FA4758">
        <w:rPr>
          <w:rStyle w:val="i"/>
          <w:color w:val="auto"/>
        </w:rPr>
        <w:t xml:space="preserve"> </w:t>
      </w:r>
      <w:r w:rsidR="00301660" w:rsidRPr="00B740B4">
        <w:rPr>
          <w:rStyle w:val="i"/>
          <w:color w:val="auto"/>
        </w:rPr>
        <w:t>to put satraps over his realm, 120 to be spread through the whole realm,</w:t>
      </w:r>
      <w:r w:rsidR="00301660" w:rsidRPr="00B740B4">
        <w:t xml:space="preserve"> </w:t>
      </w:r>
      <w:r w:rsidRPr="00B740B4">
        <w:rPr>
          <w:rStyle w:val="ver"/>
        </w:rPr>
        <w:t>2</w:t>
      </w:r>
      <w:r w:rsidR="00301660" w:rsidRPr="00B740B4">
        <w:rPr>
          <w:rStyle w:val="i"/>
          <w:color w:val="auto"/>
        </w:rPr>
        <w:t>and to put above them three heads,</w:t>
      </w:r>
      <w:r w:rsidR="00301660" w:rsidRPr="00B740B4">
        <w:rPr>
          <w:rStyle w:val="fnref"/>
        </w:rPr>
        <w:t>a</w:t>
      </w:r>
      <w:r w:rsidR="00301660" w:rsidRPr="00B740B4">
        <w:t xml:space="preserve"> </w:t>
      </w:r>
      <w:r w:rsidR="00834A5F" w:rsidRPr="00B740B4">
        <w:rPr>
          <w:rStyle w:val="i"/>
          <w:color w:val="auto"/>
        </w:rPr>
        <w:t>Daniyye’l</w:t>
      </w:r>
      <w:r w:rsidR="00301660" w:rsidRPr="00B740B4">
        <w:rPr>
          <w:rStyle w:val="i"/>
          <w:color w:val="auto"/>
        </w:rPr>
        <w:t xml:space="preserve"> being one of them, to whom these satraps would be accountable, so that the king would not be troubled.</w:t>
      </w:r>
      <w:r w:rsidR="00301660" w:rsidRPr="00B740B4">
        <w:rPr>
          <w:rStyle w:val="fnref"/>
        </w:rPr>
        <w:t>b</w:t>
      </w:r>
      <w:r w:rsidR="00301660" w:rsidRPr="00B740B4">
        <w:t xml:space="preserve"> </w:t>
      </w:r>
      <w:r w:rsidRPr="00B740B4">
        <w:rPr>
          <w:rStyle w:val="ver"/>
        </w:rPr>
        <w:t>3</w:t>
      </w:r>
      <w:r w:rsidR="002E1791">
        <w:rPr>
          <w:rStyle w:val="ver"/>
        </w:rPr>
        <w:t>a</w:t>
      </w:r>
      <w:r w:rsidR="00301660" w:rsidRPr="00B740B4">
        <w:rPr>
          <w:rStyle w:val="i"/>
          <w:color w:val="auto"/>
        </w:rPr>
        <w:t xml:space="preserve">This man </w:t>
      </w:r>
      <w:r w:rsidR="00834A5F" w:rsidRPr="00B740B4">
        <w:rPr>
          <w:rStyle w:val="i"/>
          <w:color w:val="auto"/>
        </w:rPr>
        <w:t>Daniyye’l</w:t>
      </w:r>
      <w:r w:rsidR="00301660" w:rsidRPr="00B740B4">
        <w:rPr>
          <w:rStyle w:val="i"/>
          <w:color w:val="auto"/>
        </w:rPr>
        <w:t xml:space="preserve"> distinguished himself above the other heads and satraps because of his remarkable spirit, and the king was minded</w:t>
      </w:r>
      <w:r w:rsidR="002E1791">
        <w:rPr>
          <w:rStyle w:val="fnref"/>
        </w:rPr>
        <w:t>b</w:t>
      </w:r>
      <w:r w:rsidR="00301660" w:rsidRPr="00B740B4">
        <w:t xml:space="preserve"> </w:t>
      </w:r>
      <w:r w:rsidR="00301660" w:rsidRPr="00B740B4">
        <w:rPr>
          <w:rStyle w:val="i"/>
          <w:color w:val="auto"/>
        </w:rPr>
        <w:t>to put him over the whole realm.</w:t>
      </w:r>
      <w:r w:rsidR="00301660" w:rsidRPr="00B740B4">
        <w:t xml:space="preserve"> </w:t>
      </w:r>
    </w:p>
    <w:p w:rsidR="002D4FFF" w:rsidRPr="00B740B4" w:rsidRDefault="002C3A66" w:rsidP="00301660">
      <w:r w:rsidRPr="00B740B4">
        <w:rPr>
          <w:rStyle w:val="ver"/>
        </w:rPr>
        <w:t>4</w:t>
      </w:r>
      <w:r w:rsidR="00301660" w:rsidRPr="00B740B4">
        <w:rPr>
          <w:rStyle w:val="fnref"/>
        </w:rPr>
        <w:t>a</w:t>
      </w:r>
      <w:r w:rsidR="00301660" w:rsidRPr="00B740B4">
        <w:rPr>
          <w:rStyle w:val="i"/>
          <w:color w:val="auto"/>
        </w:rPr>
        <w:t xml:space="preserve">The heads and </w:t>
      </w:r>
      <w:r w:rsidR="00293AB6">
        <w:rPr>
          <w:rStyle w:val="i"/>
          <w:color w:val="auto"/>
        </w:rPr>
        <w:t xml:space="preserve">the </w:t>
      </w:r>
      <w:r w:rsidR="00301660" w:rsidRPr="00B740B4">
        <w:rPr>
          <w:rStyle w:val="i"/>
          <w:color w:val="auto"/>
        </w:rPr>
        <w:t xml:space="preserve">satraps </w:t>
      </w:r>
      <w:r w:rsidR="009277F4" w:rsidRPr="00B740B4">
        <w:rPr>
          <w:rStyle w:val="i"/>
          <w:color w:val="auto"/>
        </w:rPr>
        <w:t>looked for grounds for indictment of</w:t>
      </w:r>
      <w:r w:rsidR="00301660" w:rsidRPr="00B740B4">
        <w:rPr>
          <w:rStyle w:val="i"/>
          <w:color w:val="auto"/>
        </w:rPr>
        <w:t xml:space="preserve"> </w:t>
      </w:r>
      <w:r w:rsidR="00834A5F" w:rsidRPr="00B740B4">
        <w:rPr>
          <w:rStyle w:val="i"/>
          <w:color w:val="auto"/>
        </w:rPr>
        <w:t>Daniyye’l</w:t>
      </w:r>
      <w:r w:rsidR="00301660" w:rsidRPr="00B740B4">
        <w:rPr>
          <w:rStyle w:val="i"/>
          <w:color w:val="auto"/>
        </w:rPr>
        <w:t xml:space="preserve"> in connection with the affairs of the realm, but they could not</w:t>
      </w:r>
      <w:r w:rsidR="009277F4" w:rsidRPr="00B740B4">
        <w:rPr>
          <w:rStyle w:val="i"/>
          <w:color w:val="auto"/>
        </w:rPr>
        <w:t xml:space="preserve"> find </w:t>
      </w:r>
      <w:r w:rsidR="00997CF7">
        <w:rPr>
          <w:rStyle w:val="i"/>
          <w:color w:val="auto"/>
        </w:rPr>
        <w:t xml:space="preserve">any </w:t>
      </w:r>
      <w:r w:rsidR="009277F4" w:rsidRPr="00B740B4">
        <w:rPr>
          <w:rStyle w:val="i"/>
          <w:color w:val="auto"/>
        </w:rPr>
        <w:t>grounds for indictment on the basis of</w:t>
      </w:r>
      <w:r w:rsidR="00301660" w:rsidRPr="00B740B4">
        <w:rPr>
          <w:rStyle w:val="i"/>
          <w:color w:val="auto"/>
        </w:rPr>
        <w:t xml:space="preserve"> corruption,</w:t>
      </w:r>
      <w:r w:rsidR="009277F4" w:rsidRPr="00B740B4">
        <w:rPr>
          <w:rStyle w:val="i"/>
          <w:color w:val="auto"/>
          <w:vertAlign w:val="superscript"/>
        </w:rPr>
        <w:t>b</w:t>
      </w:r>
      <w:r w:rsidR="00301660" w:rsidRPr="00B740B4">
        <w:rPr>
          <w:rStyle w:val="i"/>
          <w:color w:val="auto"/>
        </w:rPr>
        <w:t xml:space="preserve"> because he was trustworthy. So no negligence or corruption was found in him.</w:t>
      </w:r>
      <w:r w:rsidR="00301660" w:rsidRPr="00B740B4">
        <w:t xml:space="preserve"> </w:t>
      </w:r>
      <w:r w:rsidRPr="00B740B4">
        <w:rPr>
          <w:rStyle w:val="ver"/>
        </w:rPr>
        <w:t>5</w:t>
      </w:r>
      <w:r w:rsidR="00301660" w:rsidRPr="00B740B4">
        <w:rPr>
          <w:rStyle w:val="i"/>
          <w:color w:val="auto"/>
        </w:rPr>
        <w:t>These men said, “We shall no</w:t>
      </w:r>
      <w:r w:rsidR="009277F4" w:rsidRPr="00B740B4">
        <w:rPr>
          <w:rStyle w:val="i"/>
          <w:color w:val="auto"/>
        </w:rPr>
        <w:t>t find any grounds for indictment of t</w:t>
      </w:r>
      <w:r w:rsidR="00301660" w:rsidRPr="00B740B4">
        <w:rPr>
          <w:rStyle w:val="i"/>
          <w:color w:val="auto"/>
        </w:rPr>
        <w:t xml:space="preserve">his </w:t>
      </w:r>
      <w:r w:rsidR="00834A5F" w:rsidRPr="00B740B4">
        <w:rPr>
          <w:rStyle w:val="i"/>
          <w:color w:val="auto"/>
        </w:rPr>
        <w:t>Daniyye’l</w:t>
      </w:r>
      <w:r w:rsidR="00301660" w:rsidRPr="00B740B4">
        <w:rPr>
          <w:rStyle w:val="i"/>
          <w:color w:val="auto"/>
        </w:rPr>
        <w:t xml:space="preserve"> unless we find</w:t>
      </w:r>
      <w:r w:rsidR="00301660" w:rsidRPr="00B740B4">
        <w:rPr>
          <w:rStyle w:val="fnref"/>
        </w:rPr>
        <w:t>a</w:t>
      </w:r>
      <w:r w:rsidR="00301660" w:rsidRPr="00B740B4">
        <w:t xml:space="preserve"> </w:t>
      </w:r>
      <w:r w:rsidR="00301660" w:rsidRPr="00B740B4">
        <w:rPr>
          <w:rStyle w:val="i"/>
          <w:color w:val="auto"/>
        </w:rPr>
        <w:t>them against him in connection with the law</w:t>
      </w:r>
      <w:r w:rsidR="00301660" w:rsidRPr="00B740B4">
        <w:rPr>
          <w:rStyle w:val="fnref"/>
        </w:rPr>
        <w:t>b</w:t>
      </w:r>
      <w:r w:rsidR="00301660" w:rsidRPr="00B740B4">
        <w:t xml:space="preserve"> </w:t>
      </w:r>
      <w:r w:rsidR="00301660" w:rsidRPr="00B740B4">
        <w:rPr>
          <w:rStyle w:val="i"/>
          <w:color w:val="auto"/>
        </w:rPr>
        <w:t>of his God.”</w:t>
      </w:r>
      <w:r w:rsidR="00301660" w:rsidRPr="00B740B4">
        <w:t xml:space="preserve"> </w:t>
      </w:r>
    </w:p>
    <w:p w:rsidR="00301660" w:rsidRPr="00B740B4" w:rsidRDefault="002C3A66" w:rsidP="00301660">
      <w:r w:rsidRPr="00B740B4">
        <w:rPr>
          <w:rStyle w:val="ver"/>
        </w:rPr>
        <w:t>6</w:t>
      </w:r>
      <w:r w:rsidR="00301660" w:rsidRPr="00B740B4">
        <w:rPr>
          <w:rStyle w:val="i"/>
          <w:color w:val="auto"/>
        </w:rPr>
        <w:t>These heads and satraps mustered</w:t>
      </w:r>
      <w:r w:rsidR="00301660" w:rsidRPr="00B740B4">
        <w:rPr>
          <w:rStyle w:val="fnref"/>
        </w:rPr>
        <w:t>a</w:t>
      </w:r>
      <w:r w:rsidR="00301660" w:rsidRPr="00B740B4">
        <w:t xml:space="preserve"> </w:t>
      </w:r>
      <w:r w:rsidR="00301660" w:rsidRPr="00B740B4">
        <w:rPr>
          <w:rStyle w:val="i"/>
          <w:color w:val="auto"/>
        </w:rPr>
        <w:t xml:space="preserve">to see the king, and said to him, “Long live King </w:t>
      </w:r>
      <w:r w:rsidR="00B02E00">
        <w:rPr>
          <w:rStyle w:val="i"/>
          <w:color w:val="auto"/>
        </w:rPr>
        <w:t>Dareyaweš</w:t>
      </w:r>
      <w:r w:rsidR="00301660" w:rsidRPr="00B740B4">
        <w:rPr>
          <w:rStyle w:val="i"/>
          <w:color w:val="auto"/>
        </w:rPr>
        <w:t>!</w:t>
      </w:r>
      <w:r w:rsidR="00301660" w:rsidRPr="00B740B4">
        <w:t xml:space="preserve"> </w:t>
      </w:r>
      <w:r w:rsidRPr="00B740B4">
        <w:rPr>
          <w:rStyle w:val="ver"/>
        </w:rPr>
        <w:t>7</w:t>
      </w:r>
      <w:r w:rsidR="00301660" w:rsidRPr="00B740B4">
        <w:rPr>
          <w:rStyle w:val="i"/>
          <w:color w:val="auto"/>
        </w:rPr>
        <w:t>All the heads of the realm, the governors, the satraps, the advisers, and the commissioners, are of the opinion that the king</w:t>
      </w:r>
      <w:r w:rsidR="00301660" w:rsidRPr="00B740B4">
        <w:rPr>
          <w:rStyle w:val="fnref"/>
        </w:rPr>
        <w:t>a</w:t>
      </w:r>
      <w:r w:rsidR="00301660" w:rsidRPr="00B740B4">
        <w:t xml:space="preserve"> </w:t>
      </w:r>
      <w:r w:rsidR="00301660" w:rsidRPr="00B740B4">
        <w:rPr>
          <w:rStyle w:val="i"/>
          <w:color w:val="auto"/>
        </w:rPr>
        <w:t>should issue a statute and enforce an injunction that for thirty days anyone who petitions any god or man except you, your majesty, will be thrown into a lion pit.</w:t>
      </w:r>
      <w:r w:rsidR="00301660" w:rsidRPr="00B740B4">
        <w:t xml:space="preserve"> </w:t>
      </w:r>
      <w:r w:rsidRPr="00B740B4">
        <w:rPr>
          <w:rStyle w:val="ver"/>
        </w:rPr>
        <w:t>8</w:t>
      </w:r>
      <w:r w:rsidR="00301660" w:rsidRPr="00B740B4">
        <w:rPr>
          <w:rStyle w:val="i"/>
          <w:color w:val="auto"/>
        </w:rPr>
        <w:t>Now, your majesty, issue this injunction and sign</w:t>
      </w:r>
      <w:r w:rsidR="00301660" w:rsidRPr="00B740B4">
        <w:rPr>
          <w:rStyle w:val="fnref"/>
        </w:rPr>
        <w:t>a</w:t>
      </w:r>
      <w:r w:rsidR="00301660" w:rsidRPr="00B740B4">
        <w:t xml:space="preserve"> </w:t>
      </w:r>
      <w:r w:rsidR="00301660" w:rsidRPr="00B740B4">
        <w:rPr>
          <w:rStyle w:val="i"/>
          <w:color w:val="auto"/>
        </w:rPr>
        <w:t>the written regulation, so that as</w:t>
      </w:r>
      <w:r w:rsidR="002D4FFF" w:rsidRPr="00B740B4">
        <w:rPr>
          <w:rStyle w:val="i"/>
          <w:color w:val="auto"/>
        </w:rPr>
        <w:t xml:space="preserve"> a law of </w:t>
      </w:r>
      <w:r w:rsidR="002D4FFF" w:rsidRPr="00B740B4">
        <w:rPr>
          <w:i/>
          <w:szCs w:val="24"/>
        </w:rPr>
        <w:t xml:space="preserve">Maday and Paras </w:t>
      </w:r>
      <w:r w:rsidR="00301660" w:rsidRPr="00B740B4">
        <w:rPr>
          <w:rStyle w:val="i"/>
          <w:color w:val="auto"/>
        </w:rPr>
        <w:t>which shall not pass away, it can in no way</w:t>
      </w:r>
      <w:r w:rsidR="00301660" w:rsidRPr="00B740B4">
        <w:rPr>
          <w:rStyle w:val="fnref"/>
        </w:rPr>
        <w:t>b</w:t>
      </w:r>
      <w:r w:rsidR="00301660" w:rsidRPr="00B740B4">
        <w:t xml:space="preserve"> </w:t>
      </w:r>
      <w:r w:rsidR="00301660" w:rsidRPr="00B740B4">
        <w:rPr>
          <w:rStyle w:val="i"/>
          <w:color w:val="auto"/>
        </w:rPr>
        <w:t>be changed.”</w:t>
      </w:r>
      <w:r w:rsidR="00301660" w:rsidRPr="00B740B4">
        <w:t xml:space="preserve"> </w:t>
      </w:r>
      <w:r w:rsidRPr="00B740B4">
        <w:rPr>
          <w:rStyle w:val="ver"/>
        </w:rPr>
        <w:t>9</w:t>
      </w:r>
      <w:r w:rsidR="00301660" w:rsidRPr="00B740B4">
        <w:rPr>
          <w:rStyle w:val="i"/>
          <w:color w:val="auto"/>
        </w:rPr>
        <w:t xml:space="preserve">Accordingly, King </w:t>
      </w:r>
      <w:r w:rsidR="00257463">
        <w:rPr>
          <w:rStyle w:val="i"/>
          <w:color w:val="auto"/>
        </w:rPr>
        <w:t xml:space="preserve">Dareyaweš </w:t>
      </w:r>
      <w:r w:rsidR="00301660" w:rsidRPr="00B740B4">
        <w:rPr>
          <w:rStyle w:val="i"/>
          <w:color w:val="auto"/>
        </w:rPr>
        <w:t>signed the written injunction.</w:t>
      </w:r>
    </w:p>
    <w:p w:rsidR="00173F14" w:rsidRDefault="002C3A66" w:rsidP="00301660">
      <w:pPr>
        <w:rPr>
          <w:rStyle w:val="i"/>
          <w:color w:val="auto"/>
        </w:rPr>
      </w:pPr>
      <w:r w:rsidRPr="00B740B4">
        <w:rPr>
          <w:rStyle w:val="ver"/>
        </w:rPr>
        <w:lastRenderedPageBreak/>
        <w:t>10</w:t>
      </w:r>
      <w:r w:rsidR="00301660" w:rsidRPr="00B740B4">
        <w:rPr>
          <w:rStyle w:val="i"/>
          <w:color w:val="auto"/>
        </w:rPr>
        <w:t xml:space="preserve">But </w:t>
      </w:r>
      <w:r w:rsidR="00834A5F" w:rsidRPr="00B740B4">
        <w:rPr>
          <w:rStyle w:val="i"/>
          <w:color w:val="auto"/>
        </w:rPr>
        <w:t>Daniyye’l</w:t>
      </w:r>
      <w:r w:rsidR="00997CF7">
        <w:rPr>
          <w:rStyle w:val="i"/>
          <w:color w:val="auto"/>
        </w:rPr>
        <w:t>, when he got to know</w:t>
      </w:r>
      <w:r w:rsidR="00301660" w:rsidRPr="00B740B4">
        <w:rPr>
          <w:rStyle w:val="i"/>
          <w:color w:val="auto"/>
        </w:rPr>
        <w:t xml:space="preserve"> that the document had been signed, went home, where he had a room on the top of the house with</w:t>
      </w:r>
      <w:r w:rsidR="002D4FFF" w:rsidRPr="00B740B4">
        <w:rPr>
          <w:rStyle w:val="i"/>
          <w:color w:val="auto"/>
        </w:rPr>
        <w:t xml:space="preserve"> windows facing towards </w:t>
      </w:r>
      <w:r w:rsidR="00173F14">
        <w:rPr>
          <w:i/>
          <w:szCs w:val="24"/>
        </w:rPr>
        <w:t>Yeruš</w:t>
      </w:r>
      <w:r w:rsidR="002D4FFF" w:rsidRPr="00B740B4">
        <w:rPr>
          <w:i/>
          <w:szCs w:val="24"/>
        </w:rPr>
        <w:t>alem</w:t>
      </w:r>
      <w:r w:rsidR="00301660" w:rsidRPr="00B740B4">
        <w:rPr>
          <w:rStyle w:val="i"/>
          <w:color w:val="auto"/>
        </w:rPr>
        <w:t>. Three times a day he would kneel</w:t>
      </w:r>
      <w:r w:rsidR="00301660" w:rsidRPr="00B740B4">
        <w:rPr>
          <w:rStyle w:val="fnref"/>
        </w:rPr>
        <w:t>a</w:t>
      </w:r>
      <w:r w:rsidR="00301660" w:rsidRPr="00B740B4">
        <w:t xml:space="preserve"> </w:t>
      </w:r>
      <w:r w:rsidR="00301660" w:rsidRPr="00B740B4">
        <w:rPr>
          <w:rStyle w:val="i"/>
          <w:color w:val="auto"/>
        </w:rPr>
        <w:t>in prayer and thanksgiving before his God because</w:t>
      </w:r>
      <w:r w:rsidR="00301660" w:rsidRPr="00B740B4">
        <w:rPr>
          <w:rStyle w:val="fnref"/>
        </w:rPr>
        <w:t>b</w:t>
      </w:r>
      <w:r w:rsidR="00301660" w:rsidRPr="00B740B4">
        <w:t xml:space="preserve"> </w:t>
      </w:r>
      <w:r w:rsidR="00301660" w:rsidRPr="00B740B4">
        <w:rPr>
          <w:rStyle w:val="i"/>
          <w:color w:val="auto"/>
        </w:rPr>
        <w:t>he had been doing so previously.</w:t>
      </w:r>
    </w:p>
    <w:p w:rsidR="002E1791" w:rsidRDefault="002C3A66" w:rsidP="00301660">
      <w:r w:rsidRPr="00B740B4">
        <w:rPr>
          <w:rStyle w:val="ver"/>
        </w:rPr>
        <w:t>11</w:t>
      </w:r>
      <w:r w:rsidR="00301660" w:rsidRPr="00B740B4">
        <w:t xml:space="preserve"> </w:t>
      </w:r>
      <w:r w:rsidR="00301660" w:rsidRPr="00B740B4">
        <w:rPr>
          <w:rStyle w:val="i"/>
          <w:color w:val="auto"/>
        </w:rPr>
        <w:t xml:space="preserve">These men mustered and found </w:t>
      </w:r>
      <w:r w:rsidR="00834A5F" w:rsidRPr="00B740B4">
        <w:rPr>
          <w:rStyle w:val="i"/>
          <w:color w:val="auto"/>
        </w:rPr>
        <w:t>Daniyye’l</w:t>
      </w:r>
      <w:r w:rsidR="00B24F98">
        <w:rPr>
          <w:rStyle w:val="i"/>
          <w:color w:val="auto"/>
        </w:rPr>
        <w:t xml:space="preserve"> petitioning and seeking favor</w:t>
      </w:r>
      <w:r w:rsidR="00301660" w:rsidRPr="00B740B4">
        <w:rPr>
          <w:rStyle w:val="i"/>
          <w:color w:val="auto"/>
        </w:rPr>
        <w:t xml:space="preserve"> before his God.</w:t>
      </w:r>
      <w:r w:rsidR="00301660" w:rsidRPr="00B740B4">
        <w:t xml:space="preserve"> </w:t>
      </w:r>
      <w:r w:rsidRPr="00B740B4">
        <w:rPr>
          <w:rStyle w:val="ver"/>
        </w:rPr>
        <w:t>12</w:t>
      </w:r>
      <w:r w:rsidR="00301660" w:rsidRPr="00B740B4">
        <w:rPr>
          <w:rStyle w:val="i"/>
          <w:color w:val="auto"/>
        </w:rPr>
        <w:t>They approached the king and spoke before him</w:t>
      </w:r>
      <w:r w:rsidR="00301660" w:rsidRPr="00B740B4">
        <w:t xml:space="preserve"> </w:t>
      </w:r>
      <w:r w:rsidR="00301660" w:rsidRPr="00B740B4">
        <w:rPr>
          <w:rStyle w:val="fnref"/>
        </w:rPr>
        <w:t>a</w:t>
      </w:r>
      <w:r w:rsidR="00301660" w:rsidRPr="00B740B4">
        <w:rPr>
          <w:rStyle w:val="i"/>
          <w:color w:val="auto"/>
        </w:rPr>
        <w:t>about the royal injunction:</w:t>
      </w:r>
      <w:r w:rsidR="00301660" w:rsidRPr="00B740B4">
        <w:rPr>
          <w:rStyle w:val="fnref"/>
        </w:rPr>
        <w:t>a</w:t>
      </w:r>
      <w:r w:rsidR="00301660" w:rsidRPr="00B740B4">
        <w:t xml:space="preserve"> </w:t>
      </w:r>
      <w:r w:rsidR="00173F14">
        <w:rPr>
          <w:rStyle w:val="i"/>
          <w:color w:val="auto"/>
        </w:rPr>
        <w:t xml:space="preserve">“You </w:t>
      </w:r>
      <w:r w:rsidR="00301660" w:rsidRPr="00B740B4">
        <w:rPr>
          <w:rStyle w:val="i"/>
          <w:color w:val="auto"/>
        </w:rPr>
        <w:t>sign</w:t>
      </w:r>
      <w:r w:rsidR="00173F14">
        <w:rPr>
          <w:rStyle w:val="i"/>
          <w:color w:val="auto"/>
        </w:rPr>
        <w:t>ed</w:t>
      </w:r>
      <w:r w:rsidR="00301660" w:rsidRPr="00B740B4">
        <w:rPr>
          <w:rStyle w:val="i"/>
          <w:color w:val="auto"/>
        </w:rPr>
        <w:t xml:space="preserve"> an injunction</w:t>
      </w:r>
      <w:r w:rsidR="00173F14">
        <w:rPr>
          <w:rStyle w:val="i"/>
          <w:color w:val="auto"/>
        </w:rPr>
        <w:t>, didn’t you,</w:t>
      </w:r>
      <w:r w:rsidR="00301660" w:rsidRPr="00B740B4">
        <w:rPr>
          <w:rStyle w:val="i"/>
          <w:color w:val="auto"/>
        </w:rPr>
        <w:t xml:space="preserve"> that for thirty days anyone who petitioned any god or man except you, your majesty, </w:t>
      </w:r>
      <w:r w:rsidR="00173F14">
        <w:rPr>
          <w:rStyle w:val="i"/>
          <w:color w:val="auto"/>
        </w:rPr>
        <w:t>would be thrown into a lion pit.</w:t>
      </w:r>
      <w:r w:rsidR="00301660" w:rsidRPr="00B740B4">
        <w:rPr>
          <w:rStyle w:val="i"/>
          <w:color w:val="auto"/>
        </w:rPr>
        <w:t>” The king replied, “Yes, that decision stands absolute as</w:t>
      </w:r>
      <w:r w:rsidR="00834A5F" w:rsidRPr="00B740B4">
        <w:rPr>
          <w:rStyle w:val="i"/>
          <w:color w:val="auto"/>
        </w:rPr>
        <w:t xml:space="preserve"> a law of Maday and Paras</w:t>
      </w:r>
      <w:r w:rsidR="00301660" w:rsidRPr="00B740B4">
        <w:rPr>
          <w:rStyle w:val="i"/>
          <w:color w:val="auto"/>
        </w:rPr>
        <w:t>, which shall not pass away.”</w:t>
      </w:r>
      <w:r w:rsidR="00301660" w:rsidRPr="00B740B4">
        <w:t xml:space="preserve"> </w:t>
      </w:r>
      <w:r w:rsidRPr="00B740B4">
        <w:rPr>
          <w:rStyle w:val="ver"/>
        </w:rPr>
        <w:t>13</w:t>
      </w:r>
      <w:r w:rsidR="00301660" w:rsidRPr="00B740B4">
        <w:rPr>
          <w:rStyle w:val="i"/>
          <w:color w:val="auto"/>
        </w:rPr>
        <w:t>They declared before the king, “</w:t>
      </w:r>
      <w:r w:rsidR="00834A5F" w:rsidRPr="00B740B4">
        <w:rPr>
          <w:rStyle w:val="i"/>
          <w:color w:val="auto"/>
        </w:rPr>
        <w:t>Daniyye’l</w:t>
      </w:r>
      <w:r w:rsidR="00301660" w:rsidRPr="00B740B4">
        <w:rPr>
          <w:rStyle w:val="i"/>
          <w:color w:val="auto"/>
        </w:rPr>
        <w:t xml:space="preserve">, one of the </w:t>
      </w:r>
      <w:r w:rsidR="00834A5F" w:rsidRPr="00B740B4">
        <w:rPr>
          <w:rStyle w:val="i"/>
          <w:color w:val="auto"/>
        </w:rPr>
        <w:t>Yehudite</w:t>
      </w:r>
      <w:r w:rsidR="00301660" w:rsidRPr="00B740B4">
        <w:rPr>
          <w:rStyle w:val="i"/>
          <w:color w:val="auto"/>
        </w:rPr>
        <w:t xml:space="preserve"> exiles, has not taken any notice of you or of the injunction you signed, your majesty. Three times a day he makes his petition.”</w:t>
      </w:r>
      <w:r w:rsidR="00301660" w:rsidRPr="00B740B4">
        <w:t xml:space="preserve"> </w:t>
      </w:r>
      <w:r w:rsidRPr="00B740B4">
        <w:rPr>
          <w:rStyle w:val="ver"/>
        </w:rPr>
        <w:t>14</w:t>
      </w:r>
      <w:r w:rsidR="00301660" w:rsidRPr="00B740B4">
        <w:rPr>
          <w:rStyle w:val="i"/>
          <w:color w:val="auto"/>
        </w:rPr>
        <w:t xml:space="preserve">When the king heard of this, </w:t>
      </w:r>
      <w:r w:rsidR="00521A73">
        <w:rPr>
          <w:rStyle w:val="i"/>
          <w:color w:val="auto"/>
        </w:rPr>
        <w:t xml:space="preserve">it seemed very </w:t>
      </w:r>
      <w:r w:rsidR="00FD558A">
        <w:rPr>
          <w:rStyle w:val="i"/>
          <w:color w:val="auto"/>
        </w:rPr>
        <w:t>disagreeable</w:t>
      </w:r>
      <w:r w:rsidR="00521A73">
        <w:rPr>
          <w:rStyle w:val="i"/>
          <w:color w:val="auto"/>
        </w:rPr>
        <w:t xml:space="preserve"> to him</w:t>
      </w:r>
      <w:r w:rsidR="00301660" w:rsidRPr="00B740B4">
        <w:rPr>
          <w:rStyle w:val="i"/>
          <w:color w:val="auto"/>
        </w:rPr>
        <w:t>.</w:t>
      </w:r>
      <w:r w:rsidR="00301660" w:rsidRPr="00B740B4">
        <w:rPr>
          <w:rStyle w:val="fnref"/>
        </w:rPr>
        <w:t>a</w:t>
      </w:r>
      <w:r w:rsidR="00301660" w:rsidRPr="00B740B4">
        <w:t xml:space="preserve"> </w:t>
      </w:r>
      <w:r w:rsidR="00FD558A">
        <w:rPr>
          <w:rStyle w:val="i"/>
          <w:color w:val="auto"/>
        </w:rPr>
        <w:t>and h</w:t>
      </w:r>
      <w:r w:rsidR="00301660" w:rsidRPr="00B740B4">
        <w:rPr>
          <w:rStyle w:val="i"/>
          <w:color w:val="auto"/>
        </w:rPr>
        <w:t xml:space="preserve">e applied his mind to delivering </w:t>
      </w:r>
      <w:r w:rsidR="00834A5F" w:rsidRPr="00B740B4">
        <w:rPr>
          <w:rStyle w:val="i"/>
          <w:color w:val="auto"/>
        </w:rPr>
        <w:t>Daniyye’l</w:t>
      </w:r>
      <w:r w:rsidR="00301660" w:rsidRPr="00B740B4">
        <w:rPr>
          <w:rStyle w:val="i"/>
          <w:color w:val="auto"/>
        </w:rPr>
        <w:t xml:space="preserve"> and worked on rescuing him until sundown.</w:t>
      </w:r>
      <w:r w:rsidR="00301660" w:rsidRPr="00B740B4">
        <w:rPr>
          <w:rStyle w:val="fnref"/>
        </w:rPr>
        <w:t>b</w:t>
      </w:r>
      <w:r w:rsidR="00301660" w:rsidRPr="00B740B4">
        <w:t xml:space="preserve"> </w:t>
      </w:r>
    </w:p>
    <w:p w:rsidR="00301660" w:rsidRPr="00B740B4" w:rsidRDefault="002C3A66" w:rsidP="00301660">
      <w:r w:rsidRPr="00B740B4">
        <w:rPr>
          <w:rStyle w:val="ver"/>
        </w:rPr>
        <w:t>15</w:t>
      </w:r>
      <w:r w:rsidR="002E1791">
        <w:rPr>
          <w:rStyle w:val="i"/>
          <w:color w:val="auto"/>
        </w:rPr>
        <w:t>T</w:t>
      </w:r>
      <w:r w:rsidR="00173F14">
        <w:rPr>
          <w:rStyle w:val="i"/>
          <w:color w:val="auto"/>
        </w:rPr>
        <w:t>he</w:t>
      </w:r>
      <w:r w:rsidR="00301660" w:rsidRPr="00B740B4">
        <w:rPr>
          <w:rStyle w:val="i"/>
          <w:color w:val="auto"/>
        </w:rPr>
        <w:t>se men mustered to see the king and said to the king, “Your majesty must recognize that it is</w:t>
      </w:r>
      <w:r w:rsidR="0027635A" w:rsidRPr="00B740B4">
        <w:rPr>
          <w:rStyle w:val="i"/>
          <w:color w:val="auto"/>
        </w:rPr>
        <w:t xml:space="preserve"> a law of </w:t>
      </w:r>
      <w:r w:rsidR="0027635A" w:rsidRPr="00B740B4">
        <w:rPr>
          <w:i/>
          <w:szCs w:val="24"/>
        </w:rPr>
        <w:t>Maday and Paras</w:t>
      </w:r>
      <w:r w:rsidR="00301660" w:rsidRPr="00B740B4">
        <w:rPr>
          <w:rStyle w:val="i"/>
          <w:color w:val="auto"/>
        </w:rPr>
        <w:t xml:space="preserve"> that any statutory injunction which the king issues cannot be changed.”</w:t>
      </w:r>
      <w:r w:rsidR="002E1791">
        <w:t xml:space="preserve"> </w:t>
      </w:r>
      <w:r w:rsidRPr="00B740B4">
        <w:rPr>
          <w:rStyle w:val="ver"/>
        </w:rPr>
        <w:t>16</w:t>
      </w:r>
      <w:r w:rsidR="0027635A" w:rsidRPr="00B740B4">
        <w:rPr>
          <w:rStyle w:val="i"/>
          <w:color w:val="auto"/>
        </w:rPr>
        <w:t>The king said</w:t>
      </w:r>
      <w:r w:rsidR="00301660" w:rsidRPr="00B740B4">
        <w:rPr>
          <w:rStyle w:val="i"/>
          <w:color w:val="auto"/>
        </w:rPr>
        <w:t xml:space="preserve"> to fetch </w:t>
      </w:r>
      <w:r w:rsidR="00834A5F" w:rsidRPr="00B740B4">
        <w:rPr>
          <w:rStyle w:val="i"/>
          <w:color w:val="auto"/>
        </w:rPr>
        <w:t>Daniyye’l</w:t>
      </w:r>
      <w:r w:rsidR="00301660" w:rsidRPr="00B740B4">
        <w:rPr>
          <w:rStyle w:val="i"/>
          <w:color w:val="auto"/>
        </w:rPr>
        <w:t xml:space="preserve"> and throw him into the lion pit.</w:t>
      </w:r>
      <w:r w:rsidR="00301660" w:rsidRPr="00B740B4">
        <w:rPr>
          <w:rStyle w:val="fnref"/>
        </w:rPr>
        <w:t>a</w:t>
      </w:r>
      <w:r w:rsidR="00301660" w:rsidRPr="00B740B4">
        <w:t xml:space="preserve"> </w:t>
      </w:r>
      <w:r w:rsidR="00301660" w:rsidRPr="00B740B4">
        <w:rPr>
          <w:rStyle w:val="i"/>
          <w:color w:val="auto"/>
        </w:rPr>
        <w:t xml:space="preserve">The king declared to </w:t>
      </w:r>
      <w:r w:rsidR="00834A5F" w:rsidRPr="00B740B4">
        <w:rPr>
          <w:rStyle w:val="i"/>
          <w:color w:val="auto"/>
        </w:rPr>
        <w:t>Daniyye’l</w:t>
      </w:r>
      <w:r w:rsidR="00301660" w:rsidRPr="00B740B4">
        <w:rPr>
          <w:rStyle w:val="i"/>
          <w:color w:val="auto"/>
        </w:rPr>
        <w:t>, “Your God, whom you honor so consistently, he must</w:t>
      </w:r>
      <w:r w:rsidR="00301660" w:rsidRPr="00B740B4">
        <w:rPr>
          <w:rStyle w:val="fnref"/>
        </w:rPr>
        <w:t>b</w:t>
      </w:r>
      <w:r w:rsidR="00301660" w:rsidRPr="00B740B4">
        <w:t xml:space="preserve"> </w:t>
      </w:r>
      <w:r w:rsidR="00301660" w:rsidRPr="00B740B4">
        <w:rPr>
          <w:rStyle w:val="i"/>
          <w:color w:val="auto"/>
        </w:rPr>
        <w:t>deliver you.”</w:t>
      </w:r>
      <w:r w:rsidR="00301660" w:rsidRPr="00B740B4">
        <w:t xml:space="preserve"> </w:t>
      </w:r>
      <w:r w:rsidRPr="00B740B4">
        <w:rPr>
          <w:rStyle w:val="ver"/>
        </w:rPr>
        <w:t>17</w:t>
      </w:r>
      <w:r w:rsidR="00301660" w:rsidRPr="00B740B4">
        <w:rPr>
          <w:rStyle w:val="i"/>
          <w:color w:val="auto"/>
        </w:rPr>
        <w:t>A rock was brought and put over the mouth of the pit, and the king sealed it with his signet and with those</w:t>
      </w:r>
      <w:r w:rsidR="00301660" w:rsidRPr="00B740B4">
        <w:rPr>
          <w:rStyle w:val="fnref"/>
        </w:rPr>
        <w:t>a</w:t>
      </w:r>
      <w:r w:rsidR="00301660" w:rsidRPr="00B740B4">
        <w:t xml:space="preserve"> </w:t>
      </w:r>
      <w:r w:rsidR="00301660" w:rsidRPr="00B740B4">
        <w:rPr>
          <w:rStyle w:val="i"/>
          <w:color w:val="auto"/>
        </w:rPr>
        <w:t>of his nobles, so that what was intended</w:t>
      </w:r>
      <w:r w:rsidR="00301660" w:rsidRPr="00B740B4">
        <w:rPr>
          <w:rStyle w:val="fnref"/>
        </w:rPr>
        <w:t>b</w:t>
      </w:r>
      <w:r w:rsidR="00301660" w:rsidRPr="00B740B4">
        <w:t xml:space="preserve"> </w:t>
      </w:r>
      <w:r w:rsidR="00301660" w:rsidRPr="00B740B4">
        <w:rPr>
          <w:rStyle w:val="i"/>
          <w:color w:val="auto"/>
        </w:rPr>
        <w:t xml:space="preserve">for </w:t>
      </w:r>
      <w:r w:rsidR="00834A5F" w:rsidRPr="00B740B4">
        <w:rPr>
          <w:rStyle w:val="i"/>
          <w:color w:val="auto"/>
        </w:rPr>
        <w:t>Daniyye’l</w:t>
      </w:r>
      <w:r w:rsidR="00301660" w:rsidRPr="00B740B4">
        <w:rPr>
          <w:rStyle w:val="i"/>
          <w:color w:val="auto"/>
        </w:rPr>
        <w:t xml:space="preserve"> might not be changed.</w:t>
      </w:r>
      <w:r w:rsidR="00301660" w:rsidRPr="00B740B4">
        <w:t xml:space="preserve"> </w:t>
      </w:r>
      <w:r w:rsidRPr="00B740B4">
        <w:rPr>
          <w:rStyle w:val="ver"/>
        </w:rPr>
        <w:t>18</w:t>
      </w:r>
      <w:r w:rsidR="00301660" w:rsidRPr="00B740B4">
        <w:rPr>
          <w:rStyle w:val="i"/>
          <w:color w:val="auto"/>
        </w:rPr>
        <w:t>The king went off to his palace and spent the night without food;</w:t>
      </w:r>
      <w:r w:rsidR="00301660" w:rsidRPr="00B740B4">
        <w:rPr>
          <w:rStyle w:val="fnref"/>
        </w:rPr>
        <w:t>a</w:t>
      </w:r>
      <w:r w:rsidR="00301660" w:rsidRPr="00B740B4">
        <w:t xml:space="preserve"> </w:t>
      </w:r>
      <w:r w:rsidR="00301660" w:rsidRPr="00B740B4">
        <w:rPr>
          <w:rStyle w:val="i"/>
          <w:color w:val="auto"/>
        </w:rPr>
        <w:t>nothing</w:t>
      </w:r>
      <w:r w:rsidR="00301660" w:rsidRPr="00B740B4">
        <w:rPr>
          <w:rStyle w:val="fnref"/>
        </w:rPr>
        <w:t>b</w:t>
      </w:r>
      <w:r w:rsidR="00301660" w:rsidRPr="00B740B4">
        <w:t xml:space="preserve"> </w:t>
      </w:r>
      <w:r w:rsidR="00301660" w:rsidRPr="00B740B4">
        <w:rPr>
          <w:rStyle w:val="i"/>
          <w:color w:val="auto"/>
        </w:rPr>
        <w:t>was brought into his presence. But sleep eluded him.</w:t>
      </w:r>
      <w:r w:rsidR="00301660" w:rsidRPr="00B740B4">
        <w:t xml:space="preserve"> </w:t>
      </w:r>
      <w:r w:rsidRPr="00B740B4">
        <w:rPr>
          <w:rStyle w:val="ver"/>
        </w:rPr>
        <w:t>19</w:t>
      </w:r>
      <w:r w:rsidR="00301660" w:rsidRPr="00B740B4">
        <w:rPr>
          <w:rStyle w:val="fnref"/>
        </w:rPr>
        <w:t>a</w:t>
      </w:r>
      <w:r w:rsidR="00301660" w:rsidRPr="00B740B4">
        <w:rPr>
          <w:rStyle w:val="i"/>
          <w:color w:val="auto"/>
        </w:rPr>
        <w:t>When morning cam</w:t>
      </w:r>
      <w:r w:rsidR="003B41D2" w:rsidRPr="00B740B4">
        <w:rPr>
          <w:rStyle w:val="i"/>
          <w:color w:val="auto"/>
        </w:rPr>
        <w:t>e,</w:t>
      </w:r>
      <w:r w:rsidR="00301660" w:rsidRPr="00B740B4">
        <w:rPr>
          <w:rStyle w:val="fnref"/>
        </w:rPr>
        <w:t>a</w:t>
      </w:r>
      <w:r w:rsidR="00301660" w:rsidRPr="00B740B4">
        <w:t xml:space="preserve"> </w:t>
      </w:r>
      <w:r w:rsidR="00301660" w:rsidRPr="00B740B4">
        <w:rPr>
          <w:rStyle w:val="i"/>
          <w:color w:val="auto"/>
        </w:rPr>
        <w:t>the king got up</w:t>
      </w:r>
      <w:r w:rsidR="00301660" w:rsidRPr="00B740B4">
        <w:rPr>
          <w:rStyle w:val="fnref"/>
        </w:rPr>
        <w:t>b</w:t>
      </w:r>
      <w:r w:rsidR="00301660" w:rsidRPr="00B740B4">
        <w:t xml:space="preserve"> </w:t>
      </w:r>
      <w:r w:rsidR="00301660" w:rsidRPr="00B740B4">
        <w:rPr>
          <w:rStyle w:val="fnref"/>
        </w:rPr>
        <w:t>a</w:t>
      </w:r>
      <w:r w:rsidR="00301660" w:rsidRPr="00B740B4">
        <w:rPr>
          <w:rStyle w:val="i"/>
          <w:color w:val="auto"/>
        </w:rPr>
        <w:t>at sunrise</w:t>
      </w:r>
      <w:r w:rsidR="00301660" w:rsidRPr="00B740B4">
        <w:rPr>
          <w:rStyle w:val="fnref"/>
        </w:rPr>
        <w:t>a</w:t>
      </w:r>
      <w:r w:rsidR="00301660" w:rsidRPr="00B740B4">
        <w:t xml:space="preserve"> </w:t>
      </w:r>
      <w:r w:rsidR="00301660" w:rsidRPr="00B740B4">
        <w:rPr>
          <w:rStyle w:val="i"/>
          <w:color w:val="auto"/>
        </w:rPr>
        <w:t xml:space="preserve">and went back </w:t>
      </w:r>
      <w:r w:rsidR="003B41D2" w:rsidRPr="00B740B4">
        <w:rPr>
          <w:rStyle w:val="i"/>
          <w:color w:val="auto"/>
        </w:rPr>
        <w:t>in agitation</w:t>
      </w:r>
      <w:r w:rsidR="00301660" w:rsidRPr="00B740B4">
        <w:rPr>
          <w:rStyle w:val="fnref"/>
        </w:rPr>
        <w:t>c</w:t>
      </w:r>
      <w:r w:rsidR="00301660" w:rsidRPr="00B740B4">
        <w:t xml:space="preserve"> </w:t>
      </w:r>
      <w:r w:rsidR="00301660" w:rsidRPr="00B740B4">
        <w:rPr>
          <w:rStyle w:val="i"/>
          <w:color w:val="auto"/>
        </w:rPr>
        <w:t>to the lion pit.</w:t>
      </w:r>
      <w:r w:rsidR="00301660" w:rsidRPr="00B740B4">
        <w:t xml:space="preserve"> </w:t>
      </w:r>
      <w:r w:rsidRPr="00B740B4">
        <w:rPr>
          <w:rStyle w:val="ver"/>
        </w:rPr>
        <w:t>20</w:t>
      </w:r>
      <w:r w:rsidR="00301660" w:rsidRPr="00B740B4">
        <w:rPr>
          <w:rStyle w:val="i"/>
          <w:color w:val="auto"/>
        </w:rPr>
        <w:t xml:space="preserve">On approaching the pit he called to </w:t>
      </w:r>
      <w:r w:rsidR="00834A5F" w:rsidRPr="00B740B4">
        <w:rPr>
          <w:rStyle w:val="i"/>
          <w:color w:val="auto"/>
        </w:rPr>
        <w:t>Daniyye’l</w:t>
      </w:r>
      <w:r w:rsidR="00301660" w:rsidRPr="00B740B4">
        <w:rPr>
          <w:rStyle w:val="i"/>
          <w:color w:val="auto"/>
        </w:rPr>
        <w:t xml:space="preserve"> in an angu</w:t>
      </w:r>
      <w:r w:rsidR="003B41D2" w:rsidRPr="00B740B4">
        <w:rPr>
          <w:rStyle w:val="i"/>
          <w:color w:val="auto"/>
        </w:rPr>
        <w:t xml:space="preserve">ished voice. The king averred </w:t>
      </w:r>
      <w:r w:rsidR="00301660" w:rsidRPr="00B740B4">
        <w:rPr>
          <w:rStyle w:val="i"/>
          <w:color w:val="auto"/>
        </w:rPr>
        <w:t xml:space="preserve">to </w:t>
      </w:r>
      <w:r w:rsidR="00834A5F" w:rsidRPr="00B740B4">
        <w:rPr>
          <w:rStyle w:val="i"/>
          <w:color w:val="auto"/>
        </w:rPr>
        <w:t>Daniyye’l</w:t>
      </w:r>
      <w:r w:rsidR="00301660" w:rsidRPr="00B740B4">
        <w:rPr>
          <w:rStyle w:val="i"/>
          <w:color w:val="auto"/>
        </w:rPr>
        <w:t>, “</w:t>
      </w:r>
      <w:r w:rsidR="00834A5F" w:rsidRPr="00B740B4">
        <w:rPr>
          <w:rStyle w:val="i"/>
          <w:color w:val="auto"/>
        </w:rPr>
        <w:t>Daniyye’l</w:t>
      </w:r>
      <w:r w:rsidR="00301660" w:rsidRPr="00B740B4">
        <w:rPr>
          <w:rStyle w:val="i"/>
          <w:color w:val="auto"/>
        </w:rPr>
        <w:t>, servant of the living God, could your God, whom you honor so consistently, deliver you from the lions?”</w:t>
      </w:r>
      <w:r w:rsidR="00301660" w:rsidRPr="00B740B4">
        <w:t xml:space="preserve"> </w:t>
      </w:r>
      <w:r w:rsidRPr="00B740B4">
        <w:rPr>
          <w:rStyle w:val="ver"/>
        </w:rPr>
        <w:t>21</w:t>
      </w:r>
      <w:r w:rsidR="00834A5F" w:rsidRPr="00B740B4">
        <w:rPr>
          <w:rStyle w:val="i"/>
          <w:color w:val="auto"/>
        </w:rPr>
        <w:t>Daniyye’l</w:t>
      </w:r>
      <w:r w:rsidR="00301660" w:rsidRPr="00B740B4">
        <w:rPr>
          <w:rStyle w:val="i"/>
          <w:color w:val="auto"/>
        </w:rPr>
        <w:t xml:space="preserve"> spoke to</w:t>
      </w:r>
      <w:r w:rsidR="00301660" w:rsidRPr="00B740B4">
        <w:rPr>
          <w:rStyle w:val="fnref"/>
        </w:rPr>
        <w:t>a</w:t>
      </w:r>
      <w:r w:rsidR="00301660" w:rsidRPr="00B740B4">
        <w:t xml:space="preserve"> </w:t>
      </w:r>
      <w:r w:rsidR="00301660" w:rsidRPr="00B740B4">
        <w:rPr>
          <w:rStyle w:val="i"/>
          <w:color w:val="auto"/>
        </w:rPr>
        <w:t>the king, “Long live the king!</w:t>
      </w:r>
      <w:r w:rsidR="00301660" w:rsidRPr="00B740B4">
        <w:t xml:space="preserve"> </w:t>
      </w:r>
      <w:r w:rsidRPr="00B740B4">
        <w:rPr>
          <w:rStyle w:val="ver"/>
        </w:rPr>
        <w:t>22</w:t>
      </w:r>
      <w:r w:rsidR="00301660" w:rsidRPr="00B740B4">
        <w:rPr>
          <w:rStyle w:val="i"/>
          <w:color w:val="auto"/>
        </w:rPr>
        <w:t>My God sent his aide and shut the lions’ mouths, and they have not injured me, because</w:t>
      </w:r>
      <w:r w:rsidR="00301660" w:rsidRPr="00B740B4">
        <w:t xml:space="preserve"> </w:t>
      </w:r>
      <w:r w:rsidR="00301660" w:rsidRPr="00B740B4">
        <w:rPr>
          <w:rStyle w:val="fnref"/>
        </w:rPr>
        <w:t>a</w:t>
      </w:r>
      <w:r w:rsidR="00301660" w:rsidRPr="00B740B4">
        <w:rPr>
          <w:rStyle w:val="i"/>
          <w:color w:val="auto"/>
        </w:rPr>
        <w:t>I was found innocent</w:t>
      </w:r>
      <w:r w:rsidR="00301660" w:rsidRPr="00B740B4">
        <w:rPr>
          <w:rStyle w:val="fnref"/>
        </w:rPr>
        <w:t>a</w:t>
      </w:r>
      <w:r w:rsidR="00301660" w:rsidRPr="00B740B4">
        <w:t xml:space="preserve"> </w:t>
      </w:r>
      <w:r w:rsidR="00301660" w:rsidRPr="00B740B4">
        <w:rPr>
          <w:rStyle w:val="i"/>
          <w:color w:val="auto"/>
        </w:rPr>
        <w:t>before him—as also before you, your majesty, I have done nothing injurious.”</w:t>
      </w:r>
      <w:r w:rsidR="00301660" w:rsidRPr="00B740B4">
        <w:t xml:space="preserve"> </w:t>
      </w:r>
      <w:r w:rsidRPr="00B740B4">
        <w:rPr>
          <w:rStyle w:val="ver"/>
        </w:rPr>
        <w:t>23</w:t>
      </w:r>
      <w:r w:rsidR="002E1791">
        <w:rPr>
          <w:rStyle w:val="i"/>
          <w:color w:val="auto"/>
        </w:rPr>
        <w:t>T</w:t>
      </w:r>
      <w:r w:rsidR="00173F14">
        <w:rPr>
          <w:rStyle w:val="i"/>
          <w:color w:val="auto"/>
        </w:rPr>
        <w:t>he</w:t>
      </w:r>
      <w:r w:rsidR="00301660" w:rsidRPr="00B740B4">
        <w:rPr>
          <w:rStyle w:val="i"/>
          <w:color w:val="auto"/>
        </w:rPr>
        <w:t xml:space="preserve"> king</w:t>
      </w:r>
      <w:r w:rsidR="00521A73">
        <w:rPr>
          <w:rStyle w:val="i"/>
          <w:color w:val="auto"/>
        </w:rPr>
        <w:t xml:space="preserve">—it seemed </w:t>
      </w:r>
      <w:r w:rsidR="00173F14">
        <w:rPr>
          <w:rStyle w:val="i"/>
          <w:color w:val="auto"/>
        </w:rPr>
        <w:t xml:space="preserve">very </w:t>
      </w:r>
      <w:r w:rsidR="00521A73">
        <w:rPr>
          <w:rStyle w:val="i"/>
          <w:color w:val="auto"/>
        </w:rPr>
        <w:t>good to him,</w:t>
      </w:r>
      <w:r w:rsidR="00301660" w:rsidRPr="00B740B4">
        <w:rPr>
          <w:rStyle w:val="i"/>
          <w:color w:val="auto"/>
        </w:rPr>
        <w:t xml:space="preserve"> and </w:t>
      </w:r>
      <w:r w:rsidR="00521A73">
        <w:rPr>
          <w:rStyle w:val="i"/>
          <w:color w:val="auto"/>
        </w:rPr>
        <w:t xml:space="preserve">he </w:t>
      </w:r>
      <w:r w:rsidR="00D42A71">
        <w:rPr>
          <w:rStyle w:val="i"/>
          <w:color w:val="auto"/>
        </w:rPr>
        <w:t xml:space="preserve">said to lift </w:t>
      </w:r>
      <w:r w:rsidR="00834A5F" w:rsidRPr="00B740B4">
        <w:rPr>
          <w:rStyle w:val="i"/>
          <w:color w:val="auto"/>
        </w:rPr>
        <w:t>Daniyye’l</w:t>
      </w:r>
      <w:r w:rsidR="00D42A71">
        <w:rPr>
          <w:rStyle w:val="i"/>
          <w:color w:val="auto"/>
        </w:rPr>
        <w:t xml:space="preserve"> </w:t>
      </w:r>
      <w:r w:rsidR="00301660" w:rsidRPr="00B740B4">
        <w:rPr>
          <w:rStyle w:val="i"/>
          <w:color w:val="auto"/>
        </w:rPr>
        <w:t xml:space="preserve">out of the pit. </w:t>
      </w:r>
      <w:r w:rsidR="00834A5F" w:rsidRPr="00B740B4">
        <w:rPr>
          <w:rStyle w:val="i"/>
          <w:color w:val="auto"/>
        </w:rPr>
        <w:t>Daniyye’l</w:t>
      </w:r>
      <w:r w:rsidR="00D42A71">
        <w:rPr>
          <w:rStyle w:val="i"/>
          <w:color w:val="auto"/>
        </w:rPr>
        <w:t xml:space="preserve"> was lifted</w:t>
      </w:r>
      <w:r w:rsidR="00301660" w:rsidRPr="00B740B4">
        <w:rPr>
          <w:rStyle w:val="i"/>
          <w:color w:val="auto"/>
        </w:rPr>
        <w:t xml:space="preserve"> out of the pit, and no i</w:t>
      </w:r>
      <w:r w:rsidR="00CA5973">
        <w:rPr>
          <w:rStyle w:val="i"/>
          <w:color w:val="auto"/>
        </w:rPr>
        <w:t xml:space="preserve">njury was found on him, in that </w:t>
      </w:r>
      <w:r w:rsidR="00301660" w:rsidRPr="00B740B4">
        <w:rPr>
          <w:rStyle w:val="i"/>
          <w:color w:val="auto"/>
        </w:rPr>
        <w:t>he had trusted</w:t>
      </w:r>
      <w:r w:rsidR="00301660" w:rsidRPr="00B740B4">
        <w:rPr>
          <w:rStyle w:val="fnref"/>
        </w:rPr>
        <w:t>a</w:t>
      </w:r>
      <w:r w:rsidR="00301660" w:rsidRPr="00B740B4">
        <w:t xml:space="preserve"> </w:t>
      </w:r>
      <w:r w:rsidR="00301660" w:rsidRPr="00B740B4">
        <w:rPr>
          <w:rStyle w:val="i"/>
          <w:color w:val="auto"/>
        </w:rPr>
        <w:t>in his God.</w:t>
      </w:r>
      <w:r w:rsidR="00301660" w:rsidRPr="00B740B4">
        <w:t xml:space="preserve"> </w:t>
      </w:r>
      <w:r w:rsidRPr="00B740B4">
        <w:rPr>
          <w:rStyle w:val="ver"/>
        </w:rPr>
        <w:t>24</w:t>
      </w:r>
      <w:r w:rsidR="00521A73">
        <w:rPr>
          <w:rStyle w:val="i"/>
          <w:color w:val="auto"/>
        </w:rPr>
        <w:t>The king said</w:t>
      </w:r>
      <w:r w:rsidR="00301660" w:rsidRPr="00B740B4">
        <w:rPr>
          <w:rStyle w:val="i"/>
          <w:color w:val="auto"/>
        </w:rPr>
        <w:t xml:space="preserve"> to fetch</w:t>
      </w:r>
      <w:r w:rsidR="00301660" w:rsidRPr="00B740B4">
        <w:rPr>
          <w:rStyle w:val="fnref"/>
        </w:rPr>
        <w:t>a</w:t>
      </w:r>
      <w:r w:rsidR="00301660" w:rsidRPr="00B740B4">
        <w:t xml:space="preserve"> </w:t>
      </w:r>
      <w:r w:rsidR="00301660" w:rsidRPr="00B740B4">
        <w:rPr>
          <w:rStyle w:val="i"/>
          <w:color w:val="auto"/>
        </w:rPr>
        <w:t xml:space="preserve">those men who had attacked </w:t>
      </w:r>
      <w:r w:rsidR="00834A5F" w:rsidRPr="00B740B4">
        <w:rPr>
          <w:rStyle w:val="i"/>
          <w:color w:val="auto"/>
        </w:rPr>
        <w:t>Daniyye’l</w:t>
      </w:r>
      <w:r w:rsidR="00301660" w:rsidRPr="00B740B4">
        <w:rPr>
          <w:rStyle w:val="i"/>
          <w:color w:val="auto"/>
        </w:rPr>
        <w:t xml:space="preserve"> and throw them into the lion pit, they, their children, and their wives. They had not reached the floor of the pit when</w:t>
      </w:r>
      <w:r w:rsidR="00301660" w:rsidRPr="00B740B4">
        <w:rPr>
          <w:rStyle w:val="fnref"/>
        </w:rPr>
        <w:t>b</w:t>
      </w:r>
      <w:r w:rsidR="00301660" w:rsidRPr="00B740B4">
        <w:t xml:space="preserve"> </w:t>
      </w:r>
      <w:r w:rsidR="00301660" w:rsidRPr="00B740B4">
        <w:rPr>
          <w:rStyle w:val="i"/>
          <w:color w:val="auto"/>
        </w:rPr>
        <w:t>the lions were on top of them and had</w:t>
      </w:r>
      <w:r w:rsidR="00301660" w:rsidRPr="00B740B4">
        <w:t xml:space="preserve"> </w:t>
      </w:r>
      <w:r w:rsidR="00301660" w:rsidRPr="00B740B4">
        <w:rPr>
          <w:rStyle w:val="fnref"/>
        </w:rPr>
        <w:t>c</w:t>
      </w:r>
      <w:r w:rsidR="00301660" w:rsidRPr="00B740B4">
        <w:rPr>
          <w:rStyle w:val="i"/>
          <w:color w:val="auto"/>
        </w:rPr>
        <w:t>torn their bodies to pieces.</w:t>
      </w:r>
      <w:r w:rsidR="00301660" w:rsidRPr="00B740B4">
        <w:rPr>
          <w:rStyle w:val="fnref"/>
        </w:rPr>
        <w:t>c</w:t>
      </w:r>
    </w:p>
    <w:p w:rsidR="00AB6042" w:rsidRPr="00B740B4" w:rsidRDefault="002C3A66" w:rsidP="00301660">
      <w:pPr>
        <w:rPr>
          <w:rStyle w:val="i"/>
          <w:color w:val="auto"/>
        </w:rPr>
      </w:pPr>
      <w:r w:rsidRPr="00B740B4">
        <w:rPr>
          <w:rStyle w:val="ver"/>
        </w:rPr>
        <w:t>25</w:t>
      </w:r>
      <w:r w:rsidR="00301660" w:rsidRPr="00B740B4">
        <w:t xml:space="preserve"> </w:t>
      </w:r>
      <w:r w:rsidR="00301660" w:rsidRPr="00B740B4">
        <w:rPr>
          <w:rStyle w:val="i"/>
          <w:color w:val="auto"/>
        </w:rPr>
        <w:t xml:space="preserve">King </w:t>
      </w:r>
      <w:r w:rsidR="00B02E00">
        <w:rPr>
          <w:rStyle w:val="i"/>
          <w:color w:val="auto"/>
        </w:rPr>
        <w:t>Dareyaweš</w:t>
      </w:r>
      <w:r w:rsidR="00AB6042" w:rsidRPr="00B740B4">
        <w:rPr>
          <w:rStyle w:val="i"/>
          <w:color w:val="auto"/>
        </w:rPr>
        <w:t xml:space="preserve"> wrote:</w:t>
      </w:r>
      <w:r w:rsidR="00DC78A5">
        <w:rPr>
          <w:rStyle w:val="i"/>
          <w:color w:val="auto"/>
          <w:vertAlign w:val="superscript"/>
        </w:rPr>
        <w:t>a</w:t>
      </w:r>
      <w:r w:rsidR="00AB6042" w:rsidRPr="00B740B4">
        <w:rPr>
          <w:rStyle w:val="i"/>
          <w:color w:val="auto"/>
        </w:rPr>
        <w:t xml:space="preserve"> </w:t>
      </w:r>
    </w:p>
    <w:p w:rsidR="00AB6042" w:rsidRPr="00B740B4" w:rsidRDefault="00AB6042" w:rsidP="00301660">
      <w:pPr>
        <w:rPr>
          <w:rStyle w:val="i"/>
          <w:color w:val="auto"/>
        </w:rPr>
      </w:pPr>
    </w:p>
    <w:p w:rsidR="00301660" w:rsidRPr="00ED7030" w:rsidRDefault="00AB6042" w:rsidP="00301660">
      <w:pPr>
        <w:rPr>
          <w:vertAlign w:val="superscript"/>
        </w:rPr>
      </w:pPr>
      <w:r w:rsidRPr="00B740B4">
        <w:rPr>
          <w:rStyle w:val="i"/>
          <w:color w:val="auto"/>
        </w:rPr>
        <w:t>“T</w:t>
      </w:r>
      <w:r w:rsidR="00301660" w:rsidRPr="00B740B4">
        <w:rPr>
          <w:rStyle w:val="i"/>
          <w:color w:val="auto"/>
        </w:rPr>
        <w:t>o the people of all races, nations, and lan</w:t>
      </w:r>
      <w:r w:rsidR="002D510D" w:rsidRPr="00B740B4">
        <w:rPr>
          <w:rStyle w:val="i"/>
          <w:color w:val="auto"/>
        </w:rPr>
        <w:t xml:space="preserve">guages who live in </w:t>
      </w:r>
      <w:r w:rsidR="00301660" w:rsidRPr="00B740B4">
        <w:rPr>
          <w:rStyle w:val="i"/>
          <w:color w:val="auto"/>
        </w:rPr>
        <w:t xml:space="preserve">the </w:t>
      </w:r>
      <w:r w:rsidR="002D510D" w:rsidRPr="00B740B4">
        <w:rPr>
          <w:rStyle w:val="i"/>
          <w:color w:val="auto"/>
        </w:rPr>
        <w:t xml:space="preserve">entire </w:t>
      </w:r>
      <w:r w:rsidR="00301660" w:rsidRPr="00B740B4">
        <w:rPr>
          <w:rStyle w:val="i"/>
          <w:color w:val="auto"/>
        </w:rPr>
        <w:t>world.</w:t>
      </w:r>
      <w:r w:rsidR="00301660" w:rsidRPr="00B740B4">
        <w:rPr>
          <w:rStyle w:val="fnref"/>
        </w:rPr>
        <w:t>b</w:t>
      </w:r>
      <w:r w:rsidR="00301660" w:rsidRPr="00B740B4">
        <w:t xml:space="preserve"> </w:t>
      </w:r>
      <w:r w:rsidR="00322E9C">
        <w:rPr>
          <w:rStyle w:val="i"/>
          <w:color w:val="auto"/>
        </w:rPr>
        <w:t>May your well-being abound</w:t>
      </w:r>
      <w:r w:rsidR="00301660" w:rsidRPr="00B740B4">
        <w:rPr>
          <w:rStyle w:val="i"/>
          <w:color w:val="auto"/>
        </w:rPr>
        <w:t>!</w:t>
      </w:r>
      <w:r w:rsidR="00301660" w:rsidRPr="00B740B4">
        <w:t xml:space="preserve"> </w:t>
      </w:r>
      <w:r w:rsidR="002C3A66" w:rsidRPr="00B740B4">
        <w:rPr>
          <w:rStyle w:val="ver"/>
        </w:rPr>
        <w:t>26</w:t>
      </w:r>
      <w:r w:rsidR="00301660" w:rsidRPr="00B740B4">
        <w:rPr>
          <w:rStyle w:val="i"/>
          <w:color w:val="auto"/>
        </w:rPr>
        <w:t xml:space="preserve">I am giving notice that in </w:t>
      </w:r>
      <w:r w:rsidR="002D510D" w:rsidRPr="00B740B4">
        <w:rPr>
          <w:rStyle w:val="i"/>
          <w:color w:val="auto"/>
        </w:rPr>
        <w:t>the entire</w:t>
      </w:r>
      <w:r w:rsidR="00301660" w:rsidRPr="00B740B4">
        <w:rPr>
          <w:rStyle w:val="fnref"/>
        </w:rPr>
        <w:t>a</w:t>
      </w:r>
      <w:r w:rsidR="00301660" w:rsidRPr="00B740B4">
        <w:t xml:space="preserve"> </w:t>
      </w:r>
      <w:r w:rsidR="00301660" w:rsidRPr="00B740B4">
        <w:rPr>
          <w:rStyle w:val="i"/>
          <w:color w:val="auto"/>
        </w:rPr>
        <w:t xml:space="preserve">realm over which I am king, people are to tremble with fear before the God of </w:t>
      </w:r>
      <w:r w:rsidR="00834A5F" w:rsidRPr="00B740B4">
        <w:rPr>
          <w:rStyle w:val="i"/>
          <w:color w:val="auto"/>
        </w:rPr>
        <w:t>Daniyye’l</w:t>
      </w:r>
      <w:r w:rsidR="00ED7030">
        <w:rPr>
          <w:rStyle w:val="i"/>
          <w:color w:val="auto"/>
        </w:rPr>
        <w:t>, in that</w:t>
      </w:r>
      <w:r w:rsidR="00ED7030">
        <w:rPr>
          <w:rStyle w:val="i"/>
          <w:color w:val="auto"/>
          <w:vertAlign w:val="superscript"/>
        </w:rPr>
        <w:t>b</w:t>
      </w:r>
    </w:p>
    <w:p w:rsidR="002C3A66" w:rsidRPr="00B740B4" w:rsidRDefault="002C3A66" w:rsidP="00301660">
      <w:pPr>
        <w:rPr>
          <w:rStyle w:val="i"/>
          <w:color w:val="auto"/>
          <w:sz w:val="24"/>
        </w:rPr>
      </w:pPr>
    </w:p>
    <w:p w:rsidR="00301660" w:rsidRPr="00B740B4" w:rsidRDefault="00301660" w:rsidP="00301660">
      <w:pPr>
        <w:rPr>
          <w:sz w:val="24"/>
          <w:szCs w:val="24"/>
        </w:rPr>
      </w:pPr>
      <w:r w:rsidRPr="00B740B4">
        <w:rPr>
          <w:rStyle w:val="i"/>
          <w:color w:val="auto"/>
          <w:sz w:val="24"/>
        </w:rPr>
        <w:t>He is the living God;</w:t>
      </w:r>
    </w:p>
    <w:p w:rsidR="00301660" w:rsidRPr="00B740B4" w:rsidRDefault="002C3A66" w:rsidP="00301660">
      <w:pPr>
        <w:rPr>
          <w:sz w:val="24"/>
          <w:szCs w:val="24"/>
        </w:rPr>
      </w:pPr>
      <w:r w:rsidRPr="00B740B4">
        <w:rPr>
          <w:rStyle w:val="i"/>
          <w:color w:val="auto"/>
          <w:sz w:val="24"/>
        </w:rPr>
        <w:tab/>
      </w:r>
      <w:r w:rsidR="00301660" w:rsidRPr="00B740B4">
        <w:rPr>
          <w:rStyle w:val="i"/>
          <w:color w:val="auto"/>
          <w:sz w:val="24"/>
        </w:rPr>
        <w:t>he endures through the ages.</w:t>
      </w:r>
    </w:p>
    <w:p w:rsidR="00301660" w:rsidRPr="00B740B4" w:rsidRDefault="00301660" w:rsidP="00301660">
      <w:pPr>
        <w:rPr>
          <w:sz w:val="24"/>
          <w:szCs w:val="24"/>
        </w:rPr>
      </w:pPr>
      <w:r w:rsidRPr="00B740B4">
        <w:rPr>
          <w:rStyle w:val="i"/>
          <w:color w:val="auto"/>
          <w:sz w:val="24"/>
        </w:rPr>
        <w:t>His realm will suffer no injury;</w:t>
      </w:r>
    </w:p>
    <w:p w:rsidR="00301660" w:rsidRPr="00B740B4" w:rsidRDefault="002C3A66" w:rsidP="00301660">
      <w:pPr>
        <w:rPr>
          <w:sz w:val="24"/>
          <w:szCs w:val="24"/>
        </w:rPr>
      </w:pPr>
      <w:r w:rsidRPr="00B740B4">
        <w:rPr>
          <w:rStyle w:val="i"/>
          <w:color w:val="auto"/>
          <w:sz w:val="24"/>
        </w:rPr>
        <w:tab/>
      </w:r>
      <w:r w:rsidR="00301660" w:rsidRPr="00B740B4">
        <w:rPr>
          <w:rStyle w:val="i"/>
          <w:color w:val="auto"/>
          <w:sz w:val="24"/>
        </w:rPr>
        <w:t>his rule will persist to the end.</w:t>
      </w:r>
    </w:p>
    <w:p w:rsidR="00301660" w:rsidRPr="00B740B4" w:rsidRDefault="002C3A66" w:rsidP="00301660">
      <w:pPr>
        <w:rPr>
          <w:sz w:val="24"/>
          <w:szCs w:val="24"/>
        </w:rPr>
      </w:pPr>
      <w:r w:rsidRPr="00B740B4">
        <w:rPr>
          <w:rStyle w:val="ver"/>
          <w:sz w:val="24"/>
          <w:szCs w:val="24"/>
        </w:rPr>
        <w:t>27</w:t>
      </w:r>
      <w:r w:rsidR="00301660" w:rsidRPr="00B740B4">
        <w:rPr>
          <w:rStyle w:val="i"/>
          <w:color w:val="auto"/>
          <w:sz w:val="24"/>
        </w:rPr>
        <w:t>He delivers and rescues;</w:t>
      </w:r>
    </w:p>
    <w:p w:rsidR="00731313" w:rsidRDefault="002C3A66" w:rsidP="00301660">
      <w:pPr>
        <w:rPr>
          <w:rStyle w:val="i"/>
          <w:color w:val="auto"/>
          <w:sz w:val="24"/>
        </w:rPr>
      </w:pPr>
      <w:r w:rsidRPr="00B740B4">
        <w:rPr>
          <w:rStyle w:val="i"/>
          <w:color w:val="auto"/>
          <w:sz w:val="24"/>
        </w:rPr>
        <w:tab/>
      </w:r>
      <w:r w:rsidR="00301660" w:rsidRPr="00B740B4">
        <w:rPr>
          <w:rStyle w:val="i"/>
          <w:color w:val="auto"/>
          <w:sz w:val="24"/>
        </w:rPr>
        <w:t>he performs signs and wonders</w:t>
      </w:r>
      <w:r w:rsidRPr="00B740B4">
        <w:rPr>
          <w:rStyle w:val="i"/>
          <w:color w:val="auto"/>
          <w:sz w:val="24"/>
        </w:rPr>
        <w:t xml:space="preserve"> </w:t>
      </w:r>
    </w:p>
    <w:p w:rsidR="00301660" w:rsidRPr="00B740B4" w:rsidRDefault="00731313" w:rsidP="00301660">
      <w:pPr>
        <w:rPr>
          <w:sz w:val="24"/>
          <w:szCs w:val="24"/>
        </w:rPr>
      </w:pPr>
      <w:r>
        <w:rPr>
          <w:rStyle w:val="i"/>
          <w:color w:val="auto"/>
          <w:sz w:val="24"/>
        </w:rPr>
        <w:tab/>
      </w:r>
      <w:r w:rsidR="002C3A66" w:rsidRPr="00B740B4">
        <w:rPr>
          <w:rStyle w:val="i"/>
          <w:color w:val="auto"/>
          <w:sz w:val="24"/>
        </w:rPr>
        <w:t>i</w:t>
      </w:r>
      <w:r w:rsidR="00301660" w:rsidRPr="00B740B4">
        <w:rPr>
          <w:rStyle w:val="i"/>
          <w:color w:val="auto"/>
          <w:sz w:val="24"/>
        </w:rPr>
        <w:t xml:space="preserve">n </w:t>
      </w:r>
      <w:r w:rsidR="00536FF6">
        <w:rPr>
          <w:rStyle w:val="i"/>
          <w:color w:val="auto"/>
          <w:sz w:val="24"/>
        </w:rPr>
        <w:t xml:space="preserve">the </w:t>
      </w:r>
      <w:r w:rsidR="00301660" w:rsidRPr="00B740B4">
        <w:rPr>
          <w:rStyle w:val="i"/>
          <w:color w:val="auto"/>
          <w:sz w:val="24"/>
        </w:rPr>
        <w:t>heaven</w:t>
      </w:r>
      <w:r w:rsidR="00536FF6">
        <w:rPr>
          <w:rStyle w:val="i"/>
          <w:color w:val="auto"/>
          <w:sz w:val="24"/>
        </w:rPr>
        <w:t>s</w:t>
      </w:r>
      <w:r w:rsidR="00301660" w:rsidRPr="00B740B4">
        <w:rPr>
          <w:rStyle w:val="i"/>
          <w:color w:val="auto"/>
          <w:sz w:val="24"/>
        </w:rPr>
        <w:t xml:space="preserve"> and on </w:t>
      </w:r>
      <w:r w:rsidR="00536FF6">
        <w:rPr>
          <w:rStyle w:val="i"/>
          <w:color w:val="auto"/>
          <w:sz w:val="24"/>
        </w:rPr>
        <w:t xml:space="preserve">the </w:t>
      </w:r>
      <w:r w:rsidR="00301660" w:rsidRPr="00B740B4">
        <w:rPr>
          <w:rStyle w:val="i"/>
          <w:color w:val="auto"/>
          <w:sz w:val="24"/>
        </w:rPr>
        <w:t>earth.</w:t>
      </w:r>
    </w:p>
    <w:p w:rsidR="00043503" w:rsidRDefault="00043503" w:rsidP="00301660">
      <w:pPr>
        <w:rPr>
          <w:rStyle w:val="i"/>
          <w:color w:val="auto"/>
          <w:sz w:val="24"/>
        </w:rPr>
      </w:pPr>
    </w:p>
    <w:p w:rsidR="002C3A66" w:rsidRPr="00B740B4" w:rsidRDefault="00301660" w:rsidP="00301660">
      <w:pPr>
        <w:rPr>
          <w:rStyle w:val="i"/>
          <w:color w:val="auto"/>
          <w:sz w:val="24"/>
        </w:rPr>
      </w:pPr>
      <w:r w:rsidRPr="00B740B4">
        <w:rPr>
          <w:rStyle w:val="i"/>
          <w:color w:val="auto"/>
          <w:sz w:val="24"/>
        </w:rPr>
        <w:t xml:space="preserve">He delivered </w:t>
      </w:r>
      <w:r w:rsidR="00834A5F" w:rsidRPr="00B740B4">
        <w:rPr>
          <w:rStyle w:val="i"/>
          <w:color w:val="auto"/>
          <w:sz w:val="24"/>
        </w:rPr>
        <w:t>Daniyye’l</w:t>
      </w:r>
      <w:r w:rsidRPr="00B740B4">
        <w:rPr>
          <w:rStyle w:val="i"/>
          <w:color w:val="auto"/>
          <w:sz w:val="24"/>
        </w:rPr>
        <w:t xml:space="preserve"> </w:t>
      </w:r>
    </w:p>
    <w:p w:rsidR="00301660" w:rsidRPr="00B740B4" w:rsidRDefault="002C3A66" w:rsidP="00301660">
      <w:pPr>
        <w:rPr>
          <w:rStyle w:val="i"/>
          <w:color w:val="auto"/>
          <w:sz w:val="24"/>
        </w:rPr>
      </w:pPr>
      <w:r w:rsidRPr="00B740B4">
        <w:rPr>
          <w:rStyle w:val="i"/>
          <w:color w:val="auto"/>
          <w:sz w:val="24"/>
        </w:rPr>
        <w:tab/>
      </w:r>
      <w:r w:rsidR="00301660" w:rsidRPr="00B740B4">
        <w:rPr>
          <w:rStyle w:val="i"/>
          <w:color w:val="auto"/>
          <w:sz w:val="24"/>
        </w:rPr>
        <w:t>from the power of the lions.”</w:t>
      </w:r>
    </w:p>
    <w:p w:rsidR="002C3A66" w:rsidRPr="00B740B4" w:rsidRDefault="002C3A66" w:rsidP="00301660">
      <w:pPr>
        <w:rPr>
          <w:sz w:val="24"/>
          <w:szCs w:val="24"/>
        </w:rPr>
      </w:pPr>
    </w:p>
    <w:p w:rsidR="00301660" w:rsidRPr="00B740B4" w:rsidRDefault="002C3A66" w:rsidP="00301660">
      <w:r w:rsidRPr="00B740B4">
        <w:rPr>
          <w:rStyle w:val="ver"/>
        </w:rPr>
        <w:t>28</w:t>
      </w:r>
      <w:r w:rsidR="00301660" w:rsidRPr="00B740B4">
        <w:rPr>
          <w:rStyle w:val="i"/>
          <w:color w:val="auto"/>
        </w:rPr>
        <w:t xml:space="preserve">So this </w:t>
      </w:r>
      <w:r w:rsidR="00834A5F" w:rsidRPr="00B740B4">
        <w:rPr>
          <w:rStyle w:val="i"/>
          <w:color w:val="auto"/>
        </w:rPr>
        <w:t>Daniyye’l</w:t>
      </w:r>
      <w:r w:rsidR="00301660" w:rsidRPr="00B740B4">
        <w:rPr>
          <w:rStyle w:val="i"/>
          <w:color w:val="auto"/>
        </w:rPr>
        <w:t xml:space="preserve"> flourished during the reign of </w:t>
      </w:r>
      <w:r w:rsidR="00B02E00">
        <w:rPr>
          <w:rStyle w:val="i"/>
          <w:color w:val="auto"/>
        </w:rPr>
        <w:t>Dareyaweš</w:t>
      </w:r>
      <w:r w:rsidR="00301660" w:rsidRPr="00B740B4">
        <w:rPr>
          <w:rStyle w:val="i"/>
          <w:color w:val="auto"/>
        </w:rPr>
        <w:t xml:space="preserve"> and</w:t>
      </w:r>
      <w:r w:rsidR="00301660" w:rsidRPr="00B740B4">
        <w:rPr>
          <w:rStyle w:val="fnref"/>
        </w:rPr>
        <w:t>a</w:t>
      </w:r>
      <w:r w:rsidR="00301660" w:rsidRPr="00B740B4">
        <w:t xml:space="preserve"> </w:t>
      </w:r>
      <w:r w:rsidR="002D510D" w:rsidRPr="00B740B4">
        <w:rPr>
          <w:rStyle w:val="i"/>
          <w:color w:val="auto"/>
        </w:rPr>
        <w:t xml:space="preserve">during the reign of </w:t>
      </w:r>
      <w:r w:rsidR="00B02E00">
        <w:rPr>
          <w:i/>
          <w:szCs w:val="24"/>
        </w:rPr>
        <w:t>Koreš</w:t>
      </w:r>
      <w:r w:rsidR="00CB0116">
        <w:rPr>
          <w:rStyle w:val="i"/>
          <w:color w:val="auto"/>
        </w:rPr>
        <w:t xml:space="preserve"> the Parsite</w:t>
      </w:r>
      <w:r w:rsidR="00301660" w:rsidRPr="00B740B4">
        <w:rPr>
          <w:rStyle w:val="i"/>
          <w:color w:val="auto"/>
        </w:rPr>
        <w:t>.</w:t>
      </w:r>
    </w:p>
    <w:p w:rsidR="00301660" w:rsidRPr="00B740B4" w:rsidRDefault="00301660" w:rsidP="009479B1">
      <w:pPr>
        <w:pStyle w:val="Heading2"/>
      </w:pPr>
      <w:r w:rsidRPr="00B740B4">
        <w:lastRenderedPageBreak/>
        <w:t>Notes</w:t>
      </w:r>
    </w:p>
    <w:p w:rsidR="00301660" w:rsidRPr="00B740B4" w:rsidRDefault="002C3A66" w:rsidP="00301660">
      <w:r w:rsidRPr="00B740B4">
        <w:rPr>
          <w:rStyle w:val="fnnum"/>
          <w:color w:val="auto"/>
        </w:rPr>
        <w:t>2</w:t>
      </w:r>
      <w:r w:rsidR="00301660" w:rsidRPr="00B740B4">
        <w:rPr>
          <w:rStyle w:val="fnnum"/>
          <w:color w:val="auto"/>
        </w:rPr>
        <w:t>.a.</w:t>
      </w:r>
      <w:r w:rsidR="00301660" w:rsidRPr="00B740B4">
        <w:t xml:space="preserve"> </w:t>
      </w:r>
      <w:r w:rsidR="00301660" w:rsidRPr="00B740B4">
        <w:rPr>
          <w:rStyle w:val="heb"/>
          <w:rFonts w:ascii="Arial" w:hAnsi="Arial" w:cs="Arial"/>
          <w:color w:val="auto"/>
        </w:rPr>
        <w:t>סרכין</w:t>
      </w:r>
      <w:r w:rsidR="00301660" w:rsidRPr="00B740B4">
        <w:t xml:space="preserve"> (</w:t>
      </w:r>
      <w:r w:rsidR="00301660" w:rsidRPr="00B740B4">
        <w:rPr>
          <w:rStyle w:val="i"/>
          <w:color w:val="auto"/>
          <w:szCs w:val="22"/>
        </w:rPr>
        <w:t>OP</w:t>
      </w:r>
      <w:r w:rsidR="00301660" w:rsidRPr="00B740B4">
        <w:t>); apparently not a technical term.</w:t>
      </w:r>
    </w:p>
    <w:p w:rsidR="00301660" w:rsidRPr="00B740B4" w:rsidRDefault="002C3A66" w:rsidP="00301660">
      <w:r w:rsidRPr="00B740B4">
        <w:rPr>
          <w:rStyle w:val="fnnum"/>
          <w:color w:val="auto"/>
        </w:rPr>
        <w:t>2</w:t>
      </w:r>
      <w:r w:rsidR="00301660" w:rsidRPr="00B740B4">
        <w:rPr>
          <w:rStyle w:val="fnnum"/>
          <w:color w:val="auto"/>
        </w:rPr>
        <w:t>.b.</w:t>
      </w:r>
      <w:r w:rsidR="00794521" w:rsidRPr="00B740B4">
        <w:t xml:space="preserve"> EVV</w:t>
      </w:r>
      <w:r w:rsidR="00301660" w:rsidRPr="00B740B4">
        <w:t xml:space="preserve"> generally refer </w:t>
      </w:r>
      <w:r w:rsidR="00301660" w:rsidRPr="00B740B4">
        <w:rPr>
          <w:rStyle w:val="heb"/>
          <w:rFonts w:ascii="Arial" w:hAnsi="Arial" w:cs="Arial"/>
          <w:color w:val="auto"/>
        </w:rPr>
        <w:t>נזק</w:t>
      </w:r>
      <w:r w:rsidR="00301660" w:rsidRPr="00B740B4">
        <w:t xml:space="preserve"> to a financial, military, or political burden, but Akk. </w:t>
      </w:r>
      <w:r w:rsidR="00301660" w:rsidRPr="00B740B4">
        <w:rPr>
          <w:rStyle w:val="theb-i"/>
          <w:color w:val="auto"/>
        </w:rPr>
        <w:t>nazāqu</w:t>
      </w:r>
      <w:r w:rsidR="00301660" w:rsidRPr="00B740B4">
        <w:t xml:space="preserve"> suggests “troubled/worried” (</w:t>
      </w:r>
      <w:r w:rsidR="00301660" w:rsidRPr="00B740B4">
        <w:rPr>
          <w:rStyle w:val="i"/>
          <w:color w:val="auto"/>
          <w:szCs w:val="22"/>
        </w:rPr>
        <w:t>CAD</w:t>
      </w:r>
      <w:r w:rsidR="00301660" w:rsidRPr="00B740B4">
        <w:t xml:space="preserve">; H. L. Ginsberg, “Lexicographical Notes,” </w:t>
      </w:r>
      <w:r w:rsidR="00301660" w:rsidRPr="00B740B4">
        <w:rPr>
          <w:rStyle w:val="i"/>
          <w:color w:val="auto"/>
          <w:szCs w:val="22"/>
        </w:rPr>
        <w:t>HW</w:t>
      </w:r>
      <w:r w:rsidR="00301660" w:rsidRPr="00B740B4">
        <w:t xml:space="preserve"> 81); cf. Th </w:t>
      </w:r>
      <w:r w:rsidR="00794521" w:rsidRPr="00B740B4">
        <w:rPr>
          <w:rStyle w:val="grc"/>
          <w:color w:val="auto"/>
        </w:rPr>
        <w:t>ἐνοχλ</w:t>
      </w:r>
      <w:r w:rsidR="00794521" w:rsidRPr="00B740B4">
        <w:rPr>
          <w:lang w:val="el-GR"/>
        </w:rPr>
        <w:t>ή</w:t>
      </w:r>
      <w:r w:rsidR="00301660" w:rsidRPr="00B740B4">
        <w:rPr>
          <w:rStyle w:val="grc"/>
          <w:color w:val="auto"/>
        </w:rPr>
        <w:t>ται</w:t>
      </w:r>
      <w:r w:rsidR="00301660" w:rsidRPr="00B740B4">
        <w:t xml:space="preserve">; </w:t>
      </w:r>
      <w:r w:rsidR="00DD239A" w:rsidRPr="00DD239A">
        <w:rPr>
          <w:rStyle w:val="sm"/>
          <w:rFonts w:asciiTheme="minorHAnsi" w:hAnsiTheme="minorHAnsi"/>
          <w:color w:val="auto"/>
          <w:sz w:val="22"/>
          <w:szCs w:val="22"/>
        </w:rPr>
        <w:t>JPSV</w:t>
      </w:r>
      <w:r w:rsidR="00301660" w:rsidRPr="00B740B4">
        <w:t xml:space="preserve">. </w:t>
      </w:r>
      <w:r w:rsidR="00293AB6">
        <w:t>One can also read other passages (Ezra 4:13, 15, 22; Esth 7:4) either way.</w:t>
      </w:r>
    </w:p>
    <w:p w:rsidR="002E1791" w:rsidRPr="009951FE" w:rsidRDefault="002E1791" w:rsidP="002E1791">
      <w:pPr>
        <w:rPr>
          <w:rStyle w:val="fnnum"/>
          <w:rFonts w:ascii="Calibri" w:hAnsi="Calibri"/>
          <w:color w:val="auto"/>
        </w:rPr>
      </w:pPr>
      <w:r w:rsidRPr="009951FE">
        <w:rPr>
          <w:rStyle w:val="fnnum"/>
          <w:rFonts w:ascii="Calibri" w:hAnsi="Calibri"/>
          <w:color w:val="auto"/>
        </w:rPr>
        <w:t>3.a. The verse begins</w:t>
      </w:r>
      <w:r w:rsidRPr="009951FE">
        <w:rPr>
          <w:rFonts w:ascii="Calibri" w:hAnsi="Calibri"/>
        </w:rPr>
        <w:t xml:space="preserve"> </w:t>
      </w:r>
      <w:r w:rsidRPr="002E1791">
        <w:rPr>
          <w:rFonts w:ascii="Arial" w:hAnsi="Arial" w:cs="Arial"/>
        </w:rPr>
        <w:t>אדין</w:t>
      </w:r>
      <w:r w:rsidRPr="009951FE">
        <w:rPr>
          <w:rFonts w:ascii="Calibri" w:hAnsi="Calibri"/>
        </w:rPr>
        <w:t xml:space="preserve"> (EVV “then”) and the chapter uses both </w:t>
      </w:r>
      <w:r w:rsidRPr="009951FE">
        <w:rPr>
          <w:rFonts w:ascii="Arial" w:hAnsi="Arial" w:cs="Arial"/>
        </w:rPr>
        <w:t>באדין</w:t>
      </w:r>
      <w:r w:rsidRPr="009951FE">
        <w:rPr>
          <w:rFonts w:ascii="Calibri" w:hAnsi="Calibri"/>
        </w:rPr>
        <w:t xml:space="preserve"> and</w:t>
      </w:r>
      <w:r w:rsidRPr="009951FE">
        <w:rPr>
          <w:rStyle w:val="fnnum"/>
          <w:rFonts w:ascii="Calibri" w:hAnsi="Calibri"/>
          <w:color w:val="auto"/>
        </w:rPr>
        <w:t xml:space="preserve"> </w:t>
      </w:r>
      <w:r w:rsidRPr="009951FE">
        <w:rPr>
          <w:rFonts w:ascii="Arial" w:hAnsi="Arial" w:cs="Arial"/>
        </w:rPr>
        <w:t>אדין</w:t>
      </w:r>
      <w:r w:rsidRPr="009951FE">
        <w:rPr>
          <w:rFonts w:ascii="Calibri" w:hAnsi="Calibri"/>
        </w:rPr>
        <w:t xml:space="preserve"> as linking particles, hardly requiring translation (cf. </w:t>
      </w:r>
      <w:r w:rsidR="00300E7A">
        <w:rPr>
          <w:rFonts w:ascii="Calibri" w:hAnsi="Calibri"/>
        </w:rPr>
        <w:t>n.</w:t>
      </w:r>
      <w:r>
        <w:rPr>
          <w:rFonts w:ascii="Calibri" w:hAnsi="Calibri"/>
        </w:rPr>
        <w:t xml:space="preserve"> 5</w:t>
      </w:r>
      <w:r w:rsidRPr="009951FE">
        <w:rPr>
          <w:rFonts w:ascii="Calibri" w:hAnsi="Calibri"/>
        </w:rPr>
        <w:t>:3a</w:t>
      </w:r>
      <w:r>
        <w:rPr>
          <w:rFonts w:ascii="Calibri" w:hAnsi="Calibri"/>
        </w:rPr>
        <w:t>)</w:t>
      </w:r>
      <w:r w:rsidRPr="009951FE">
        <w:rPr>
          <w:rFonts w:ascii="Calibri" w:hAnsi="Calibri"/>
        </w:rPr>
        <w:t>.</w:t>
      </w:r>
    </w:p>
    <w:p w:rsidR="00301660" w:rsidRPr="00B740B4" w:rsidRDefault="002C3A66" w:rsidP="00301660">
      <w:r w:rsidRPr="00B740B4">
        <w:rPr>
          <w:rStyle w:val="fnnum"/>
          <w:color w:val="auto"/>
        </w:rPr>
        <w:t>3</w:t>
      </w:r>
      <w:r w:rsidR="002E1791">
        <w:rPr>
          <w:rStyle w:val="fnnum"/>
          <w:color w:val="auto"/>
        </w:rPr>
        <w:t>.b</w:t>
      </w:r>
      <w:r w:rsidR="00301660" w:rsidRPr="00B740B4">
        <w:rPr>
          <w:rStyle w:val="fnnum"/>
          <w:color w:val="auto"/>
        </w:rPr>
        <w:t>.</w:t>
      </w:r>
      <w:r w:rsidR="00301660" w:rsidRPr="00B740B4">
        <w:t xml:space="preserve"> </w:t>
      </w:r>
      <w:r w:rsidR="00301660" w:rsidRPr="00B740B4">
        <w:rPr>
          <w:rStyle w:val="heb"/>
          <w:rFonts w:ascii="Arial" w:hAnsi="Arial" w:cs="Arial"/>
          <w:color w:val="auto"/>
        </w:rPr>
        <w:t>עשית</w:t>
      </w:r>
      <w:r w:rsidR="00301660" w:rsidRPr="00B740B4">
        <w:t xml:space="preserve"> is pass</w:t>
      </w:r>
      <w:r w:rsidR="008D7413">
        <w:t>ive</w:t>
      </w:r>
      <w:r w:rsidR="00301660" w:rsidRPr="00B740B4">
        <w:t xml:space="preserve"> (cf. Ehrlich “was inclined”).</w:t>
      </w:r>
    </w:p>
    <w:p w:rsidR="00301660" w:rsidRPr="00B740B4" w:rsidRDefault="002C3A66" w:rsidP="00301660">
      <w:r w:rsidRPr="00B740B4">
        <w:rPr>
          <w:rStyle w:val="fnnum"/>
          <w:color w:val="auto"/>
        </w:rPr>
        <w:t>4</w:t>
      </w:r>
      <w:r w:rsidR="00301660" w:rsidRPr="00B740B4">
        <w:rPr>
          <w:rStyle w:val="fnnum"/>
          <w:color w:val="auto"/>
        </w:rPr>
        <w:t>.a.</w:t>
      </w:r>
      <w:r w:rsidR="00301660" w:rsidRPr="00B740B4">
        <w:t xml:space="preserve"> It is not clear how the</w:t>
      </w:r>
      <w:r w:rsidR="00794521" w:rsidRPr="00B740B4">
        <w:t xml:space="preserve"> cl</w:t>
      </w:r>
      <w:r w:rsidR="00AB5185" w:rsidRPr="00B740B4">
        <w:t>ause(s) in v 4</w:t>
      </w:r>
      <w:r w:rsidR="00794521" w:rsidRPr="00B740B4">
        <w:t xml:space="preserve"> fit together; EVV</w:t>
      </w:r>
      <w:r w:rsidR="00301660" w:rsidRPr="00B740B4">
        <w:t xml:space="preserve"> vary. Th lacks the last sentence.</w:t>
      </w:r>
    </w:p>
    <w:p w:rsidR="009277F4" w:rsidRPr="00B740B4" w:rsidRDefault="009277F4" w:rsidP="00301660">
      <w:r w:rsidRPr="00B740B4">
        <w:t>4.b. Literally “grounds [for indictment] and corruption.”</w:t>
      </w:r>
    </w:p>
    <w:p w:rsidR="00301660" w:rsidRPr="00B740B4" w:rsidRDefault="002C3A66" w:rsidP="00301660">
      <w:r w:rsidRPr="00B740B4">
        <w:rPr>
          <w:rStyle w:val="fnnum"/>
          <w:color w:val="auto"/>
        </w:rPr>
        <w:t>5</w:t>
      </w:r>
      <w:r w:rsidR="00301660" w:rsidRPr="00B740B4">
        <w:rPr>
          <w:rStyle w:val="fnnum"/>
          <w:color w:val="auto"/>
        </w:rPr>
        <w:t>.a.</w:t>
      </w:r>
      <w:r w:rsidR="00301660" w:rsidRPr="00B740B4">
        <w:t xml:space="preserve"> P</w:t>
      </w:r>
      <w:r w:rsidR="00AB5185" w:rsidRPr="00B740B4">
        <w:t>er</w:t>
      </w:r>
      <w:r w:rsidR="00301660" w:rsidRPr="00B740B4">
        <w:t>f</w:t>
      </w:r>
      <w:r w:rsidR="00AB5185" w:rsidRPr="00B740B4">
        <w:t>ect</w:t>
      </w:r>
      <w:r w:rsidR="00301660" w:rsidRPr="00B740B4">
        <w:t xml:space="preserve"> v</w:t>
      </w:r>
      <w:r w:rsidR="00AB5185" w:rsidRPr="00B740B4">
        <w:t>er</w:t>
      </w:r>
      <w:r w:rsidR="00301660" w:rsidRPr="00B740B4">
        <w:t xml:space="preserve">b in an exceptive clause (cf. </w:t>
      </w:r>
      <w:r w:rsidR="00301660" w:rsidRPr="00B740B4">
        <w:rPr>
          <w:rStyle w:val="i"/>
          <w:i w:val="0"/>
          <w:color w:val="auto"/>
          <w:szCs w:val="22"/>
        </w:rPr>
        <w:t>GKC</w:t>
      </w:r>
      <w:r w:rsidR="00301660" w:rsidRPr="00B740B4">
        <w:t xml:space="preserve"> 163c).</w:t>
      </w:r>
    </w:p>
    <w:p w:rsidR="00301660" w:rsidRPr="00B740B4" w:rsidRDefault="002C3A66" w:rsidP="00301660">
      <w:r w:rsidRPr="00B740B4">
        <w:rPr>
          <w:rStyle w:val="fnnum"/>
          <w:color w:val="auto"/>
        </w:rPr>
        <w:t>5</w:t>
      </w:r>
      <w:r w:rsidR="00301660" w:rsidRPr="00B740B4">
        <w:rPr>
          <w:rStyle w:val="fnnum"/>
          <w:color w:val="auto"/>
        </w:rPr>
        <w:t>.b.</w:t>
      </w:r>
      <w:r w:rsidR="00301660" w:rsidRPr="00B740B4">
        <w:t xml:space="preserve"> </w:t>
      </w:r>
      <w:r w:rsidR="00301660" w:rsidRPr="00B740B4">
        <w:rPr>
          <w:rStyle w:val="heb"/>
          <w:rFonts w:ascii="Arial" w:hAnsi="Arial" w:cs="Arial"/>
          <w:color w:val="auto"/>
        </w:rPr>
        <w:t>דת</w:t>
      </w:r>
      <w:r w:rsidR="00293AB6">
        <w:t xml:space="preserve"> comes to </w:t>
      </w:r>
      <w:r w:rsidR="00301660" w:rsidRPr="00B740B4">
        <w:t>signify “religion,” viewed as the keeping of a God-given rule of life (</w:t>
      </w:r>
      <w:r w:rsidR="00301660" w:rsidRPr="00B740B4">
        <w:rPr>
          <w:rStyle w:val="i"/>
          <w:color w:val="auto"/>
          <w:szCs w:val="22"/>
        </w:rPr>
        <w:t>DTT</w:t>
      </w:r>
      <w:r w:rsidR="00301660" w:rsidRPr="00B740B4">
        <w:t xml:space="preserve">; cf. </w:t>
      </w:r>
      <w:r w:rsidR="00301660" w:rsidRPr="00B740B4">
        <w:rPr>
          <w:rStyle w:val="sm"/>
          <w:color w:val="auto"/>
          <w:sz w:val="22"/>
          <w:szCs w:val="22"/>
        </w:rPr>
        <w:t>neb</w:t>
      </w:r>
      <w:r w:rsidR="00301660" w:rsidRPr="00B740B4">
        <w:t xml:space="preserve">, </w:t>
      </w:r>
      <w:r w:rsidR="00301660" w:rsidRPr="00B740B4">
        <w:rPr>
          <w:rStyle w:val="sm"/>
          <w:color w:val="auto"/>
          <w:sz w:val="22"/>
          <w:szCs w:val="22"/>
        </w:rPr>
        <w:t>gnb</w:t>
      </w:r>
      <w:r w:rsidR="00301660" w:rsidRPr="00B740B4">
        <w:t>). But the parallelism</w:t>
      </w:r>
      <w:r w:rsidR="00AB5185" w:rsidRPr="00B740B4">
        <w:t xml:space="preserve"> </w:t>
      </w:r>
      <w:r w:rsidR="00293AB6">
        <w:t>with state law</w:t>
      </w:r>
      <w:r w:rsidR="00AB5185" w:rsidRPr="00B740B4">
        <w:t xml:space="preserve"> (vv 8, 12, 15</w:t>
      </w:r>
      <w:r w:rsidR="00301660" w:rsidRPr="00B740B4">
        <w:t xml:space="preserve">) suggests </w:t>
      </w:r>
      <w:r w:rsidR="00293AB6">
        <w:t xml:space="preserve">that </w:t>
      </w:r>
      <w:r w:rsidR="00301660" w:rsidRPr="00B740B4">
        <w:t>this is not the meaning here</w:t>
      </w:r>
      <w:r w:rsidR="00A779C6">
        <w:t xml:space="preserve">, or at least that we should keep the translation “law” to point up the link and parallelism (Newsom, </w:t>
      </w:r>
      <w:r w:rsidR="00A779C6">
        <w:rPr>
          <w:i/>
        </w:rPr>
        <w:t>Daniel</w:t>
      </w:r>
      <w:r w:rsidR="00A779C6">
        <w:t>, 188-89)</w:t>
      </w:r>
      <w:r w:rsidR="008D7413">
        <w:t xml:space="preserve">. </w:t>
      </w:r>
      <w:r w:rsidR="00301660" w:rsidRPr="00B740B4">
        <w:t>Rend</w:t>
      </w:r>
      <w:r w:rsidR="00AB5185" w:rsidRPr="00B740B4">
        <w:t>torff (“Esra und das ‘Gesetz,’” 166–69)</w:t>
      </w:r>
      <w:r w:rsidR="00301660" w:rsidRPr="00B740B4">
        <w:t xml:space="preserve"> questions whether </w:t>
      </w:r>
      <w:r w:rsidR="00301660" w:rsidRPr="00B740B4">
        <w:rPr>
          <w:rStyle w:val="heb"/>
          <w:rFonts w:ascii="Arial" w:hAnsi="Arial" w:cs="Arial"/>
          <w:color w:val="auto"/>
        </w:rPr>
        <w:t>דת</w:t>
      </w:r>
      <w:r w:rsidR="00301660" w:rsidRPr="00B740B4">
        <w:t xml:space="preserve"> is ever a synonym of </w:t>
      </w:r>
      <w:r w:rsidR="00301660" w:rsidRPr="00B740B4">
        <w:rPr>
          <w:rStyle w:val="heb"/>
          <w:rFonts w:ascii="Arial" w:hAnsi="Arial" w:cs="Arial"/>
          <w:color w:val="auto"/>
        </w:rPr>
        <w:t>תורה</w:t>
      </w:r>
      <w:r w:rsidR="00301660" w:rsidRPr="00B740B4">
        <w:t>.</w:t>
      </w:r>
    </w:p>
    <w:p w:rsidR="00301660" w:rsidRPr="00B740B4" w:rsidRDefault="002C3A66" w:rsidP="00301660">
      <w:r w:rsidRPr="00B740B4">
        <w:rPr>
          <w:rStyle w:val="fnnum"/>
          <w:color w:val="auto"/>
        </w:rPr>
        <w:t>6</w:t>
      </w:r>
      <w:r w:rsidR="00301660" w:rsidRPr="00B740B4">
        <w:rPr>
          <w:rStyle w:val="fnnum"/>
          <w:color w:val="auto"/>
        </w:rPr>
        <w:t>.a.</w:t>
      </w:r>
      <w:r w:rsidR="00301660" w:rsidRPr="00B740B4">
        <w:t xml:space="preserve"> </w:t>
      </w:r>
      <w:r w:rsidR="00301660" w:rsidRPr="00B740B4">
        <w:rPr>
          <w:rStyle w:val="heb"/>
          <w:rFonts w:ascii="Arial" w:hAnsi="Arial" w:cs="Arial"/>
          <w:color w:val="auto"/>
        </w:rPr>
        <w:t>רגש</w:t>
      </w:r>
      <w:r w:rsidR="00AB5185" w:rsidRPr="00B740B4">
        <w:t xml:space="preserve"> (cf. vv 11, 15</w:t>
      </w:r>
      <w:r w:rsidR="00301660" w:rsidRPr="00B740B4">
        <w:t xml:space="preserve">) has troubled translators since the ancient versions (cf. </w:t>
      </w:r>
      <w:r w:rsidR="00301660" w:rsidRPr="00B740B4">
        <w:rPr>
          <w:rStyle w:val="i"/>
          <w:i w:val="0"/>
          <w:color w:val="auto"/>
          <w:szCs w:val="22"/>
        </w:rPr>
        <w:t>BHS</w:t>
      </w:r>
      <w:r w:rsidR="00301660" w:rsidRPr="00B740B4">
        <w:t xml:space="preserve">). Montgomery notes that it occurs in parallelism with </w:t>
      </w:r>
      <w:r w:rsidR="00301660" w:rsidRPr="00B740B4">
        <w:rPr>
          <w:rStyle w:val="heb"/>
          <w:rFonts w:ascii="Arial" w:hAnsi="Arial" w:cs="Arial"/>
          <w:color w:val="auto"/>
        </w:rPr>
        <w:t>סוד</w:t>
      </w:r>
      <w:r w:rsidR="00AB5185" w:rsidRPr="00B740B4">
        <w:t xml:space="preserve"> “counsel/council” in Ps 55:14 [15]; 64:2 [3</w:t>
      </w:r>
      <w:r w:rsidR="00301660" w:rsidRPr="00B740B4">
        <w:t xml:space="preserve">] (also with </w:t>
      </w:r>
      <w:r w:rsidR="00301660" w:rsidRPr="00B740B4">
        <w:rPr>
          <w:rStyle w:val="heb"/>
          <w:rFonts w:ascii="Arial" w:hAnsi="Arial" w:cs="Arial"/>
          <w:color w:val="auto"/>
        </w:rPr>
        <w:t>המה</w:t>
      </w:r>
      <w:r w:rsidR="00301660" w:rsidRPr="00B740B4">
        <w:t xml:space="preserve"> “g</w:t>
      </w:r>
      <w:r w:rsidR="00AB5185" w:rsidRPr="00B740B4">
        <w:t>rowl/murmur” in Ps 2:1), and translates</w:t>
      </w:r>
      <w:r w:rsidR="00301660" w:rsidRPr="00B740B4">
        <w:t xml:space="preserve"> “acted in harmony.” But </w:t>
      </w:r>
      <w:r w:rsidR="00301660" w:rsidRPr="00B740B4">
        <w:rPr>
          <w:rStyle w:val="heb"/>
          <w:rFonts w:ascii="Arial" w:hAnsi="Arial" w:cs="Arial"/>
          <w:color w:val="auto"/>
        </w:rPr>
        <w:t>סוד</w:t>
      </w:r>
      <w:r w:rsidR="00301660" w:rsidRPr="00B740B4">
        <w:t xml:space="preserve"> also appears alongside </w:t>
      </w:r>
      <w:r w:rsidR="00301660" w:rsidRPr="00B740B4">
        <w:rPr>
          <w:rStyle w:val="heb"/>
          <w:rFonts w:ascii="Arial" w:hAnsi="Arial" w:cs="Arial"/>
          <w:color w:val="auto"/>
        </w:rPr>
        <w:t>המה</w:t>
      </w:r>
      <w:r w:rsidR="00AB5185" w:rsidRPr="00B740B4">
        <w:t xml:space="preserve"> “growl/bustle” in Ps 83:2-3 [</w:t>
      </w:r>
      <w:r w:rsidR="00301660" w:rsidRPr="00B740B4">
        <w:t>3</w:t>
      </w:r>
      <w:r w:rsidR="00AB5185" w:rsidRPr="00B740B4">
        <w:t>-4</w:t>
      </w:r>
      <w:r w:rsidR="00301660" w:rsidRPr="00B740B4">
        <w:t xml:space="preserve">] (cf. </w:t>
      </w:r>
      <w:r w:rsidR="00301660" w:rsidRPr="00B740B4">
        <w:rPr>
          <w:rStyle w:val="heb"/>
          <w:rFonts w:ascii="Arial" w:hAnsi="Arial" w:cs="Arial"/>
          <w:color w:val="auto"/>
        </w:rPr>
        <w:t>המה</w:t>
      </w:r>
      <w:r w:rsidR="00301660" w:rsidRPr="00B740B4">
        <w:t xml:space="preserve"> in 46:4, 7; </w:t>
      </w:r>
      <w:r w:rsidR="00301660" w:rsidRPr="00B740B4">
        <w:rPr>
          <w:rStyle w:val="heb"/>
          <w:rFonts w:ascii="Arial" w:hAnsi="Arial" w:cs="Arial"/>
          <w:color w:val="auto"/>
        </w:rPr>
        <w:t>סוד</w:t>
      </w:r>
      <w:r w:rsidR="00301660" w:rsidRPr="00B740B4">
        <w:t xml:space="preserve"> in Jer 6:11; 15:17); cf. BDB “came thronging” for </w:t>
      </w:r>
      <w:r w:rsidR="00301660" w:rsidRPr="00B740B4">
        <w:rPr>
          <w:rStyle w:val="heb"/>
          <w:rFonts w:ascii="Arial" w:hAnsi="Arial" w:cs="Arial"/>
          <w:color w:val="auto"/>
        </w:rPr>
        <w:t>רגש</w:t>
      </w:r>
      <w:r w:rsidR="00301660" w:rsidRPr="00B740B4">
        <w:t>. The objection that thronging is inappr</w:t>
      </w:r>
      <w:r w:rsidR="00AB5185" w:rsidRPr="00B740B4">
        <w:t>opriate to court etiquette (vv 6 and 15</w:t>
      </w:r>
      <w:r w:rsidR="00301660" w:rsidRPr="00B740B4">
        <w:t>) and to catch</w:t>
      </w:r>
      <w:r w:rsidR="00AB5185" w:rsidRPr="00B740B4">
        <w:t>ing a man unawares (v 11</w:t>
      </w:r>
      <w:r w:rsidR="00301660" w:rsidRPr="00B740B4">
        <w:t xml:space="preserve">) misses the point that Daniel’s accusers </w:t>
      </w:r>
      <w:r w:rsidR="00AB5185" w:rsidRPr="00B740B4">
        <w:t>do act in a peremptory way (vv 7, ?12, 15; also v 6, cf. v 15</w:t>
      </w:r>
      <w:r w:rsidR="00301660" w:rsidRPr="00B740B4">
        <w:t xml:space="preserve">, where they speak </w:t>
      </w:r>
      <w:r w:rsidR="00301660" w:rsidRPr="00B740B4">
        <w:rPr>
          <w:rStyle w:val="i"/>
          <w:color w:val="auto"/>
          <w:szCs w:val="22"/>
        </w:rPr>
        <w:t>to</w:t>
      </w:r>
      <w:r w:rsidR="00301660" w:rsidRPr="00B740B4">
        <w:t xml:space="preserve"> the king, not </w:t>
      </w:r>
      <w:r w:rsidR="00301660" w:rsidRPr="00B740B4">
        <w:rPr>
          <w:rStyle w:val="i"/>
          <w:color w:val="auto"/>
          <w:szCs w:val="22"/>
        </w:rPr>
        <w:t>before</w:t>
      </w:r>
      <w:r w:rsidR="00301660" w:rsidRPr="00B740B4">
        <w:t xml:space="preserve"> him as court etiquette generally requires), and that Daniel’s commitment to his faith was open enough not to require espionage. The v</w:t>
      </w:r>
      <w:r w:rsidR="00AB5185" w:rsidRPr="00B740B4">
        <w:t>er</w:t>
      </w:r>
      <w:r w:rsidR="00301660" w:rsidRPr="00B740B4">
        <w:t>b suggests a group acting by agreement but with the bustle t</w:t>
      </w:r>
      <w:r w:rsidR="00293AB6">
        <w:t>hat a crowd inevitabl</w:t>
      </w:r>
      <w:r w:rsidR="008D7413">
        <w:t xml:space="preserve">y makes. But </w:t>
      </w:r>
      <w:r w:rsidR="00301660" w:rsidRPr="00B740B4">
        <w:t>a diffe</w:t>
      </w:r>
      <w:r w:rsidR="008D7413">
        <w:t>rent meaning might be</w:t>
      </w:r>
      <w:r w:rsidR="00AB5185" w:rsidRPr="00B740B4">
        <w:t xml:space="preserve"> required in v 11 from vv 6 and 15</w:t>
      </w:r>
      <w:r w:rsidR="00436739">
        <w:t xml:space="preserve"> (cf. G, Syr, Vg)</w:t>
      </w:r>
      <w:r w:rsidR="00293AB6">
        <w:t>.</w:t>
      </w:r>
      <w:r w:rsidR="00301660" w:rsidRPr="00B740B4">
        <w:t xml:space="preserve"> The author of Daniel likes homonyms/paronomasia.</w:t>
      </w:r>
    </w:p>
    <w:p w:rsidR="00301660" w:rsidRPr="00B740B4" w:rsidRDefault="002C3A66" w:rsidP="00301660">
      <w:r w:rsidRPr="00B740B4">
        <w:rPr>
          <w:rStyle w:val="fnnum"/>
          <w:color w:val="auto"/>
        </w:rPr>
        <w:t>7</w:t>
      </w:r>
      <w:r w:rsidR="00301660" w:rsidRPr="00B740B4">
        <w:rPr>
          <w:rStyle w:val="fnnum"/>
          <w:color w:val="auto"/>
        </w:rPr>
        <w:t>.a.</w:t>
      </w:r>
      <w:r w:rsidR="00301660" w:rsidRPr="00B740B4">
        <w:t xml:space="preserve"> Taking </w:t>
      </w:r>
      <w:r w:rsidR="00301660" w:rsidRPr="00B740B4">
        <w:rPr>
          <w:rStyle w:val="heb"/>
          <w:rFonts w:ascii="Arial" w:hAnsi="Arial" w:cs="Arial"/>
          <w:color w:val="auto"/>
        </w:rPr>
        <w:t>מלכא</w:t>
      </w:r>
      <w:r w:rsidR="00301660" w:rsidRPr="00B740B4">
        <w:t xml:space="preserve"> as the subj of the v</w:t>
      </w:r>
      <w:r w:rsidR="00AB5185" w:rsidRPr="00B740B4">
        <w:t>er</w:t>
      </w:r>
      <w:r w:rsidR="008D7413">
        <w:t>b, with MT accents. Th</w:t>
      </w:r>
      <w:r w:rsidR="00301660" w:rsidRPr="00B740B4">
        <w:t xml:space="preserve"> links it with the preceding noun, “about the </w:t>
      </w:r>
      <w:r w:rsidR="002D4FFF" w:rsidRPr="00B740B4">
        <w:t xml:space="preserve">issuing of a royal statute,” or about issuing a royal statute, </w:t>
      </w:r>
      <w:r w:rsidR="00301660" w:rsidRPr="00B740B4">
        <w:t>if the passage suggests a peremptory attitude on</w:t>
      </w:r>
      <w:r w:rsidR="00AB5185" w:rsidRPr="00B740B4">
        <w:t xml:space="preserve"> the part of the group (cf. n. 6</w:t>
      </w:r>
      <w:r w:rsidR="00301660" w:rsidRPr="00B740B4">
        <w:t>.a</w:t>
      </w:r>
      <w:r w:rsidR="002D4FFF" w:rsidRPr="00B740B4">
        <w:t>)</w:t>
      </w:r>
      <w:r w:rsidR="00301660" w:rsidRPr="00B740B4">
        <w:t>.</w:t>
      </w:r>
    </w:p>
    <w:p w:rsidR="00301660" w:rsidRPr="00B740B4" w:rsidRDefault="002C3A66" w:rsidP="00301660">
      <w:r w:rsidRPr="00B740B4">
        <w:rPr>
          <w:rStyle w:val="fnnum"/>
          <w:color w:val="auto"/>
        </w:rPr>
        <w:t>8</w:t>
      </w:r>
      <w:r w:rsidR="00301660" w:rsidRPr="00B740B4">
        <w:rPr>
          <w:rStyle w:val="fnnum"/>
          <w:color w:val="auto"/>
        </w:rPr>
        <w:t>.a.</w:t>
      </w:r>
      <w:r w:rsidR="00301660" w:rsidRPr="00B740B4">
        <w:t xml:space="preserve"> Or perhaps </w:t>
      </w:r>
      <w:r w:rsidR="00301660" w:rsidRPr="00B740B4">
        <w:rPr>
          <w:rStyle w:val="heb"/>
          <w:rFonts w:ascii="Arial" w:hAnsi="Arial" w:cs="Arial"/>
          <w:color w:val="auto"/>
        </w:rPr>
        <w:t>תרשם</w:t>
      </w:r>
      <w:r w:rsidR="00301660" w:rsidRPr="00B740B4">
        <w:t xml:space="preserve"> denotes “put your seal to.”</w:t>
      </w:r>
    </w:p>
    <w:p w:rsidR="00301660" w:rsidRPr="00B740B4" w:rsidRDefault="002C3A66" w:rsidP="00301660">
      <w:r w:rsidRPr="00B740B4">
        <w:rPr>
          <w:rStyle w:val="fnnum"/>
          <w:color w:val="auto"/>
        </w:rPr>
        <w:t>8</w:t>
      </w:r>
      <w:r w:rsidR="00301660" w:rsidRPr="00B740B4">
        <w:rPr>
          <w:rStyle w:val="fnnum"/>
          <w:color w:val="auto"/>
        </w:rPr>
        <w:t>.b.</w:t>
      </w:r>
      <w:r w:rsidR="00301660" w:rsidRPr="00B740B4">
        <w:t xml:space="preserve"> </w:t>
      </w:r>
      <w:r w:rsidR="00301660" w:rsidRPr="00B740B4">
        <w:rPr>
          <w:rStyle w:val="heb"/>
          <w:rFonts w:ascii="Arial" w:hAnsi="Arial" w:cs="Arial"/>
          <w:color w:val="auto"/>
        </w:rPr>
        <w:t>לא</w:t>
      </w:r>
      <w:r w:rsidR="00301660" w:rsidRPr="00B740B4">
        <w:t xml:space="preserve"> rather than </w:t>
      </w:r>
      <w:r w:rsidR="00301660" w:rsidRPr="00B740B4">
        <w:rPr>
          <w:rStyle w:val="heb"/>
          <w:rFonts w:ascii="Arial" w:hAnsi="Arial" w:cs="Arial"/>
          <w:color w:val="auto"/>
        </w:rPr>
        <w:t>אין</w:t>
      </w:r>
      <w:r w:rsidR="00301660" w:rsidRPr="00B740B4">
        <w:t xml:space="preserve"> with the </w:t>
      </w:r>
      <w:r w:rsidR="00B37409" w:rsidRPr="00B740B4">
        <w:t>inf</w:t>
      </w:r>
      <w:r w:rsidR="00B37409">
        <w:t>.</w:t>
      </w:r>
      <w:r w:rsidR="00B37409" w:rsidRPr="00B740B4">
        <w:t xml:space="preserve"> </w:t>
      </w:r>
      <w:r w:rsidR="00301660" w:rsidRPr="00B740B4">
        <w:t>is emphatic (</w:t>
      </w:r>
      <w:r w:rsidR="00301660" w:rsidRPr="00B740B4">
        <w:rPr>
          <w:rStyle w:val="i"/>
          <w:color w:val="auto"/>
          <w:szCs w:val="22"/>
        </w:rPr>
        <w:t>TTH</w:t>
      </w:r>
      <w:r w:rsidR="00301660" w:rsidRPr="00B740B4">
        <w:t xml:space="preserve"> 202).</w:t>
      </w:r>
    </w:p>
    <w:p w:rsidR="00301660" w:rsidRPr="00B740B4" w:rsidRDefault="002C3A66" w:rsidP="00301660">
      <w:r w:rsidRPr="00B740B4">
        <w:rPr>
          <w:rStyle w:val="fnnum"/>
          <w:color w:val="auto"/>
        </w:rPr>
        <w:t>10</w:t>
      </w:r>
      <w:r w:rsidR="00301660" w:rsidRPr="00B740B4">
        <w:rPr>
          <w:rStyle w:val="fnnum"/>
          <w:color w:val="auto"/>
        </w:rPr>
        <w:t>.a.</w:t>
      </w:r>
      <w:r w:rsidR="00301660" w:rsidRPr="00B740B4">
        <w:t xml:space="preserve"> </w:t>
      </w:r>
      <w:r w:rsidR="00301660" w:rsidRPr="00B740B4">
        <w:rPr>
          <w:rStyle w:val="heb"/>
          <w:rFonts w:ascii="Arial" w:hAnsi="Arial" w:cs="Arial"/>
          <w:color w:val="auto"/>
        </w:rPr>
        <w:t>הוּא</w:t>
      </w:r>
      <w:r w:rsidR="00301660" w:rsidRPr="00B740B4">
        <w:t xml:space="preserve"> probably needs repointing </w:t>
      </w:r>
      <w:r w:rsidR="00301660" w:rsidRPr="00B740B4">
        <w:rPr>
          <w:rStyle w:val="heb"/>
          <w:rFonts w:ascii="Arial" w:hAnsi="Arial" w:cs="Arial"/>
          <w:color w:val="auto"/>
        </w:rPr>
        <w:t>הֲוָא</w:t>
      </w:r>
      <w:r w:rsidR="00301660" w:rsidRPr="00B740B4">
        <w:t xml:space="preserve"> (</w:t>
      </w:r>
      <w:r w:rsidR="00301660" w:rsidRPr="00B740B4">
        <w:rPr>
          <w:rStyle w:val="sm"/>
          <w:color w:val="auto"/>
          <w:sz w:val="22"/>
          <w:szCs w:val="22"/>
        </w:rPr>
        <w:t>neb</w:t>
      </w:r>
      <w:r w:rsidR="00301660" w:rsidRPr="00B740B4">
        <w:t xml:space="preserve">, BL 81q); </w:t>
      </w:r>
      <w:r w:rsidR="00301660" w:rsidRPr="00B740B4">
        <w:rPr>
          <w:rStyle w:val="i"/>
          <w:i w:val="0"/>
          <w:color w:val="auto"/>
          <w:szCs w:val="22"/>
        </w:rPr>
        <w:t>BHS</w:t>
      </w:r>
      <w:r w:rsidR="00952C23">
        <w:t xml:space="preserve"> reads</w:t>
      </w:r>
      <w:r w:rsidR="00301660" w:rsidRPr="00B740B4">
        <w:t xml:space="preserve"> </w:t>
      </w:r>
      <w:r w:rsidR="00301660" w:rsidRPr="00B740B4">
        <w:rPr>
          <w:rStyle w:val="heb"/>
          <w:rFonts w:ascii="Arial" w:hAnsi="Arial" w:cs="Arial"/>
          <w:color w:val="auto"/>
        </w:rPr>
        <w:t>הֲוָה</w:t>
      </w:r>
      <w:r w:rsidR="002D4FFF" w:rsidRPr="00B740B4">
        <w:rPr>
          <w:rStyle w:val="heb"/>
          <w:rFonts w:ascii="Arial" w:hAnsi="Arial" w:cs="Arial"/>
          <w:color w:val="auto"/>
        </w:rPr>
        <w:t xml:space="preserve">, </w:t>
      </w:r>
      <w:r w:rsidR="00952C23">
        <w:t xml:space="preserve">with some </w:t>
      </w:r>
      <w:r w:rsidR="0018520A" w:rsidRPr="0018520A">
        <w:t xml:space="preserve">medieval </w:t>
      </w:r>
      <w:r w:rsidR="00952C23">
        <w:t>mss.</w:t>
      </w:r>
      <w:r w:rsidR="00025D27">
        <w:t xml:space="preserve"> </w:t>
      </w:r>
      <w:r w:rsidR="00025D27" w:rsidRPr="00025D27">
        <w:t>Van der Woude</w:t>
      </w:r>
      <w:r w:rsidR="00025D27" w:rsidRPr="00025D27">
        <w:rPr>
          <w:b/>
        </w:rPr>
        <w:t xml:space="preserve"> </w:t>
      </w:r>
      <w:r w:rsidR="00025D27">
        <w:rPr>
          <w:b/>
        </w:rPr>
        <w:t>(</w:t>
      </w:r>
      <w:r w:rsidR="00025D27" w:rsidRPr="00025D27">
        <w:t>“Zu Daniel</w:t>
      </w:r>
      <w:r w:rsidR="00025D27">
        <w:t xml:space="preserve"> 6,11”) argues for linking </w:t>
      </w:r>
      <w:r w:rsidR="00025D27" w:rsidRPr="00025D27">
        <w:rPr>
          <w:rFonts w:ascii="Arial" w:hAnsi="Arial" w:cs="Arial"/>
        </w:rPr>
        <w:t>הוּא</w:t>
      </w:r>
      <w:r w:rsidR="00025D27">
        <w:t xml:space="preserve"> with </w:t>
      </w:r>
      <w:r w:rsidR="00025D27" w:rsidRPr="00025D27">
        <w:rPr>
          <w:rFonts w:ascii="Arial" w:hAnsi="Arial" w:cs="Arial"/>
        </w:rPr>
        <w:t>א</w:t>
      </w:r>
      <w:r w:rsidR="00025D27" w:rsidRPr="00025D27">
        <w:t xml:space="preserve"> </w:t>
      </w:r>
      <w:r w:rsidR="00025D27" w:rsidRPr="00025D27">
        <w:rPr>
          <w:rFonts w:ascii="Arial" w:hAnsi="Arial" w:cs="Arial"/>
        </w:rPr>
        <w:t>מ</w:t>
      </w:r>
      <w:r w:rsidR="00025D27" w:rsidRPr="00025D27">
        <w:t xml:space="preserve"> </w:t>
      </w:r>
      <w:r w:rsidR="00025D27" w:rsidRPr="00025D27">
        <w:rPr>
          <w:rFonts w:ascii="Arial" w:hAnsi="Arial" w:cs="Arial"/>
        </w:rPr>
        <w:t>ו</w:t>
      </w:r>
      <w:r w:rsidR="00025D27" w:rsidRPr="00025D27">
        <w:t xml:space="preserve"> </w:t>
      </w:r>
      <w:r w:rsidR="00025D27" w:rsidRPr="00025D27">
        <w:rPr>
          <w:rFonts w:ascii="Arial" w:hAnsi="Arial" w:cs="Arial"/>
        </w:rPr>
        <w:t>י</w:t>
      </w:r>
      <w:r w:rsidR="00025D27" w:rsidRPr="00025D27">
        <w:t xml:space="preserve"> </w:t>
      </w:r>
      <w:r w:rsidR="00025D27">
        <w:t xml:space="preserve">“that day,” which gives good sense, but this adjectival use is unparalleled in BA.  </w:t>
      </w:r>
    </w:p>
    <w:p w:rsidR="00301660" w:rsidRPr="00B740B4" w:rsidRDefault="002C3A66" w:rsidP="00301660">
      <w:r w:rsidRPr="00B740B4">
        <w:rPr>
          <w:rStyle w:val="fnnum"/>
          <w:color w:val="auto"/>
        </w:rPr>
        <w:t>10</w:t>
      </w:r>
      <w:r w:rsidR="00301660" w:rsidRPr="00B740B4">
        <w:rPr>
          <w:rStyle w:val="fnnum"/>
          <w:color w:val="auto"/>
        </w:rPr>
        <w:t>.b.</w:t>
      </w:r>
      <w:r w:rsidR="00794521" w:rsidRPr="00B740B4">
        <w:t xml:space="preserve"> EVV </w:t>
      </w:r>
      <w:r w:rsidR="00301660" w:rsidRPr="00B740B4">
        <w:t xml:space="preserve">“as” (cf. BL 109n); but BA nowhere else uses </w:t>
      </w:r>
      <w:r w:rsidR="00301660" w:rsidRPr="00B740B4">
        <w:rPr>
          <w:rStyle w:val="heb"/>
          <w:rFonts w:ascii="Arial" w:hAnsi="Arial" w:cs="Arial"/>
          <w:color w:val="auto"/>
        </w:rPr>
        <w:t>די</w:t>
      </w:r>
      <w:r w:rsidR="00300E7A">
        <w:rPr>
          <w:rStyle w:val="heb"/>
          <w:rFonts w:ascii="Arial" w:hAnsi="Arial" w:cs="Arial"/>
          <w:color w:val="auto"/>
        </w:rPr>
        <w:t xml:space="preserve"> </w:t>
      </w:r>
      <w:r w:rsidR="00300E7A" w:rsidRPr="00300E7A">
        <w:rPr>
          <w:rFonts w:ascii="Arial" w:hAnsi="Arial" w:cs="Arial"/>
        </w:rPr>
        <w:t>קבל</w:t>
      </w:r>
      <w:r w:rsidR="00301660" w:rsidRPr="00B740B4">
        <w:t xml:space="preserve"> </w:t>
      </w:r>
      <w:r w:rsidR="00300E7A" w:rsidRPr="00300E7A">
        <w:rPr>
          <w:rFonts w:ascii="Arial" w:hAnsi="Arial" w:cs="Arial"/>
        </w:rPr>
        <w:t>כל</w:t>
      </w:r>
      <w:r w:rsidR="00300E7A">
        <w:t xml:space="preserve"> </w:t>
      </w:r>
      <w:r w:rsidR="00301660" w:rsidRPr="00B740B4">
        <w:t>in the weakened sense (cf. Bevan).</w:t>
      </w:r>
    </w:p>
    <w:p w:rsidR="00301660" w:rsidRPr="00B740B4" w:rsidRDefault="002C3A66" w:rsidP="00301660">
      <w:r w:rsidRPr="00B740B4">
        <w:rPr>
          <w:rStyle w:val="fnnum"/>
          <w:color w:val="auto"/>
        </w:rPr>
        <w:t>12</w:t>
      </w:r>
      <w:r w:rsidR="00301660" w:rsidRPr="00B740B4">
        <w:rPr>
          <w:rStyle w:val="fnnum"/>
          <w:color w:val="auto"/>
        </w:rPr>
        <w:t>.a-a.</w:t>
      </w:r>
      <w:r w:rsidR="00301660" w:rsidRPr="00B740B4">
        <w:t xml:space="preserve"> Cf. </w:t>
      </w:r>
      <w:r w:rsidR="00DD239A">
        <w:rPr>
          <w:rStyle w:val="sm"/>
          <w:color w:val="auto"/>
          <w:sz w:val="22"/>
          <w:szCs w:val="22"/>
        </w:rPr>
        <w:t>JPSV</w:t>
      </w:r>
      <w:r w:rsidR="00301660" w:rsidRPr="00B740B4">
        <w:t>; not “about the injunct</w:t>
      </w:r>
      <w:r w:rsidR="00794521" w:rsidRPr="00B740B4">
        <w:t>ion: ‘Your majesty . . .’” (EVV</w:t>
      </w:r>
      <w:r w:rsidR="00301660" w:rsidRPr="00B740B4">
        <w:t>), which would require emph</w:t>
      </w:r>
      <w:r w:rsidR="00AB5185" w:rsidRPr="00B740B4">
        <w:t>atic</w:t>
      </w:r>
      <w:r w:rsidR="00301660" w:rsidRPr="00B740B4">
        <w:t xml:space="preserve"> </w:t>
      </w:r>
      <w:r w:rsidR="00301660" w:rsidRPr="00B740B4">
        <w:rPr>
          <w:rStyle w:val="heb"/>
          <w:rFonts w:ascii="Arial" w:hAnsi="Arial" w:cs="Arial"/>
          <w:color w:val="auto"/>
        </w:rPr>
        <w:t>אסרא</w:t>
      </w:r>
      <w:r w:rsidR="00301660" w:rsidRPr="00B740B4">
        <w:t>, not the abs</w:t>
      </w:r>
      <w:r w:rsidR="00AB5185" w:rsidRPr="00B740B4">
        <w:t>olute</w:t>
      </w:r>
      <w:r w:rsidR="00EB73E0" w:rsidRPr="00B740B4">
        <w:t>/</w:t>
      </w:r>
      <w:r w:rsidR="00301660" w:rsidRPr="00B740B4">
        <w:t>constr</w:t>
      </w:r>
      <w:r w:rsidR="00AB5185" w:rsidRPr="00B740B4">
        <w:t>uct</w:t>
      </w:r>
      <w:r w:rsidR="00301660" w:rsidRPr="00B740B4">
        <w:t xml:space="preserve"> </w:t>
      </w:r>
      <w:r w:rsidR="00301660" w:rsidRPr="00B740B4">
        <w:rPr>
          <w:rStyle w:val="heb"/>
          <w:rFonts w:ascii="Arial" w:hAnsi="Arial" w:cs="Arial"/>
          <w:color w:val="auto"/>
        </w:rPr>
        <w:t>אסר</w:t>
      </w:r>
      <w:r w:rsidR="00301660" w:rsidRPr="00B740B4">
        <w:t xml:space="preserve"> (Hartman</w:t>
      </w:r>
      <w:r w:rsidR="00AB5185" w:rsidRPr="00B740B4">
        <w:t>/Di Lella</w:t>
      </w:r>
      <w:r w:rsidR="00301660" w:rsidRPr="00B740B4">
        <w:t xml:space="preserve">). G, </w:t>
      </w:r>
      <w:r w:rsidR="00EB73E0" w:rsidRPr="00B740B4">
        <w:t>Syr</w:t>
      </w:r>
      <w:r w:rsidR="00301660" w:rsidRPr="00B740B4">
        <w:t xml:space="preserve"> take </w:t>
      </w:r>
      <w:r w:rsidR="00301660" w:rsidRPr="00B740B4">
        <w:rPr>
          <w:rStyle w:val="heb"/>
          <w:rFonts w:ascii="Arial" w:hAnsi="Arial" w:cs="Arial"/>
          <w:color w:val="auto"/>
        </w:rPr>
        <w:t>מלכא</w:t>
      </w:r>
      <w:r w:rsidR="00301660" w:rsidRPr="00B740B4">
        <w:t xml:space="preserve"> as vocative, but they omit </w:t>
      </w:r>
      <w:r w:rsidR="00301660" w:rsidRPr="00B740B4">
        <w:rPr>
          <w:rStyle w:val="heb"/>
          <w:rFonts w:ascii="Arial" w:hAnsi="Arial" w:cs="Arial"/>
          <w:color w:val="auto"/>
        </w:rPr>
        <w:t>אסר</w:t>
      </w:r>
      <w:r w:rsidR="00301660" w:rsidRPr="00B740B4">
        <w:t xml:space="preserve"> </w:t>
      </w:r>
      <w:r w:rsidR="00EB73E0" w:rsidRPr="00B740B4">
        <w:rPr>
          <w:rFonts w:ascii="Arial" w:hAnsi="Arial" w:cs="Arial"/>
        </w:rPr>
        <w:t>על</w:t>
      </w:r>
      <w:r w:rsidR="00EB73E0" w:rsidRPr="00B740B4">
        <w:t xml:space="preserve"> </w:t>
      </w:r>
      <w:r w:rsidR="00301660" w:rsidRPr="00B740B4">
        <w:t xml:space="preserve">(cf. </w:t>
      </w:r>
      <w:r w:rsidR="00301660" w:rsidRPr="00300E7A">
        <w:rPr>
          <w:rStyle w:val="i"/>
          <w:i w:val="0"/>
          <w:color w:val="auto"/>
          <w:szCs w:val="22"/>
        </w:rPr>
        <w:t>BHS</w:t>
      </w:r>
      <w:r w:rsidR="00300E7A">
        <w:t>). Omiting the phase</w:t>
      </w:r>
      <w:r w:rsidR="00301660" w:rsidRPr="00B740B4">
        <w:t xml:space="preserve"> </w:t>
      </w:r>
      <w:r w:rsidR="00952C23">
        <w:t xml:space="preserve">as a gloss </w:t>
      </w:r>
      <w:r w:rsidR="00301660" w:rsidRPr="00B740B4">
        <w:t>reduces the jerkiness of v 13a, though one need not do so merely to make the conspirators’ speech begin in</w:t>
      </w:r>
      <w:r w:rsidR="00EB73E0" w:rsidRPr="00B740B4">
        <w:t xml:space="preserve"> a less peremptory way (cf. n. 6</w:t>
      </w:r>
      <w:r w:rsidR="00301660" w:rsidRPr="00B740B4">
        <w:t>.a).</w:t>
      </w:r>
      <w:r w:rsidR="00403912">
        <w:t xml:space="preserve"> Syr adds the common “Long live the king” (cf. 3:9) with that effect (Taylor, </w:t>
      </w:r>
      <w:r w:rsidR="00403912" w:rsidRPr="00403912">
        <w:rPr>
          <w:i/>
        </w:rPr>
        <w:t>Peshitṭa</w:t>
      </w:r>
      <w:r w:rsidR="00403912" w:rsidRPr="00403912">
        <w:t>,</w:t>
      </w:r>
      <w:r w:rsidR="00403912">
        <w:t xml:space="preserve"> 180).</w:t>
      </w:r>
    </w:p>
    <w:p w:rsidR="00301660" w:rsidRPr="00B740B4" w:rsidRDefault="002C3A66" w:rsidP="00301660">
      <w:r w:rsidRPr="00B740B4">
        <w:rPr>
          <w:rStyle w:val="fnnum"/>
          <w:color w:val="auto"/>
        </w:rPr>
        <w:t>14</w:t>
      </w:r>
      <w:r w:rsidR="00301660" w:rsidRPr="00B740B4">
        <w:rPr>
          <w:rStyle w:val="fnnum"/>
          <w:color w:val="auto"/>
        </w:rPr>
        <w:t>.a.</w:t>
      </w:r>
      <w:r w:rsidR="00301660" w:rsidRPr="00B740B4">
        <w:t xml:space="preserve"> BA/BH </w:t>
      </w:r>
      <w:r w:rsidR="00301660" w:rsidRPr="00B740B4">
        <w:rPr>
          <w:rStyle w:val="heb"/>
          <w:rFonts w:ascii="Arial" w:hAnsi="Arial" w:cs="Arial"/>
          <w:color w:val="auto"/>
        </w:rPr>
        <w:t>באש</w:t>
      </w:r>
      <w:r w:rsidR="00301660" w:rsidRPr="00B740B4">
        <w:t xml:space="preserve"> more naturally means “displeased” (cf. also BH </w:t>
      </w:r>
      <w:r w:rsidR="00301660" w:rsidRPr="00B740B4">
        <w:rPr>
          <w:rStyle w:val="heb"/>
          <w:rFonts w:ascii="Arial" w:hAnsi="Arial" w:cs="Arial"/>
          <w:color w:val="auto"/>
        </w:rPr>
        <w:t>רעע</w:t>
      </w:r>
      <w:r w:rsidR="00301660" w:rsidRPr="00B740B4">
        <w:t>, e.g., Jonah 4:</w:t>
      </w:r>
      <w:r w:rsidR="00794521" w:rsidRPr="00B740B4">
        <w:t>1 [BDB]) than “distressed” (EVV</w:t>
      </w:r>
      <w:r w:rsidR="00301660" w:rsidRPr="00B740B4">
        <w:t>, cf. 1QapGen 21.7).</w:t>
      </w:r>
    </w:p>
    <w:p w:rsidR="00301660" w:rsidRPr="00B740B4" w:rsidRDefault="002C3A66" w:rsidP="00301660">
      <w:r w:rsidRPr="00B740B4">
        <w:rPr>
          <w:rStyle w:val="fnnum"/>
          <w:color w:val="auto"/>
        </w:rPr>
        <w:t>14</w:t>
      </w:r>
      <w:r w:rsidR="00301660" w:rsidRPr="00B740B4">
        <w:rPr>
          <w:rStyle w:val="fnnum"/>
          <w:color w:val="auto"/>
        </w:rPr>
        <w:t>.b.</w:t>
      </w:r>
      <w:r w:rsidR="00301660" w:rsidRPr="00B740B4">
        <w:t xml:space="preserve"> “High noon” is etymologically possible and would make good sense, leaving time for the events in vv 16–19 to take place in the afternoon (Mayer, “Iranischer Beitrag,” 128–29); but </w:t>
      </w:r>
      <w:r w:rsidR="00301660" w:rsidRPr="00B740B4">
        <w:rPr>
          <w:rStyle w:val="heb"/>
          <w:rFonts w:ascii="Arial" w:hAnsi="Arial" w:cs="Arial"/>
          <w:color w:val="auto"/>
        </w:rPr>
        <w:t>שמשא</w:t>
      </w:r>
      <w:r w:rsidR="00301660" w:rsidRPr="00B740B4">
        <w:t xml:space="preserve"> </w:t>
      </w:r>
      <w:r w:rsidR="0027635A" w:rsidRPr="00B740B4">
        <w:rPr>
          <w:rFonts w:ascii="Arial" w:hAnsi="Arial" w:cs="Arial"/>
        </w:rPr>
        <w:t>מעלי</w:t>
      </w:r>
      <w:r w:rsidR="0027635A" w:rsidRPr="00B740B4">
        <w:t xml:space="preserve"> </w:t>
      </w:r>
      <w:r w:rsidR="00301660" w:rsidRPr="00B740B4">
        <w:t>regularly means “sunset” (</w:t>
      </w:r>
      <w:r w:rsidR="00301660" w:rsidRPr="00B740B4">
        <w:rPr>
          <w:rStyle w:val="i"/>
          <w:color w:val="auto"/>
          <w:szCs w:val="22"/>
        </w:rPr>
        <w:t>DTT</w:t>
      </w:r>
      <w:r w:rsidR="00301660" w:rsidRPr="00B740B4">
        <w:t>).</w:t>
      </w:r>
    </w:p>
    <w:p w:rsidR="00301660" w:rsidRPr="00B740B4" w:rsidRDefault="002C3A66" w:rsidP="00301660">
      <w:r w:rsidRPr="00B740B4">
        <w:rPr>
          <w:rStyle w:val="fnnum"/>
          <w:color w:val="auto"/>
        </w:rPr>
        <w:t>16</w:t>
      </w:r>
      <w:r w:rsidR="00301660" w:rsidRPr="00B740B4">
        <w:rPr>
          <w:rStyle w:val="fnnum"/>
          <w:color w:val="auto"/>
        </w:rPr>
        <w:t>.a.</w:t>
      </w:r>
      <w:r w:rsidR="0027635A" w:rsidRPr="00B740B4">
        <w:t xml:space="preserve"> On the understanding as purpose clauses, s</w:t>
      </w:r>
      <w:r w:rsidR="00301660" w:rsidRPr="00B740B4">
        <w:t>ee BL 106e.</w:t>
      </w:r>
    </w:p>
    <w:p w:rsidR="00301660" w:rsidRPr="00B740B4" w:rsidRDefault="002C3A66" w:rsidP="00301660">
      <w:r w:rsidRPr="00B740B4">
        <w:rPr>
          <w:rStyle w:val="fnnum"/>
          <w:color w:val="auto"/>
        </w:rPr>
        <w:lastRenderedPageBreak/>
        <w:t>16</w:t>
      </w:r>
      <w:r w:rsidR="00301660" w:rsidRPr="00B740B4">
        <w:rPr>
          <w:rStyle w:val="fnnum"/>
          <w:color w:val="auto"/>
        </w:rPr>
        <w:t>.b.</w:t>
      </w:r>
      <w:r w:rsidR="00301660" w:rsidRPr="00B740B4">
        <w:t xml:space="preserve"> Hartman</w:t>
      </w:r>
      <w:r w:rsidR="0027635A" w:rsidRPr="00B740B4">
        <w:t>/Di Lella</w:t>
      </w:r>
      <w:r w:rsidR="00301660" w:rsidRPr="00B740B4">
        <w:t xml:space="preserve">, noting, however, that </w:t>
      </w:r>
      <w:r w:rsidR="00301660" w:rsidRPr="00B740B4">
        <w:rPr>
          <w:rStyle w:val="heb"/>
          <w:rFonts w:ascii="Arial" w:hAnsi="Arial" w:cs="Arial"/>
          <w:color w:val="auto"/>
        </w:rPr>
        <w:t>ישיזבנך</w:t>
      </w:r>
      <w:r w:rsidR="0027635A" w:rsidRPr="00B740B4">
        <w:t xml:space="preserve"> must be parsed as imperfect</w:t>
      </w:r>
      <w:r w:rsidR="00301660" w:rsidRPr="00B740B4">
        <w:t xml:space="preserve"> not juss</w:t>
      </w:r>
      <w:r w:rsidR="0027635A" w:rsidRPr="00B740B4">
        <w:t>ive</w:t>
      </w:r>
      <w:r w:rsidR="00301660" w:rsidRPr="00B740B4">
        <w:t xml:space="preserve">, otherwise the </w:t>
      </w:r>
      <w:r w:rsidR="00301660" w:rsidRPr="00B740B4">
        <w:rPr>
          <w:rStyle w:val="heb"/>
          <w:rFonts w:ascii="Arial" w:hAnsi="Arial" w:cs="Arial"/>
          <w:color w:val="auto"/>
        </w:rPr>
        <w:t>נ</w:t>
      </w:r>
      <w:r w:rsidR="00301660" w:rsidRPr="00B740B4">
        <w:rPr>
          <w:rStyle w:val="heb"/>
          <w:color w:val="auto"/>
        </w:rPr>
        <w:t>‍</w:t>
      </w:r>
      <w:r w:rsidR="00952C23">
        <w:t xml:space="preserve"> would be elided</w:t>
      </w:r>
      <w:r w:rsidR="00301660" w:rsidRPr="00B740B4">
        <w:t xml:space="preserve"> </w:t>
      </w:r>
      <w:r w:rsidR="00952C23">
        <w:t xml:space="preserve">(cf. </w:t>
      </w:r>
      <w:r w:rsidR="00301660" w:rsidRPr="00B740B4">
        <w:rPr>
          <w:rStyle w:val="i"/>
          <w:color w:val="auto"/>
          <w:szCs w:val="22"/>
        </w:rPr>
        <w:t>GBA</w:t>
      </w:r>
      <w:r w:rsidR="00301660" w:rsidRPr="00B740B4">
        <w:t xml:space="preserve"> 108, 175</w:t>
      </w:r>
      <w:r w:rsidR="00952C23">
        <w:t>)</w:t>
      </w:r>
      <w:r w:rsidR="00301660" w:rsidRPr="00B740B4">
        <w:t xml:space="preserve">. </w:t>
      </w:r>
      <w:r w:rsidR="00952C23">
        <w:rPr>
          <w:rStyle w:val="sm"/>
          <w:color w:val="auto"/>
          <w:sz w:val="22"/>
          <w:szCs w:val="22"/>
        </w:rPr>
        <w:t>JPSV</w:t>
      </w:r>
      <w:r w:rsidR="00301660" w:rsidRPr="00B740B4">
        <w:t xml:space="preserve"> takes the v</w:t>
      </w:r>
      <w:r w:rsidR="0027635A" w:rsidRPr="00B740B4">
        <w:t>er</w:t>
      </w:r>
      <w:r w:rsidR="00301660" w:rsidRPr="00B740B4">
        <w:t>b as future, but this</w:t>
      </w:r>
      <w:r w:rsidR="0027635A" w:rsidRPr="00B740B4">
        <w:t xml:space="preserve"> understanding</w:t>
      </w:r>
      <w:r w:rsidR="00301660" w:rsidRPr="00B740B4">
        <w:t xml:space="preserve"> ill fits Darius’s agitation in vv 1</w:t>
      </w:r>
      <w:r w:rsidR="0027635A" w:rsidRPr="00B740B4">
        <w:t>4</w:t>
      </w:r>
      <w:r w:rsidR="00301660" w:rsidRPr="00B740B4">
        <w:t>, 1</w:t>
      </w:r>
      <w:r w:rsidR="0027635A" w:rsidRPr="00B740B4">
        <w:t>8–20</w:t>
      </w:r>
      <w:r w:rsidR="00301660" w:rsidRPr="00B740B4">
        <w:t>, and some modal sens</w:t>
      </w:r>
      <w:r w:rsidR="0027635A" w:rsidRPr="00B740B4">
        <w:t xml:space="preserve">e (could/might?) is appropriate; </w:t>
      </w:r>
      <w:r w:rsidR="00301660" w:rsidRPr="00B740B4">
        <w:t>cf. 3:15.</w:t>
      </w:r>
    </w:p>
    <w:p w:rsidR="00301660" w:rsidRPr="00B740B4" w:rsidRDefault="002C3A66" w:rsidP="00301660">
      <w:r w:rsidRPr="00B740B4">
        <w:rPr>
          <w:rStyle w:val="fnnum"/>
          <w:color w:val="auto"/>
        </w:rPr>
        <w:t>17</w:t>
      </w:r>
      <w:r w:rsidR="00301660" w:rsidRPr="00B740B4">
        <w:rPr>
          <w:rStyle w:val="fnnum"/>
          <w:color w:val="auto"/>
        </w:rPr>
        <w:t>.a.</w:t>
      </w:r>
      <w:r w:rsidR="00301660" w:rsidRPr="00B740B4">
        <w:t xml:space="preserve"> </w:t>
      </w:r>
      <w:r w:rsidR="00301660" w:rsidRPr="00B740B4">
        <w:rPr>
          <w:rStyle w:val="heb"/>
          <w:rFonts w:ascii="Arial" w:hAnsi="Arial" w:cs="Arial"/>
          <w:color w:val="auto"/>
        </w:rPr>
        <w:t>עִזְקָת</w:t>
      </w:r>
      <w:r w:rsidR="00301660" w:rsidRPr="00B740B4">
        <w:t>; but many</w:t>
      </w:r>
      <w:r w:rsidR="0018520A" w:rsidRPr="0018520A">
        <w:t xml:space="preserve"> medieval</w:t>
      </w:r>
      <w:r w:rsidR="0027635A" w:rsidRPr="00B740B4">
        <w:t xml:space="preserve"> mss</w:t>
      </w:r>
      <w:r w:rsidR="00301660" w:rsidRPr="00B740B4">
        <w:t>, Th point as s</w:t>
      </w:r>
      <w:r w:rsidR="00C83314" w:rsidRPr="00B740B4">
        <w:t>.</w:t>
      </w:r>
      <w:r w:rsidR="00301660" w:rsidRPr="00B740B4">
        <w:t xml:space="preserve"> </w:t>
      </w:r>
      <w:r w:rsidR="00301660" w:rsidRPr="00B740B4">
        <w:rPr>
          <w:rStyle w:val="heb"/>
          <w:rFonts w:ascii="Arial" w:hAnsi="Arial" w:cs="Arial"/>
          <w:color w:val="auto"/>
        </w:rPr>
        <w:t>עִזְקַת</w:t>
      </w:r>
      <w:r w:rsidR="00301660" w:rsidRPr="00B740B4">
        <w:t>.</w:t>
      </w:r>
    </w:p>
    <w:p w:rsidR="00301660" w:rsidRPr="00B740B4" w:rsidRDefault="002C3A66" w:rsidP="00301660">
      <w:r w:rsidRPr="00B740B4">
        <w:rPr>
          <w:rStyle w:val="fnnum"/>
          <w:color w:val="auto"/>
        </w:rPr>
        <w:t>17</w:t>
      </w:r>
      <w:r w:rsidR="00301660" w:rsidRPr="00B740B4">
        <w:rPr>
          <w:rStyle w:val="fnnum"/>
          <w:color w:val="auto"/>
        </w:rPr>
        <w:t>.b.</w:t>
      </w:r>
      <w:r w:rsidR="00301660" w:rsidRPr="00B740B4">
        <w:t xml:space="preserve"> </w:t>
      </w:r>
      <w:r w:rsidR="00301660" w:rsidRPr="00B740B4">
        <w:rPr>
          <w:rStyle w:val="heb"/>
          <w:rFonts w:ascii="Arial" w:hAnsi="Arial" w:cs="Arial"/>
          <w:color w:val="auto"/>
        </w:rPr>
        <w:t>צבו</w:t>
      </w:r>
      <w:r w:rsidR="00301660" w:rsidRPr="00B740B4">
        <w:t xml:space="preserve"> seems to keep its original meaning “purpose” (cf. BDB).</w:t>
      </w:r>
    </w:p>
    <w:p w:rsidR="00301660" w:rsidRPr="00B740B4" w:rsidRDefault="002C3A66" w:rsidP="00301660">
      <w:r w:rsidRPr="00B740B4">
        <w:rPr>
          <w:rStyle w:val="fnnum"/>
          <w:color w:val="auto"/>
        </w:rPr>
        <w:t>18</w:t>
      </w:r>
      <w:r w:rsidR="00301660" w:rsidRPr="00B740B4">
        <w:rPr>
          <w:rStyle w:val="fnnum"/>
          <w:color w:val="auto"/>
        </w:rPr>
        <w:t>.a.</w:t>
      </w:r>
      <w:r w:rsidR="00301660" w:rsidRPr="00B740B4">
        <w:t xml:space="preserve"> Not “fasting” in a religious sense, for which the word is </w:t>
      </w:r>
      <w:r w:rsidR="00301660" w:rsidRPr="00B740B4">
        <w:rPr>
          <w:rStyle w:val="heb"/>
          <w:rFonts w:ascii="Arial" w:hAnsi="Arial" w:cs="Arial"/>
          <w:color w:val="auto"/>
        </w:rPr>
        <w:t>צום</w:t>
      </w:r>
      <w:r w:rsidR="00301660" w:rsidRPr="00B740B4">
        <w:t xml:space="preserve"> not </w:t>
      </w:r>
      <w:r w:rsidR="00301660" w:rsidRPr="00B740B4">
        <w:rPr>
          <w:rStyle w:val="heb"/>
          <w:rFonts w:ascii="Arial" w:hAnsi="Arial" w:cs="Arial"/>
          <w:color w:val="auto"/>
        </w:rPr>
        <w:t>טות</w:t>
      </w:r>
      <w:r w:rsidR="00301660" w:rsidRPr="00B740B4">
        <w:t>.</w:t>
      </w:r>
    </w:p>
    <w:p w:rsidR="00301660" w:rsidRPr="00B740B4" w:rsidRDefault="002C3A66" w:rsidP="00301660">
      <w:r w:rsidRPr="00B740B4">
        <w:rPr>
          <w:rStyle w:val="fnnum"/>
          <w:color w:val="auto"/>
        </w:rPr>
        <w:t>18</w:t>
      </w:r>
      <w:r w:rsidR="00301660" w:rsidRPr="00B740B4">
        <w:rPr>
          <w:rStyle w:val="fnnum"/>
          <w:color w:val="auto"/>
        </w:rPr>
        <w:t>.b.</w:t>
      </w:r>
      <w:r w:rsidR="00301660" w:rsidRPr="00B740B4">
        <w:t xml:space="preserve"> </w:t>
      </w:r>
      <w:r w:rsidR="00301660" w:rsidRPr="00B740B4">
        <w:rPr>
          <w:rStyle w:val="heb"/>
          <w:rFonts w:ascii="Arial" w:hAnsi="Arial" w:cs="Arial"/>
          <w:color w:val="auto"/>
        </w:rPr>
        <w:t>דחון</w:t>
      </w:r>
      <w:r w:rsidR="00301660" w:rsidRPr="00B740B4">
        <w:t xml:space="preserve"> (Eastern Q </w:t>
      </w:r>
      <w:r w:rsidR="00301660" w:rsidRPr="00B740B4">
        <w:rPr>
          <w:rStyle w:val="heb"/>
          <w:rFonts w:ascii="Arial" w:hAnsi="Arial" w:cs="Arial"/>
          <w:color w:val="auto"/>
        </w:rPr>
        <w:t>דהון</w:t>
      </w:r>
      <w:r w:rsidR="00301660" w:rsidRPr="00B740B4">
        <w:t xml:space="preserve">) is a puzzle. Ps-Saadia understands it to mean “girls,” perhaps relating it to </w:t>
      </w:r>
      <w:r w:rsidR="00301660" w:rsidRPr="00B740B4">
        <w:rPr>
          <w:rStyle w:val="heb"/>
          <w:rFonts w:ascii="Arial" w:hAnsi="Arial" w:cs="Arial"/>
          <w:color w:val="auto"/>
        </w:rPr>
        <w:t>לחנה</w:t>
      </w:r>
      <w:r w:rsidR="00C83314" w:rsidRPr="00B740B4">
        <w:t xml:space="preserve"> (cf. 5:2; Marti emends</w:t>
      </w:r>
      <w:r w:rsidR="00301660" w:rsidRPr="00B740B4">
        <w:t xml:space="preserve"> to </w:t>
      </w:r>
      <w:r w:rsidR="00301660" w:rsidRPr="00B740B4">
        <w:rPr>
          <w:rStyle w:val="heb"/>
          <w:rFonts w:ascii="Arial" w:hAnsi="Arial" w:cs="Arial"/>
          <w:color w:val="auto"/>
        </w:rPr>
        <w:t>לחנן</w:t>
      </w:r>
      <w:r w:rsidR="00301660" w:rsidRPr="00B740B4">
        <w:t xml:space="preserve">). This meaning has been supported by connecting the word with the root </w:t>
      </w:r>
      <w:r w:rsidR="00301660" w:rsidRPr="00B740B4">
        <w:rPr>
          <w:rStyle w:val="heb"/>
          <w:rFonts w:ascii="Arial" w:hAnsi="Arial" w:cs="Arial"/>
          <w:color w:val="auto"/>
        </w:rPr>
        <w:t>דחה</w:t>
      </w:r>
      <w:r w:rsidR="00301660" w:rsidRPr="00B740B4">
        <w:t xml:space="preserve"> “push (down)” which in Arabic eventually produces a noun meaning “woman” (hence </w:t>
      </w:r>
      <w:r w:rsidR="00301660" w:rsidRPr="00B740B4">
        <w:rPr>
          <w:rStyle w:val="sm"/>
          <w:color w:val="auto"/>
          <w:sz w:val="22"/>
          <w:szCs w:val="22"/>
        </w:rPr>
        <w:t>neb</w:t>
      </w:r>
      <w:r w:rsidR="00301660" w:rsidRPr="00B740B4">
        <w:t>?). Ha</w:t>
      </w:r>
      <w:r w:rsidR="00C83314" w:rsidRPr="00B740B4">
        <w:t>phel</w:t>
      </w:r>
      <w:r w:rsidR="00301660" w:rsidRPr="00B740B4">
        <w:t xml:space="preserve"> </w:t>
      </w:r>
      <w:r w:rsidR="00301660" w:rsidRPr="00B740B4">
        <w:rPr>
          <w:rStyle w:val="heb"/>
          <w:rFonts w:ascii="Arial" w:hAnsi="Arial" w:cs="Arial"/>
          <w:color w:val="auto"/>
        </w:rPr>
        <w:t>הנעל</w:t>
      </w:r>
      <w:r w:rsidR="00301660" w:rsidRPr="00B740B4">
        <w:t xml:space="preserve"> suggests a personal obj</w:t>
      </w:r>
      <w:r w:rsidR="00C83314" w:rsidRPr="00B740B4">
        <w:t>ect</w:t>
      </w:r>
      <w:r w:rsidR="00301660" w:rsidRPr="00B740B4">
        <w:t xml:space="preserve"> (Plöger). But this tertiary sense of </w:t>
      </w:r>
      <w:r w:rsidR="00301660" w:rsidRPr="00B740B4">
        <w:rPr>
          <w:rStyle w:val="heb"/>
          <w:rFonts w:ascii="Arial" w:hAnsi="Arial" w:cs="Arial"/>
          <w:color w:val="auto"/>
        </w:rPr>
        <w:t>דחה</w:t>
      </w:r>
      <w:r w:rsidR="00301660" w:rsidRPr="00B740B4">
        <w:t xml:space="preserve"> in Arabic</w:t>
      </w:r>
      <w:r w:rsidR="00C83314" w:rsidRPr="00B740B4">
        <w:t xml:space="preserve"> is not otherwise known in Aramaic or Hebrew (Bev</w:t>
      </w:r>
      <w:r w:rsidR="00301660" w:rsidRPr="00B740B4">
        <w:t xml:space="preserve">an). Ibn Ezra takes it in another sense derived from </w:t>
      </w:r>
      <w:r w:rsidR="00301660" w:rsidRPr="00B740B4">
        <w:rPr>
          <w:rStyle w:val="heb"/>
          <w:rFonts w:ascii="Arial" w:hAnsi="Arial" w:cs="Arial"/>
          <w:color w:val="auto"/>
        </w:rPr>
        <w:t>דחה</w:t>
      </w:r>
      <w:r w:rsidR="00301660" w:rsidRPr="00B740B4">
        <w:t xml:space="preserve">, “music” (cf. </w:t>
      </w:r>
      <w:r w:rsidR="00301660" w:rsidRPr="00B740B4">
        <w:rPr>
          <w:rStyle w:val="sm"/>
          <w:color w:val="auto"/>
          <w:sz w:val="22"/>
          <w:szCs w:val="22"/>
        </w:rPr>
        <w:t>rv</w:t>
      </w:r>
      <w:r w:rsidR="00C83314" w:rsidRPr="00B740B4">
        <w:t xml:space="preserve">), but this </w:t>
      </w:r>
      <w:r w:rsidR="00301660" w:rsidRPr="00B740B4">
        <w:t xml:space="preserve">also </w:t>
      </w:r>
      <w:r w:rsidR="00C83314" w:rsidRPr="00B740B4">
        <w:t xml:space="preserve">seems </w:t>
      </w:r>
      <w:r w:rsidR="00301660" w:rsidRPr="00B740B4">
        <w:t xml:space="preserve">forced (Driver), though it is said that at night 300 concubines were available to watch over the king with music and song by lamplight (see Cook, </w:t>
      </w:r>
      <w:r w:rsidR="00301660" w:rsidRPr="00B740B4">
        <w:rPr>
          <w:rStyle w:val="i"/>
          <w:color w:val="auto"/>
          <w:szCs w:val="22"/>
        </w:rPr>
        <w:t>Persian Empire</w:t>
      </w:r>
      <w:r w:rsidR="00301660" w:rsidRPr="00B740B4">
        <w:t>, 136): either of these meanings fits that picture. Related words denote revelry, feasting, and feast-tables (</w:t>
      </w:r>
      <w:r w:rsidR="00301660" w:rsidRPr="00B740B4">
        <w:rPr>
          <w:rStyle w:val="i"/>
          <w:color w:val="auto"/>
          <w:szCs w:val="22"/>
        </w:rPr>
        <w:t>DTT</w:t>
      </w:r>
      <w:r w:rsidR="007F401B">
        <w:rPr>
          <w:rStyle w:val="i"/>
          <w:i w:val="0"/>
          <w:color w:val="auto"/>
          <w:szCs w:val="22"/>
        </w:rPr>
        <w:t>; cf. Saadia</w:t>
      </w:r>
      <w:r w:rsidR="00301660" w:rsidRPr="00B740B4">
        <w:t xml:space="preserve">). Th, </w:t>
      </w:r>
      <w:r w:rsidR="00EB73E0" w:rsidRPr="00B740B4">
        <w:t>Syr</w:t>
      </w:r>
      <w:r w:rsidR="00301660" w:rsidRPr="00B740B4">
        <w:t xml:space="preserve"> understand it to mean food; the cl</w:t>
      </w:r>
      <w:r w:rsidR="00C83314" w:rsidRPr="00B740B4">
        <w:t>ause</w:t>
      </w:r>
      <w:r w:rsidR="00301660" w:rsidRPr="00B740B4">
        <w:t xml:space="preserve"> thus expands on “spent the night without food.” The Elamite root </w:t>
      </w:r>
      <w:r w:rsidR="00301660" w:rsidRPr="00B740B4">
        <w:rPr>
          <w:rStyle w:val="i"/>
          <w:color w:val="auto"/>
          <w:szCs w:val="22"/>
        </w:rPr>
        <w:t>dahyu</w:t>
      </w:r>
      <w:r w:rsidR="00301660" w:rsidRPr="00B740B4">
        <w:t xml:space="preserve"> </w:t>
      </w:r>
      <w:r w:rsidR="00C83314" w:rsidRPr="00B740B4">
        <w:t xml:space="preserve">might suggest “servant” (cf. </w:t>
      </w:r>
      <w:r w:rsidR="00301660" w:rsidRPr="00B740B4">
        <w:t xml:space="preserve">Gershevitch, </w:t>
      </w:r>
      <w:r w:rsidR="00C83314" w:rsidRPr="00B740B4">
        <w:t>“Amber at Persepolis,”</w:t>
      </w:r>
      <w:r w:rsidR="00301660" w:rsidRPr="00B740B4">
        <w:t xml:space="preserve">180); </w:t>
      </w:r>
      <w:r w:rsidR="00301660" w:rsidRPr="004A3897">
        <w:rPr>
          <w:rStyle w:val="i"/>
          <w:i w:val="0"/>
          <w:color w:val="auto"/>
          <w:szCs w:val="22"/>
        </w:rPr>
        <w:t>OP</w:t>
      </w:r>
      <w:r w:rsidR="00301660" w:rsidRPr="00B740B4">
        <w:rPr>
          <w:rStyle w:val="i"/>
          <w:color w:val="auto"/>
          <w:szCs w:val="22"/>
        </w:rPr>
        <w:t xml:space="preserve"> dahyav</w:t>
      </w:r>
      <w:r w:rsidR="00301660" w:rsidRPr="00B740B4">
        <w:t xml:space="preserve"> “land” could suggest “countrymen” or “vassals” (cf. Mayer, “Iranischer Beitrag,” 129–30).</w:t>
      </w:r>
      <w:r w:rsidR="00A779C6">
        <w:t xml:space="preserve"> </w:t>
      </w:r>
    </w:p>
    <w:p w:rsidR="00301660" w:rsidRPr="00B740B4" w:rsidRDefault="002C3A66" w:rsidP="00301660">
      <w:r w:rsidRPr="00B740B4">
        <w:rPr>
          <w:rStyle w:val="fnnum"/>
          <w:color w:val="auto"/>
        </w:rPr>
        <w:t>19</w:t>
      </w:r>
      <w:r w:rsidR="00301660" w:rsidRPr="00B740B4">
        <w:rPr>
          <w:rStyle w:val="fnnum"/>
          <w:color w:val="auto"/>
        </w:rPr>
        <w:t>.a-a.</w:t>
      </w:r>
      <w:r w:rsidR="00301660" w:rsidRPr="00B740B4">
        <w:t xml:space="preserve"> Perhaps one of these expressions is a gl</w:t>
      </w:r>
      <w:r w:rsidR="003B41D2" w:rsidRPr="00B740B4">
        <w:t>oss</w:t>
      </w:r>
      <w:r w:rsidR="00301660" w:rsidRPr="00B740B4">
        <w:t xml:space="preserve">, though the second, </w:t>
      </w:r>
      <w:r w:rsidR="00301660" w:rsidRPr="00B740B4">
        <w:rPr>
          <w:rStyle w:val="heb"/>
          <w:rFonts w:ascii="Arial" w:hAnsi="Arial" w:cs="Arial"/>
          <w:color w:val="auto"/>
        </w:rPr>
        <w:t>בנגהא</w:t>
      </w:r>
      <w:r w:rsidR="00301660" w:rsidRPr="00B740B4">
        <w:t xml:space="preserve">, is slightly more specific than the first, </w:t>
      </w:r>
      <w:r w:rsidR="00301660" w:rsidRPr="00B740B4">
        <w:rPr>
          <w:rStyle w:val="heb"/>
          <w:rFonts w:ascii="Arial" w:hAnsi="Arial" w:cs="Arial"/>
          <w:color w:val="auto"/>
        </w:rPr>
        <w:t>בשפרפרא</w:t>
      </w:r>
      <w:r w:rsidR="00301660" w:rsidRPr="00B740B4">
        <w:t>.</w:t>
      </w:r>
      <w:r w:rsidR="00FE7AAE">
        <w:t xml:space="preserve"> See further Paul, “Daniel 6:20.”</w:t>
      </w:r>
    </w:p>
    <w:p w:rsidR="00301660" w:rsidRPr="00B740B4" w:rsidRDefault="002C3A66" w:rsidP="00301660">
      <w:r w:rsidRPr="00B740B4">
        <w:rPr>
          <w:rStyle w:val="fnnum"/>
          <w:color w:val="auto"/>
        </w:rPr>
        <w:t>19</w:t>
      </w:r>
      <w:r w:rsidR="00301660" w:rsidRPr="00B740B4">
        <w:rPr>
          <w:rStyle w:val="fnnum"/>
          <w:color w:val="auto"/>
        </w:rPr>
        <w:t>.b.</w:t>
      </w:r>
      <w:r w:rsidR="00301660" w:rsidRPr="00B740B4">
        <w:t xml:space="preserve"> </w:t>
      </w:r>
      <w:r w:rsidR="00301660" w:rsidRPr="00B740B4">
        <w:rPr>
          <w:rStyle w:val="heb"/>
          <w:rFonts w:ascii="Arial" w:hAnsi="Arial" w:cs="Arial"/>
          <w:color w:val="auto"/>
        </w:rPr>
        <w:t>יקום</w:t>
      </w:r>
      <w:r w:rsidR="003B41D2" w:rsidRPr="00B740B4">
        <w:t xml:space="preserve"> is imperfect</w:t>
      </w:r>
      <w:r w:rsidR="00301660" w:rsidRPr="00B740B4">
        <w:t xml:space="preserve">, perhaps as following </w:t>
      </w:r>
      <w:r w:rsidR="00301660" w:rsidRPr="00B740B4">
        <w:rPr>
          <w:rStyle w:val="heb"/>
          <w:rFonts w:ascii="Arial" w:hAnsi="Arial" w:cs="Arial"/>
          <w:color w:val="auto"/>
        </w:rPr>
        <w:t>באדין</w:t>
      </w:r>
      <w:r w:rsidR="00301660" w:rsidRPr="00B740B4">
        <w:t xml:space="preserve"> (cf. BH usage after </w:t>
      </w:r>
      <w:r w:rsidR="00301660" w:rsidRPr="00B740B4">
        <w:rPr>
          <w:rStyle w:val="heb"/>
          <w:rFonts w:ascii="Arial" w:hAnsi="Arial" w:cs="Arial"/>
          <w:color w:val="auto"/>
        </w:rPr>
        <w:t>אז</w:t>
      </w:r>
      <w:r w:rsidR="00301660" w:rsidRPr="00B740B4">
        <w:t>) (Montgomery); but the perf</w:t>
      </w:r>
      <w:r w:rsidR="003B41D2" w:rsidRPr="00B740B4">
        <w:t>ect</w:t>
      </w:r>
      <w:r w:rsidR="00301660" w:rsidRPr="00B740B4">
        <w:t xml:space="preserve"> is used else</w:t>
      </w:r>
      <w:r w:rsidR="003B41D2" w:rsidRPr="00B740B4">
        <w:t>where, and more likely the imperfect</w:t>
      </w:r>
      <w:r w:rsidR="00301660" w:rsidRPr="00B740B4">
        <w:t xml:space="preserve"> is used to throw emphasis on the main v</w:t>
      </w:r>
      <w:r w:rsidR="003B41D2" w:rsidRPr="00B740B4">
        <w:t>er</w:t>
      </w:r>
      <w:r w:rsidR="00301660" w:rsidRPr="00B740B4">
        <w:t xml:space="preserve">b </w:t>
      </w:r>
      <w:r w:rsidR="00301660" w:rsidRPr="00B740B4">
        <w:rPr>
          <w:rStyle w:val="heb"/>
          <w:rFonts w:ascii="Arial" w:hAnsi="Arial" w:cs="Arial"/>
          <w:color w:val="auto"/>
        </w:rPr>
        <w:t>אזל</w:t>
      </w:r>
      <w:r w:rsidR="00301660" w:rsidRPr="00B740B4">
        <w:t xml:space="preserve"> (BL 78q).</w:t>
      </w:r>
    </w:p>
    <w:p w:rsidR="00301660" w:rsidRPr="00B740B4" w:rsidRDefault="002C3A66" w:rsidP="00301660">
      <w:r w:rsidRPr="00B740B4">
        <w:rPr>
          <w:rStyle w:val="fnnum"/>
          <w:color w:val="auto"/>
        </w:rPr>
        <w:t>19</w:t>
      </w:r>
      <w:r w:rsidR="00301660" w:rsidRPr="00B740B4">
        <w:rPr>
          <w:rStyle w:val="fnnum"/>
          <w:color w:val="auto"/>
        </w:rPr>
        <w:t>.c.</w:t>
      </w:r>
      <w:r w:rsidR="00301660" w:rsidRPr="00B740B4">
        <w:t xml:space="preserve"> Not merely “in haste” (</w:t>
      </w:r>
      <w:r w:rsidR="00301660" w:rsidRPr="00B740B4">
        <w:rPr>
          <w:rStyle w:val="sm"/>
          <w:color w:val="auto"/>
          <w:sz w:val="22"/>
          <w:szCs w:val="22"/>
        </w:rPr>
        <w:t>rsv</w:t>
      </w:r>
      <w:r w:rsidR="00301660" w:rsidRPr="00B740B4">
        <w:t>): see n. 2:25.a.</w:t>
      </w:r>
    </w:p>
    <w:p w:rsidR="00301660" w:rsidRPr="00B740B4" w:rsidRDefault="002C3A66" w:rsidP="00301660">
      <w:r w:rsidRPr="00B740B4">
        <w:rPr>
          <w:rStyle w:val="fnnum"/>
          <w:color w:val="auto"/>
        </w:rPr>
        <w:t>21</w:t>
      </w:r>
      <w:r w:rsidR="00301660" w:rsidRPr="00B740B4">
        <w:rPr>
          <w:rStyle w:val="fnnum"/>
          <w:color w:val="auto"/>
        </w:rPr>
        <w:t>.a.</w:t>
      </w:r>
      <w:r w:rsidR="00301660" w:rsidRPr="00B740B4">
        <w:t xml:space="preserve"> Not “with,” as if suggesting a conversation; the word for “with” is used for speaking “to” in Syriac (Bevan).</w:t>
      </w:r>
    </w:p>
    <w:p w:rsidR="00301660" w:rsidRPr="00B740B4" w:rsidRDefault="002C3A66" w:rsidP="00301660">
      <w:r w:rsidRPr="00B740B4">
        <w:rPr>
          <w:rStyle w:val="fnnum"/>
          <w:color w:val="auto"/>
        </w:rPr>
        <w:t>22</w:t>
      </w:r>
      <w:r w:rsidR="00301660" w:rsidRPr="00B740B4">
        <w:rPr>
          <w:rStyle w:val="fnnum"/>
          <w:color w:val="auto"/>
        </w:rPr>
        <w:t>.a-a.</w:t>
      </w:r>
      <w:r w:rsidR="00301660" w:rsidRPr="00B740B4">
        <w:t xml:space="preserve"> Lit., “innocence was found for me”: </w:t>
      </w:r>
      <w:r w:rsidR="00301660" w:rsidRPr="00B740B4">
        <w:rPr>
          <w:rStyle w:val="heb"/>
          <w:rFonts w:ascii="Arial" w:hAnsi="Arial" w:cs="Arial"/>
          <w:color w:val="auto"/>
        </w:rPr>
        <w:t>זכו</w:t>
      </w:r>
      <w:r w:rsidR="00301660" w:rsidRPr="00B740B4">
        <w:t xml:space="preserve"> comes to mean “deserve” and thus </w:t>
      </w:r>
      <w:r w:rsidR="00DC78A5">
        <w:t xml:space="preserve">to imply </w:t>
      </w:r>
      <w:r w:rsidR="00301660" w:rsidRPr="00B740B4">
        <w:t>“blessing/success” (</w:t>
      </w:r>
      <w:r w:rsidR="00301660" w:rsidRPr="00B740B4">
        <w:rPr>
          <w:rStyle w:val="i"/>
          <w:color w:val="auto"/>
          <w:szCs w:val="22"/>
        </w:rPr>
        <w:t>DTT</w:t>
      </w:r>
      <w:r w:rsidR="00301660" w:rsidRPr="00B740B4">
        <w:t xml:space="preserve">, cf. </w:t>
      </w:r>
      <w:r w:rsidR="00301660" w:rsidRPr="00B740B4">
        <w:rPr>
          <w:rStyle w:val="sm"/>
          <w:color w:val="auto"/>
          <w:sz w:val="22"/>
          <w:szCs w:val="22"/>
        </w:rPr>
        <w:t>neb</w:t>
      </w:r>
      <w:r w:rsidR="00301660" w:rsidRPr="00B740B4">
        <w:t>mg).</w:t>
      </w:r>
    </w:p>
    <w:p w:rsidR="00301660" w:rsidRPr="00B740B4" w:rsidRDefault="002C3A66" w:rsidP="00301660">
      <w:r w:rsidRPr="00B740B4">
        <w:rPr>
          <w:rStyle w:val="fnnum"/>
          <w:color w:val="auto"/>
        </w:rPr>
        <w:t>23</w:t>
      </w:r>
      <w:r w:rsidR="00301660" w:rsidRPr="00B740B4">
        <w:rPr>
          <w:rStyle w:val="fnnum"/>
          <w:color w:val="auto"/>
        </w:rPr>
        <w:t>.a.</w:t>
      </w:r>
      <w:r w:rsidR="00301660" w:rsidRPr="00B740B4">
        <w:t xml:space="preserve"> </w:t>
      </w:r>
      <w:r w:rsidR="00301660" w:rsidRPr="00B740B4">
        <w:rPr>
          <w:rStyle w:val="heb"/>
          <w:rFonts w:ascii="Arial" w:hAnsi="Arial" w:cs="Arial"/>
          <w:color w:val="auto"/>
        </w:rPr>
        <w:t>הימן</w:t>
      </w:r>
      <w:r w:rsidR="00301660" w:rsidRPr="00B740B4">
        <w:t>: practically “had stood firm in his confidence”</w:t>
      </w:r>
      <w:r w:rsidR="00AB6042" w:rsidRPr="00B740B4">
        <w:t xml:space="preserve"> (cf. Wildberger, “Glauben”</w:t>
      </w:r>
      <w:r w:rsidR="00301660" w:rsidRPr="00B740B4">
        <w:t xml:space="preserve">; </w:t>
      </w:r>
      <w:r w:rsidR="009B2E5A">
        <w:t xml:space="preserve">A. Jepsen in </w:t>
      </w:r>
      <w:r w:rsidR="00301660" w:rsidRPr="00B740B4">
        <w:rPr>
          <w:rStyle w:val="i"/>
          <w:color w:val="auto"/>
          <w:szCs w:val="22"/>
        </w:rPr>
        <w:t>TWAT</w:t>
      </w:r>
      <w:r w:rsidR="00301660" w:rsidRPr="00B740B4">
        <w:t xml:space="preserve"> </w:t>
      </w:r>
      <w:r w:rsidR="009B2E5A">
        <w:t xml:space="preserve">on </w:t>
      </w:r>
      <w:r w:rsidR="00301660" w:rsidRPr="00B740B4">
        <w:rPr>
          <w:rStyle w:val="heb"/>
          <w:rFonts w:ascii="Arial" w:hAnsi="Arial" w:cs="Arial"/>
          <w:color w:val="auto"/>
        </w:rPr>
        <w:t>אמן</w:t>
      </w:r>
      <w:r w:rsidR="00301660" w:rsidRPr="00B740B4">
        <w:t>).</w:t>
      </w:r>
    </w:p>
    <w:p w:rsidR="00301660" w:rsidRPr="00B740B4" w:rsidRDefault="002C3A66" w:rsidP="00301660">
      <w:r w:rsidRPr="00B740B4">
        <w:rPr>
          <w:rStyle w:val="fnnum"/>
          <w:color w:val="auto"/>
        </w:rPr>
        <w:t>24</w:t>
      </w:r>
      <w:r w:rsidR="00301660" w:rsidRPr="00B740B4">
        <w:rPr>
          <w:rStyle w:val="fnnum"/>
          <w:color w:val="auto"/>
        </w:rPr>
        <w:t>.a.</w:t>
      </w:r>
      <w:r w:rsidR="00AB6042" w:rsidRPr="00B740B4">
        <w:t xml:space="preserve"> See n. 16</w:t>
      </w:r>
      <w:r w:rsidR="00536FF6">
        <w:t>.</w:t>
      </w:r>
      <w:r w:rsidR="00AB6042" w:rsidRPr="00B740B4">
        <w:t>a.</w:t>
      </w:r>
    </w:p>
    <w:p w:rsidR="00301660" w:rsidRPr="00B740B4" w:rsidRDefault="002C3A66" w:rsidP="00301660">
      <w:r w:rsidRPr="00B740B4">
        <w:rPr>
          <w:rStyle w:val="fnnum"/>
          <w:color w:val="auto"/>
        </w:rPr>
        <w:t>24</w:t>
      </w:r>
      <w:r w:rsidR="00301660" w:rsidRPr="00B740B4">
        <w:rPr>
          <w:rStyle w:val="fnnum"/>
          <w:color w:val="auto"/>
        </w:rPr>
        <w:t>.b.</w:t>
      </w:r>
      <w:r w:rsidR="00301660" w:rsidRPr="00B740B4">
        <w:t xml:space="preserve"> </w:t>
      </w:r>
      <w:r w:rsidR="00301660" w:rsidRPr="00B740B4">
        <w:rPr>
          <w:rStyle w:val="heb"/>
          <w:rFonts w:ascii="Arial" w:hAnsi="Arial" w:cs="Arial"/>
          <w:color w:val="auto"/>
        </w:rPr>
        <w:t>די</w:t>
      </w:r>
      <w:r w:rsidR="00AB6042" w:rsidRPr="00B740B4">
        <w:rPr>
          <w:rStyle w:val="heb"/>
          <w:rFonts w:ascii="Arial" w:hAnsi="Arial" w:cs="Arial"/>
          <w:color w:val="auto"/>
        </w:rPr>
        <w:t xml:space="preserve"> </w:t>
      </w:r>
      <w:r w:rsidR="00AB6042" w:rsidRPr="00B740B4">
        <w:rPr>
          <w:rFonts w:ascii="Arial" w:hAnsi="Arial" w:cs="Arial"/>
        </w:rPr>
        <w:t>עד</w:t>
      </w:r>
      <w:r w:rsidR="00301660" w:rsidRPr="00B740B4">
        <w:t>: see BL 79i.</w:t>
      </w:r>
    </w:p>
    <w:p w:rsidR="00301660" w:rsidRPr="00B740B4" w:rsidRDefault="002C3A66" w:rsidP="00301660">
      <w:r w:rsidRPr="00B740B4">
        <w:rPr>
          <w:rStyle w:val="fnnum"/>
          <w:color w:val="auto"/>
        </w:rPr>
        <w:t>24</w:t>
      </w:r>
      <w:r w:rsidR="00301660" w:rsidRPr="00B740B4">
        <w:rPr>
          <w:rStyle w:val="fnnum"/>
          <w:color w:val="auto"/>
        </w:rPr>
        <w:t>.c-c.</w:t>
      </w:r>
      <w:r w:rsidR="00301660" w:rsidRPr="00B740B4">
        <w:t xml:space="preserve"> Hartman</w:t>
      </w:r>
      <w:r w:rsidR="00AB6042" w:rsidRPr="00B740B4">
        <w:t>/Di Lella’s translation</w:t>
      </w:r>
      <w:r w:rsidR="00301660" w:rsidRPr="00B740B4">
        <w:t xml:space="preserve"> of</w:t>
      </w:r>
      <w:r w:rsidR="00AB6042" w:rsidRPr="00B740B4">
        <w:t xml:space="preserve"> </w:t>
      </w:r>
      <w:r w:rsidR="00AB6042" w:rsidRPr="00B740B4">
        <w:rPr>
          <w:rFonts w:ascii="Arial" w:hAnsi="Arial" w:cs="Arial"/>
        </w:rPr>
        <w:t>הדקו</w:t>
      </w:r>
      <w:r w:rsidR="00301660" w:rsidRPr="00B740B4">
        <w:t xml:space="preserve"> </w:t>
      </w:r>
      <w:r w:rsidR="00301660" w:rsidRPr="00B740B4">
        <w:rPr>
          <w:rStyle w:val="heb"/>
          <w:rFonts w:ascii="Arial" w:hAnsi="Arial" w:cs="Arial"/>
          <w:color w:val="auto"/>
        </w:rPr>
        <w:t>גרמיהון</w:t>
      </w:r>
      <w:r w:rsidR="00301660" w:rsidRPr="00B740B4">
        <w:rPr>
          <w:rStyle w:val="heb"/>
          <w:color w:val="auto"/>
        </w:rPr>
        <w:t xml:space="preserve"> </w:t>
      </w:r>
      <w:r w:rsidR="00AB6042" w:rsidRPr="00B740B4">
        <w:rPr>
          <w:rFonts w:ascii="Arial" w:hAnsi="Arial" w:cs="Arial"/>
        </w:rPr>
        <w:t>כל</w:t>
      </w:r>
      <w:r w:rsidR="00AB6042" w:rsidRPr="00B740B4">
        <w:t xml:space="preserve"> “smashed </w:t>
      </w:r>
      <w:r w:rsidR="00301660" w:rsidRPr="00B740B4">
        <w:t xml:space="preserve">all their bones.” Cf. the use of both </w:t>
      </w:r>
      <w:r w:rsidR="00301660" w:rsidRPr="00B740B4">
        <w:rPr>
          <w:rStyle w:val="heb"/>
          <w:rFonts w:ascii="Arial" w:hAnsi="Arial" w:cs="Arial"/>
          <w:color w:val="auto"/>
        </w:rPr>
        <w:t>גרם</w:t>
      </w:r>
      <w:r w:rsidR="00301660" w:rsidRPr="00B740B4">
        <w:t xml:space="preserve"> and </w:t>
      </w:r>
      <w:r w:rsidR="00301660" w:rsidRPr="00B740B4">
        <w:rPr>
          <w:rStyle w:val="heb"/>
          <w:rFonts w:ascii="Arial" w:hAnsi="Arial" w:cs="Arial"/>
          <w:color w:val="auto"/>
        </w:rPr>
        <w:t>עצם</w:t>
      </w:r>
      <w:r w:rsidR="00DC78A5">
        <w:t xml:space="preserve"> in BH (see BDB). </w:t>
      </w:r>
      <w:r w:rsidR="00301660" w:rsidRPr="00B740B4">
        <w:rPr>
          <w:rStyle w:val="sm"/>
          <w:color w:val="auto"/>
          <w:sz w:val="22"/>
          <w:szCs w:val="22"/>
        </w:rPr>
        <w:t>neb</w:t>
      </w:r>
      <w:r w:rsidR="00301660" w:rsidRPr="00B740B4">
        <w:t xml:space="preserve"> “crunched them up, bones and all” highlights the piquant spirit of this story.</w:t>
      </w:r>
    </w:p>
    <w:p w:rsidR="00301660" w:rsidRPr="00B740B4" w:rsidRDefault="002C3A66" w:rsidP="00301660">
      <w:r w:rsidRPr="00B740B4">
        <w:rPr>
          <w:rStyle w:val="fnnum"/>
          <w:color w:val="auto"/>
        </w:rPr>
        <w:t>25</w:t>
      </w:r>
      <w:r w:rsidR="00301660" w:rsidRPr="00B740B4">
        <w:rPr>
          <w:rStyle w:val="fnnum"/>
          <w:color w:val="auto"/>
        </w:rPr>
        <w:t>.a.</w:t>
      </w:r>
      <w:r w:rsidR="00DC78A5">
        <w:t xml:space="preserve"> I follow </w:t>
      </w:r>
      <w:r w:rsidR="00301660" w:rsidRPr="00B740B4">
        <w:t xml:space="preserve">Bentzen </w:t>
      </w:r>
      <w:r w:rsidR="00DC78A5">
        <w:t>in treating</w:t>
      </w:r>
      <w:r w:rsidR="00301660" w:rsidRPr="00B740B4">
        <w:t xml:space="preserve"> the whole </w:t>
      </w:r>
      <w:r w:rsidR="00536FF6">
        <w:t>of v 26</w:t>
      </w:r>
      <w:r w:rsidR="00DC78A5">
        <w:t xml:space="preserve"> as par</w:t>
      </w:r>
      <w:r w:rsidR="00536FF6">
        <w:t>t of Darius’s letter, after the</w:t>
      </w:r>
      <w:r w:rsidR="00301660" w:rsidRPr="00B740B4">
        <w:t xml:space="preserve"> editorial </w:t>
      </w:r>
      <w:r w:rsidR="00301660" w:rsidRPr="00B740B4">
        <w:rPr>
          <w:rStyle w:val="heb"/>
          <w:rFonts w:ascii="Arial" w:hAnsi="Arial" w:cs="Arial"/>
          <w:color w:val="auto"/>
        </w:rPr>
        <w:t>כתב</w:t>
      </w:r>
      <w:r w:rsidR="00301660" w:rsidRPr="00B740B4">
        <w:t xml:space="preserve"> . . . </w:t>
      </w:r>
      <w:r w:rsidR="00301660" w:rsidRPr="00B740B4">
        <w:rPr>
          <w:rStyle w:val="heb"/>
          <w:rFonts w:ascii="Arial" w:hAnsi="Arial" w:cs="Arial"/>
          <w:color w:val="auto"/>
        </w:rPr>
        <w:t>באדין</w:t>
      </w:r>
      <w:r w:rsidR="00DC78A5">
        <w:t xml:space="preserve"> ([then] . . . wrote; the phraseology following this introduction </w:t>
      </w:r>
      <w:r w:rsidR="00536FF6">
        <w:t xml:space="preserve"> is identical with that of</w:t>
      </w:r>
      <w:r w:rsidR="00AB6042" w:rsidRPr="00B740B4">
        <w:t xml:space="preserve"> </w:t>
      </w:r>
      <w:r w:rsidR="00DC78A5">
        <w:t>N</w:t>
      </w:r>
      <w:r w:rsidR="00536FF6">
        <w:t>ebuchadnezzzar</w:t>
      </w:r>
      <w:r w:rsidR="00DC78A5">
        <w:t xml:space="preserve">’s words at the </w:t>
      </w:r>
      <w:r w:rsidR="00AB6042" w:rsidRPr="00B740B4">
        <w:t xml:space="preserve">opening of the letter in </w:t>
      </w:r>
      <w:r w:rsidR="00536FF6">
        <w:t>v. 1</w:t>
      </w:r>
      <w:r w:rsidR="00301660" w:rsidRPr="00B740B4">
        <w:t>.</w:t>
      </w:r>
    </w:p>
    <w:p w:rsidR="00301660" w:rsidRPr="00B740B4" w:rsidRDefault="002C3A66" w:rsidP="00301660">
      <w:r w:rsidRPr="00B740B4">
        <w:rPr>
          <w:rStyle w:val="fnnum"/>
          <w:color w:val="auto"/>
        </w:rPr>
        <w:t>25</w:t>
      </w:r>
      <w:r w:rsidR="00301660" w:rsidRPr="00B740B4">
        <w:rPr>
          <w:rStyle w:val="fnnum"/>
          <w:color w:val="auto"/>
        </w:rPr>
        <w:t>.b.</w:t>
      </w:r>
      <w:r w:rsidR="00301660" w:rsidRPr="00B740B4">
        <w:t xml:space="preserve"> Wilson (</w:t>
      </w:r>
      <w:r w:rsidR="00AB6042" w:rsidRPr="00B740B4">
        <w:rPr>
          <w:rStyle w:val="i"/>
          <w:color w:val="auto"/>
          <w:szCs w:val="22"/>
        </w:rPr>
        <w:t>“</w:t>
      </w:r>
      <w:r w:rsidR="00AB6042" w:rsidRPr="00B740B4">
        <w:rPr>
          <w:rStyle w:val="i"/>
          <w:i w:val="0"/>
          <w:color w:val="auto"/>
          <w:szCs w:val="22"/>
        </w:rPr>
        <w:t>Darius the Mede</w:t>
      </w:r>
      <w:r w:rsidR="00AB6042" w:rsidRPr="00B740B4">
        <w:rPr>
          <w:rStyle w:val="i"/>
          <w:color w:val="auto"/>
          <w:szCs w:val="22"/>
        </w:rPr>
        <w:t>,”</w:t>
      </w:r>
      <w:r w:rsidR="00301660" w:rsidRPr="00B740B4">
        <w:t xml:space="preserve"> 190) and Whitcomb (</w:t>
      </w:r>
      <w:r w:rsidR="00301660" w:rsidRPr="00B740B4">
        <w:rPr>
          <w:rStyle w:val="i"/>
          <w:color w:val="auto"/>
          <w:szCs w:val="22"/>
        </w:rPr>
        <w:t>Darius</w:t>
      </w:r>
      <w:r w:rsidR="00AB6042" w:rsidRPr="00B740B4">
        <w:rPr>
          <w:rStyle w:val="i"/>
          <w:color w:val="auto"/>
          <w:szCs w:val="22"/>
        </w:rPr>
        <w:t xml:space="preserve"> the Mede</w:t>
      </w:r>
      <w:r w:rsidR="00AB6042" w:rsidRPr="00B740B4">
        <w:t>, 38–39) translate</w:t>
      </w:r>
      <w:r w:rsidR="00301660" w:rsidRPr="00B740B4">
        <w:t xml:space="preserve"> </w:t>
      </w:r>
      <w:r w:rsidR="00301660" w:rsidRPr="00B740B4">
        <w:rPr>
          <w:rStyle w:val="heb"/>
          <w:rFonts w:ascii="Arial" w:hAnsi="Arial" w:cs="Arial"/>
          <w:color w:val="auto"/>
        </w:rPr>
        <w:t>ארעא</w:t>
      </w:r>
      <w:r w:rsidR="00301660" w:rsidRPr="00B740B4">
        <w:t xml:space="preserve"> “land” and refer it to Babylonia, over which a ruler of Babylon under Cyrus could be reckoned to rule (see </w:t>
      </w:r>
      <w:r w:rsidR="00301660" w:rsidRPr="00B740B4">
        <w:rPr>
          <w:rStyle w:val="i"/>
          <w:color w:val="auto"/>
          <w:szCs w:val="22"/>
        </w:rPr>
        <w:t>Comment</w:t>
      </w:r>
      <w:r w:rsidR="00AB6042" w:rsidRPr="00B740B4">
        <w:t xml:space="preserve">); cf. </w:t>
      </w:r>
      <w:r w:rsidR="00536FF6">
        <w:t>v. 1</w:t>
      </w:r>
      <w:r w:rsidR="00301660" w:rsidRPr="00B740B4">
        <w:t>.</w:t>
      </w:r>
    </w:p>
    <w:p w:rsidR="00301660" w:rsidRDefault="002C3A66" w:rsidP="00301660">
      <w:r w:rsidRPr="00B740B4">
        <w:rPr>
          <w:rStyle w:val="fnnum"/>
          <w:color w:val="auto"/>
        </w:rPr>
        <w:t>26</w:t>
      </w:r>
      <w:r w:rsidR="00301660" w:rsidRPr="00B740B4">
        <w:rPr>
          <w:rStyle w:val="fnnum"/>
          <w:color w:val="auto"/>
        </w:rPr>
        <w:t>.a.</w:t>
      </w:r>
      <w:r w:rsidR="00301660" w:rsidRPr="00B740B4">
        <w:t xml:space="preserve"> </w:t>
      </w:r>
      <w:r w:rsidR="00301660" w:rsidRPr="00B740B4">
        <w:rPr>
          <w:rStyle w:val="heb"/>
          <w:rFonts w:ascii="Arial" w:hAnsi="Arial" w:cs="Arial"/>
          <w:color w:val="auto"/>
        </w:rPr>
        <w:t>בכל</w:t>
      </w:r>
      <w:r w:rsidR="00301660" w:rsidRPr="00B740B4">
        <w:t xml:space="preserve">; </w:t>
      </w:r>
      <w:r w:rsidR="004D67A0">
        <w:rPr>
          <w:rStyle w:val="sm"/>
          <w:color w:val="auto"/>
          <w:sz w:val="22"/>
          <w:szCs w:val="22"/>
        </w:rPr>
        <w:t xml:space="preserve"> </w:t>
      </w:r>
      <w:r w:rsidR="004D67A0">
        <w:t>Th has “in every,” highlighting the hyperbolic nature of the command.</w:t>
      </w:r>
    </w:p>
    <w:p w:rsidR="00ED7030" w:rsidRPr="00B740B4" w:rsidRDefault="00ED7030" w:rsidP="00301660">
      <w:r>
        <w:t xml:space="preserve">26.b. MT’s maqqeph links </w:t>
      </w:r>
      <w:r w:rsidRPr="00ED7030">
        <w:rPr>
          <w:rFonts w:ascii="Arial" w:hAnsi="Arial" w:cs="Arial"/>
        </w:rPr>
        <w:t>די</w:t>
      </w:r>
      <w:r>
        <w:t xml:space="preserve"> with what follows, but this understanding makes for an implausible opening to the poetic lines, and</w:t>
      </w:r>
      <w:r w:rsidR="0006752E">
        <w:t xml:space="preserve"> cf.</w:t>
      </w:r>
      <w:r w:rsidR="0006752E" w:rsidRPr="0006752E">
        <w:rPr>
          <w:rFonts w:ascii="Arial" w:eastAsiaTheme="minorHAnsi" w:hAnsi="Arial" w:cs="Arial"/>
        </w:rPr>
        <w:t xml:space="preserve"> </w:t>
      </w:r>
      <w:r w:rsidR="0006752E" w:rsidRPr="0006752E">
        <w:rPr>
          <w:rFonts w:ascii="Arial" w:hAnsi="Arial" w:cs="Arial"/>
        </w:rPr>
        <w:t>א</w:t>
      </w:r>
      <w:r w:rsidR="0006752E" w:rsidRPr="0006752E">
        <w:rPr>
          <w:rFonts w:ascii="Arial" w:eastAsiaTheme="minorHAnsi" w:hAnsi="Arial" w:cs="Arial"/>
        </w:rPr>
        <w:t xml:space="preserve"> </w:t>
      </w:r>
      <w:r w:rsidR="0006752E" w:rsidRPr="0006752E">
        <w:rPr>
          <w:rFonts w:ascii="Arial" w:hAnsi="Arial" w:cs="Arial"/>
        </w:rPr>
        <w:t>ו</w:t>
      </w:r>
      <w:r>
        <w:t xml:space="preserve"> </w:t>
      </w:r>
      <w:r w:rsidR="0006752E" w:rsidRPr="0006752E">
        <w:rPr>
          <w:rFonts w:ascii="Arial" w:hAnsi="Arial" w:cs="Arial"/>
        </w:rPr>
        <w:t>ה</w:t>
      </w:r>
      <w:r w:rsidR="0006752E">
        <w:t xml:space="preserve"> in the poetic lines in 2:21-22.</w:t>
      </w:r>
    </w:p>
    <w:p w:rsidR="00301660" w:rsidRPr="00B740B4" w:rsidRDefault="002C3A66" w:rsidP="00301660">
      <w:r w:rsidRPr="00B740B4">
        <w:rPr>
          <w:rStyle w:val="fnnum"/>
          <w:color w:val="auto"/>
        </w:rPr>
        <w:t>28</w:t>
      </w:r>
      <w:r w:rsidR="00301660" w:rsidRPr="00B740B4">
        <w:rPr>
          <w:rStyle w:val="fnnum"/>
          <w:color w:val="auto"/>
        </w:rPr>
        <w:t>.a.</w:t>
      </w:r>
      <w:r w:rsidR="00301660" w:rsidRPr="00B740B4">
        <w:t xml:space="preserve"> </w:t>
      </w:r>
      <w:r w:rsidR="00301660" w:rsidRPr="00B740B4">
        <w:rPr>
          <w:rStyle w:val="sm"/>
          <w:color w:val="auto"/>
          <w:sz w:val="22"/>
          <w:szCs w:val="22"/>
        </w:rPr>
        <w:t>niv</w:t>
      </w:r>
      <w:r w:rsidR="00301660" w:rsidRPr="00B740B4">
        <w:t xml:space="preserve">mg “that is” takes the </w:t>
      </w:r>
      <w:r w:rsidR="00301660" w:rsidRPr="00B740B4">
        <w:rPr>
          <w:rStyle w:val="heb"/>
          <w:rFonts w:ascii="Arial" w:hAnsi="Arial" w:cs="Arial"/>
          <w:color w:val="auto"/>
        </w:rPr>
        <w:t>ו</w:t>
      </w:r>
      <w:r w:rsidR="00301660" w:rsidRPr="00B740B4">
        <w:t xml:space="preserve"> as explicative. F</w:t>
      </w:r>
      <w:r w:rsidR="002D510D" w:rsidRPr="00B740B4">
        <w:t>or other examples, see 1:3; 4:13 [10</w:t>
      </w:r>
      <w:r w:rsidR="00301660" w:rsidRPr="00B740B4">
        <w:t xml:space="preserve">]; 7:1; 8:10, 24; </w:t>
      </w:r>
      <w:r w:rsidR="00536FF6">
        <w:t xml:space="preserve">11:38 (and notes): </w:t>
      </w:r>
      <w:r w:rsidR="0018730F" w:rsidRPr="00B740B4">
        <w:t xml:space="preserve">see </w:t>
      </w:r>
      <w:r w:rsidR="00301660" w:rsidRPr="00B740B4">
        <w:t>Erlandsson, “</w:t>
      </w:r>
      <w:r w:rsidR="00301660" w:rsidRPr="00B740B4">
        <w:rPr>
          <w:rStyle w:val="theb"/>
          <w:color w:val="auto"/>
        </w:rPr>
        <w:t>Nȧgra</w:t>
      </w:r>
      <w:r w:rsidR="00301660" w:rsidRPr="00B740B4">
        <w:t xml:space="preserve"> exempel </w:t>
      </w:r>
      <w:r w:rsidR="00301660" w:rsidRPr="00B740B4">
        <w:rPr>
          <w:rStyle w:val="theb"/>
          <w:color w:val="auto"/>
        </w:rPr>
        <w:t>pȧ</w:t>
      </w:r>
      <w:r w:rsidR="0018730F" w:rsidRPr="00B740B4">
        <w:t xml:space="preserve"> waw explicativum”; </w:t>
      </w:r>
      <w:r w:rsidR="00301660" w:rsidRPr="00B740B4">
        <w:t xml:space="preserve">Baker, “Further Examples of the </w:t>
      </w:r>
      <w:r w:rsidR="00301660" w:rsidRPr="00B740B4">
        <w:rPr>
          <w:rStyle w:val="i"/>
          <w:color w:val="auto"/>
          <w:szCs w:val="22"/>
        </w:rPr>
        <w:t>waw explicativum</w:t>
      </w:r>
      <w:r w:rsidR="00301660" w:rsidRPr="00B740B4">
        <w:t>.</w:t>
      </w:r>
      <w:r w:rsidR="0018730F" w:rsidRPr="00B740B4">
        <w:t>”</w:t>
      </w:r>
      <w:r w:rsidR="00301660" w:rsidRPr="00B740B4">
        <w:t xml:space="preserve"> See </w:t>
      </w:r>
      <w:r w:rsidR="00301660" w:rsidRPr="00B740B4">
        <w:rPr>
          <w:rStyle w:val="i"/>
          <w:color w:val="auto"/>
          <w:szCs w:val="22"/>
        </w:rPr>
        <w:t>Comment.</w:t>
      </w:r>
    </w:p>
    <w:p w:rsidR="00301660" w:rsidRPr="00B740B4" w:rsidRDefault="00301660" w:rsidP="009479B1">
      <w:pPr>
        <w:pStyle w:val="Heading2"/>
      </w:pPr>
      <w:r w:rsidRPr="00B740B4">
        <w:lastRenderedPageBreak/>
        <w:t>Form/Structure/Setting</w:t>
      </w:r>
    </w:p>
    <w:p w:rsidR="00215D41" w:rsidRPr="00B740B4" w:rsidRDefault="00215D41" w:rsidP="00215D41">
      <w:pPr>
        <w:pStyle w:val="Heading3"/>
      </w:pPr>
      <w:r w:rsidRPr="00B740B4">
        <w:t>Form</w:t>
      </w:r>
    </w:p>
    <w:p w:rsidR="00215D41" w:rsidRPr="00B740B4" w:rsidRDefault="00215D41" w:rsidP="00301660"/>
    <w:p w:rsidR="00301660" w:rsidRPr="00B740B4" w:rsidRDefault="00301660" w:rsidP="00301660">
      <w:r w:rsidRPr="00B740B4">
        <w:t xml:space="preserve">Like Dan 3, chapter 6 is a tale of court conflict and intrigue; more specifically, </w:t>
      </w:r>
      <w:r w:rsidR="00BC0C2A">
        <w:t xml:space="preserve">it is a story </w:t>
      </w:r>
      <w:r w:rsidR="00B740B4">
        <w:t xml:space="preserve">about </w:t>
      </w:r>
      <w:r w:rsidRPr="00B740B4">
        <w:t>the fall and rehabilitation of a minister of state, a common folkloric plot</w:t>
      </w:r>
      <w:r w:rsidR="00B740B4">
        <w:t>.</w:t>
      </w:r>
      <w:r w:rsidR="00B740B4">
        <w:rPr>
          <w:rStyle w:val="FootnoteReference"/>
        </w:rPr>
        <w:footnoteReference w:id="937"/>
      </w:r>
      <w:r w:rsidRPr="00B740B4">
        <w:t xml:space="preserve"> A certain man has achieved prominence in the imperial administration and favor with the king. The other ministers of state plot to engineer his downfall by getting the king to issue a statute which he will not obey, but which carries a capital sentence. They watch for his disobedience, report it to the king, and insist that the death penalty be e</w:t>
      </w:r>
      <w:r w:rsidR="00BC0C2A">
        <w:t>xacted. But he survives</w:t>
      </w:r>
      <w:r w:rsidRPr="00B740B4">
        <w:t xml:space="preserve">, and his accusers and their families are killed instead. The motifs of the story are larger than life: the thronging plotters, the implausible statute, the inexorable law, the extraordinary escape, the monumental requital. </w:t>
      </w:r>
      <w:r w:rsidR="00BC0C2A">
        <w:t>The story thus entertains, b</w:t>
      </w:r>
      <w:r w:rsidRPr="00B740B4">
        <w:t xml:space="preserve">ut </w:t>
      </w:r>
      <w:r w:rsidR="00BC0C2A">
        <w:t>it also reflects a desire to teach</w:t>
      </w:r>
      <w:r w:rsidRPr="00B740B4">
        <w:t>.</w:t>
      </w:r>
      <w:r w:rsidR="00B740B4">
        <w:rPr>
          <w:rStyle w:val="FootnoteReference"/>
        </w:rPr>
        <w:footnoteReference w:id="938"/>
      </w:r>
      <w:r w:rsidRPr="00B740B4">
        <w:t xml:space="preserve"> Its characters, like ones in Esther and Ahiqar, “exemplify the traditional wisdom-triangle: the powerful, but witless dupe—the righteo</w:t>
      </w:r>
      <w:r w:rsidR="00A74841">
        <w:t>us wise—the conniving schemer</w:t>
      </w:r>
      <w:r w:rsidRPr="00B740B4">
        <w:t>.</w:t>
      </w:r>
      <w:r w:rsidR="00A74841">
        <w:t>”</w:t>
      </w:r>
      <w:r w:rsidR="00A74841">
        <w:rPr>
          <w:rStyle w:val="FootnoteReference"/>
        </w:rPr>
        <w:footnoteReference w:id="939"/>
      </w:r>
      <w:r w:rsidRPr="00B740B4">
        <w:t xml:space="preserve"> Jealous conspirators attack a man of uprightness and insight; they are clever enough to fool a stupid king but in the end </w:t>
      </w:r>
      <w:r w:rsidR="00BC0C2A">
        <w:t xml:space="preserve">they </w:t>
      </w:r>
      <w:r w:rsidRPr="00B740B4">
        <w:t>pay the penalty for their o</w:t>
      </w:r>
      <w:r w:rsidR="00BC0C2A">
        <w:t xml:space="preserve">wn wicked folly, while the </w:t>
      </w:r>
      <w:r w:rsidRPr="00B740B4">
        <w:t xml:space="preserve">man </w:t>
      </w:r>
      <w:r w:rsidR="00BC0C2A">
        <w:t xml:space="preserve">of insight </w:t>
      </w:r>
      <w:r w:rsidRPr="00B740B4">
        <w:t>triumphs (Prov 6:12–19; 14:30, 32, 35; 24:16; 29:12).</w:t>
      </w:r>
    </w:p>
    <w:p w:rsidR="00301660" w:rsidRPr="00B740B4" w:rsidRDefault="00301660" w:rsidP="00301660">
      <w:r w:rsidRPr="00B740B4">
        <w:t xml:space="preserve">The </w:t>
      </w:r>
      <w:r w:rsidR="00A74841">
        <w:t>hero is not only a man of insight</w:t>
      </w:r>
      <w:r w:rsidRPr="00B740B4">
        <w:t xml:space="preserve"> and uprightness, but a man of a remarkable spirit (a God-given spirit: cf. 5:11–12), </w:t>
      </w:r>
      <w:r w:rsidR="00A74841">
        <w:t xml:space="preserve">a man </w:t>
      </w:r>
      <w:r w:rsidRPr="00B740B4">
        <w:t>of faithfulness to God in life and in prayer, and of trust in God in danger. His persecutors see where his vulnerability lies: he believes in obeying God rather t</w:t>
      </w:r>
      <w:r w:rsidR="00D70130">
        <w:t xml:space="preserve">han human beings when these </w:t>
      </w:r>
      <w:r w:rsidRPr="00B740B4">
        <w:t>obligations are made to conflict. For his insistence he will pay with his life. The court tale is thus also a confessor legend (though there is no confrontation between confessor and king or accusers). His fate is (literally) sealed; there is no escape. Even the king cannot rescue him. Yet the king is open to the possibility that God may do so; he spends the night anxiously wondering what Daniel’s fate will be, and prepares us for Daniel’s own testimony to God’s miraculous</w:t>
      </w:r>
      <w:r w:rsidR="00D70130">
        <w:t xml:space="preserve"> and complete deliverance</w:t>
      </w:r>
      <w:r w:rsidRPr="00B740B4">
        <w:t>, which turns the legend into an aretalogy. The wonder of his deliverance is underlined by the contrasting fate of his persecutors. The king enjoins his whole empire to recognize Daniel’s wonder-working God.</w:t>
      </w:r>
    </w:p>
    <w:p w:rsidR="00301660" w:rsidRPr="00B740B4" w:rsidRDefault="00301660" w:rsidP="00301660">
      <w:r w:rsidRPr="00B740B4">
        <w:t>Darius’s injunction takes t</w:t>
      </w:r>
      <w:r w:rsidR="00BC0C2A">
        <w:t>he form of a royal encyclical. It begins</w:t>
      </w:r>
      <w:r w:rsidRPr="00B740B4">
        <w:t xml:space="preserve"> p</w:t>
      </w:r>
      <w:r w:rsidR="00FC5A48">
        <w:t xml:space="preserve">recisely like that at </w:t>
      </w:r>
      <w:r w:rsidRPr="00B740B4">
        <w:t>4:1–3</w:t>
      </w:r>
      <w:r w:rsidR="00D70130">
        <w:t xml:space="preserve"> </w:t>
      </w:r>
      <w:r w:rsidRPr="00B740B4">
        <w:t xml:space="preserve">(see chap. 4 </w:t>
      </w:r>
      <w:r w:rsidRPr="00B740B4">
        <w:rPr>
          <w:rStyle w:val="i"/>
          <w:color w:val="auto"/>
        </w:rPr>
        <w:t>Form</w:t>
      </w:r>
      <w:r w:rsidR="00BC0C2A">
        <w:t xml:space="preserve">), and its </w:t>
      </w:r>
      <w:r w:rsidRPr="00B740B4">
        <w:t xml:space="preserve">content is also similar. Like that example, however, the form is </w:t>
      </w:r>
      <w:r w:rsidR="00D70130">
        <w:t xml:space="preserve">tailored to the context, and </w:t>
      </w:r>
      <w:r w:rsidRPr="00B740B4">
        <w:t>thus dovetailed</w:t>
      </w:r>
      <w:r w:rsidR="00FC5A48">
        <w:t xml:space="preserve"> into the narrative (see n. 25</w:t>
      </w:r>
      <w:r w:rsidRPr="00B740B4">
        <w:t>a). The form and content soon become those of hymn</w:t>
      </w:r>
      <w:r w:rsidR="00FC5A48">
        <w:t>ic praise (</w:t>
      </w:r>
      <w:r w:rsidR="0045036E">
        <w:t xml:space="preserve">vv </w:t>
      </w:r>
      <w:r w:rsidR="00FC5A48" w:rsidRPr="00FC5A48">
        <w:t>26b–27a</w:t>
      </w:r>
      <w:r w:rsidR="00FC5A48">
        <w:t>)</w:t>
      </w:r>
      <w:r w:rsidR="00FC5A48" w:rsidRPr="00FC5A48">
        <w:t xml:space="preserve"> </w:t>
      </w:r>
      <w:r w:rsidR="00FC5A48">
        <w:t xml:space="preserve">and confessional praise (v 27b). </w:t>
      </w:r>
      <w:r w:rsidR="00542DAE">
        <w:t>The hymnic praise comprises three lines</w:t>
      </w:r>
      <w:r w:rsidR="0045036E">
        <w:t>,</w:t>
      </w:r>
      <w:r w:rsidR="00542DAE">
        <w:t xml:space="preserve"> of which the last is a tricolon; the confessional praise then comprises one bicolon. </w:t>
      </w:r>
      <w:r w:rsidR="00FC5A48">
        <w:t>It is again a form</w:t>
      </w:r>
      <w:r w:rsidRPr="00B740B4">
        <w:t xml:space="preserve"> utilized in a literary context and designed to bring the narrative itself to a climax, so that the confession relates to what God has done to a third party, not to the speaker himself. Earlier</w:t>
      </w:r>
      <w:r w:rsidR="00FC5A48">
        <w:t xml:space="preserve"> in the chapter, there are also reflections of</w:t>
      </w:r>
      <w:r w:rsidRPr="00B740B4">
        <w:t xml:space="preserve"> the forms of petition, accusati</w:t>
      </w:r>
      <w:r w:rsidR="00FC5A48">
        <w:t>on, and petitionary prayer (vv 6–8, 12–13, 16</w:t>
      </w:r>
      <w:r w:rsidRPr="00B740B4">
        <w:t>).</w:t>
      </w:r>
      <w:r w:rsidR="00FC5A48">
        <w:rPr>
          <w:rStyle w:val="FootnoteReference"/>
        </w:rPr>
        <w:footnoteReference w:id="940"/>
      </w:r>
    </w:p>
    <w:p w:rsidR="00301660" w:rsidRPr="00B740B4" w:rsidRDefault="006B4EC3" w:rsidP="00301660">
      <w:r>
        <w:t>The chapter h</w:t>
      </w:r>
      <w:r w:rsidR="0045036E">
        <w:t>a</w:t>
      </w:r>
      <w:r>
        <w:t xml:space="preserve">s intertextual or </w:t>
      </w:r>
      <w:r w:rsidR="00301660" w:rsidRPr="00B740B4">
        <w:t>midrash</w:t>
      </w:r>
      <w:r w:rsidR="007E5D02">
        <w:t>ic aspects. In addition to illus</w:t>
      </w:r>
      <w:r w:rsidR="0045036E">
        <w:t>trating aphorisms in Proverbs, the</w:t>
      </w:r>
      <w:r w:rsidR="00301660" w:rsidRPr="00B740B4">
        <w:t xml:space="preserve"> story about descent into a pit and abo</w:t>
      </w:r>
      <w:r w:rsidR="0045036E">
        <w:t>ut being threatened by lions</w:t>
      </w:r>
      <w:r w:rsidR="00301660" w:rsidRPr="00B740B4">
        <w:t xml:space="preserve"> illustrates experiences described </w:t>
      </w:r>
      <w:r w:rsidR="007E5D02">
        <w:t>metaphorically in these terms in Ps 22:</w:t>
      </w:r>
      <w:r w:rsidR="00301660" w:rsidRPr="00B740B4">
        <w:t>13, 21</w:t>
      </w:r>
      <w:r w:rsidR="007E5D02">
        <w:t xml:space="preserve"> [14, 22</w:t>
      </w:r>
      <w:r w:rsidR="00301660" w:rsidRPr="00B740B4">
        <w:t>]; 57:</w:t>
      </w:r>
      <w:r w:rsidR="007E5D02">
        <w:t xml:space="preserve"> 4-6 [5–7</w:t>
      </w:r>
      <w:r w:rsidR="00301660" w:rsidRPr="00B740B4">
        <w:t>]; 91</w:t>
      </w:r>
      <w:r w:rsidR="0006752E">
        <w:t>:10–13, and</w:t>
      </w:r>
      <w:r w:rsidR="007E5D02">
        <w:t xml:space="preserve"> later 1QH 5.1–19, the </w:t>
      </w:r>
      <w:r w:rsidR="00043503">
        <w:t>Qumran Thanksgiving Psalms</w:t>
      </w:r>
      <w:r w:rsidR="007E5D02">
        <w:t>;</w:t>
      </w:r>
      <w:r w:rsidR="0006752E">
        <w:rPr>
          <w:rStyle w:val="FootnoteReference"/>
        </w:rPr>
        <w:footnoteReference w:id="941"/>
      </w:r>
      <w:r w:rsidR="007E5D02">
        <w:t xml:space="preserve"> o</w:t>
      </w:r>
      <w:r w:rsidR="00301660" w:rsidRPr="00B740B4">
        <w:t>the</w:t>
      </w:r>
      <w:r w:rsidR="007E5D02">
        <w:t>r OT passages about lions such as Ezek 19</w:t>
      </w:r>
      <w:r w:rsidR="00301660" w:rsidRPr="00B740B4">
        <w:t xml:space="preserve"> seem less relevant</w:t>
      </w:r>
      <w:r w:rsidR="007E5D02">
        <w:t xml:space="preserve">. While there are parallels </w:t>
      </w:r>
      <w:r w:rsidR="00D25F3C">
        <w:t xml:space="preserve">with </w:t>
      </w:r>
      <w:r w:rsidR="00301660" w:rsidRPr="00B740B4">
        <w:t xml:space="preserve">mythical accounts of a hero/god’s descent to and escape from </w:t>
      </w:r>
      <w:r w:rsidR="00301660" w:rsidRPr="00B740B4">
        <w:lastRenderedPageBreak/>
        <w:t>Sheol,</w:t>
      </w:r>
      <w:r w:rsidR="00D25F3C">
        <w:t xml:space="preserve"> and </w:t>
      </w:r>
      <w:r w:rsidR="00D25F3C" w:rsidRPr="00D25F3C">
        <w:t>between the lions’ refusal to eat Daniel and folk-tale</w:t>
      </w:r>
      <w:r w:rsidR="00D25F3C">
        <w:t>s,</w:t>
      </w:r>
      <w:r w:rsidR="007E5D02">
        <w:rPr>
          <w:rStyle w:val="FootnoteReference"/>
        </w:rPr>
        <w:footnoteReference w:id="942"/>
      </w:r>
      <w:r w:rsidR="00301660" w:rsidRPr="00B740B4">
        <w:t xml:space="preserve"> </w:t>
      </w:r>
      <w:r w:rsidR="007E5D02">
        <w:t>any link</w:t>
      </w:r>
      <w:r w:rsidR="00D25F3C">
        <w:t>s</w:t>
      </w:r>
      <w:r w:rsidR="007E5D02">
        <w:t xml:space="preserve"> likely </w:t>
      </w:r>
      <w:r w:rsidR="00D25F3C">
        <w:t>come</w:t>
      </w:r>
      <w:r w:rsidR="007E5D02">
        <w:t xml:space="preserve"> via the appropriation</w:t>
      </w:r>
      <w:r w:rsidR="00D25F3C">
        <w:t xml:space="preserve"> of such</w:t>
      </w:r>
      <w:r w:rsidR="00301660" w:rsidRPr="00B740B4">
        <w:t xml:space="preserve"> motif</w:t>
      </w:r>
      <w:r w:rsidR="00D25F3C">
        <w:t>s</w:t>
      </w:r>
      <w:r w:rsidR="00301660" w:rsidRPr="00B740B4">
        <w:t xml:space="preserve"> in th</w:t>
      </w:r>
      <w:r w:rsidR="00D25F3C">
        <w:t>e Psalms.</w:t>
      </w:r>
      <w:r w:rsidR="006E1572">
        <w:t xml:space="preserve"> Babylonian texts (not least </w:t>
      </w:r>
      <w:r w:rsidR="006E1572" w:rsidRPr="006E1572">
        <w:rPr>
          <w:i/>
        </w:rPr>
        <w:t>Ludlul Bēl Nēmeqi</w:t>
      </w:r>
      <w:r w:rsidR="006E1572">
        <w:t xml:space="preserve">: see chap. 4 </w:t>
      </w:r>
      <w:r w:rsidR="006E1572">
        <w:rPr>
          <w:i/>
        </w:rPr>
        <w:t>Form</w:t>
      </w:r>
      <w:r w:rsidR="006E1572">
        <w:t>)</w:t>
      </w:r>
      <w:r w:rsidR="006E1572" w:rsidRPr="006E1572">
        <w:t xml:space="preserve"> </w:t>
      </w:r>
      <w:r w:rsidR="006E1572">
        <w:t xml:space="preserve">also speak metaphorically about </w:t>
      </w:r>
      <w:r w:rsidR="00740E65">
        <w:t>being attacked by lions.</w:t>
      </w:r>
      <w:r w:rsidR="00740E65">
        <w:rPr>
          <w:rStyle w:val="FootnoteReference"/>
        </w:rPr>
        <w:footnoteReference w:id="943"/>
      </w:r>
    </w:p>
    <w:p w:rsidR="005E6E64" w:rsidRDefault="00D25F3C" w:rsidP="00215D41">
      <w:r>
        <w:t>Like chap.</w:t>
      </w:r>
      <w:r w:rsidR="00301660" w:rsidRPr="00B740B4">
        <w:t xml:space="preserve"> 3, the story </w:t>
      </w:r>
      <w:r>
        <w:t xml:space="preserve">thus </w:t>
      </w:r>
      <w:r w:rsidR="00301660" w:rsidRPr="00B740B4">
        <w:t xml:space="preserve">combines </w:t>
      </w:r>
      <w:r w:rsidRPr="00D25F3C">
        <w:t>traditional motifs</w:t>
      </w:r>
      <w:r>
        <w:t xml:space="preserve"> and</w:t>
      </w:r>
      <w:r w:rsidRPr="00D25F3C">
        <w:t xml:space="preserve"> </w:t>
      </w:r>
      <w:r>
        <w:t>factual allusions</w:t>
      </w:r>
      <w:r w:rsidR="00301660" w:rsidRPr="00B740B4">
        <w:t>. Its historical background corresponds to aspects of the circumstances of the Babylonian period (lions kept in captivity, Jewish faith under pressure) and the Greek period (divinization of the Ptolemaic and</w:t>
      </w:r>
      <w:r>
        <w:t xml:space="preserve"> Seleucid kings, cf. Jdt 3:8). B</w:t>
      </w:r>
      <w:r w:rsidR="00301660" w:rsidRPr="00B740B4">
        <w:t>ut it predominant</w:t>
      </w:r>
      <w:r>
        <w:t xml:space="preserve">ly suggests the Persian period: </w:t>
      </w:r>
      <w:r w:rsidR="00301660" w:rsidRPr="00B740B4">
        <w:t>the bureaucratic organization of the empire to avoid los</w:t>
      </w:r>
      <w:r>
        <w:t>s to the king (cf. Ezra 4:13–14)</w:t>
      </w:r>
      <w:r w:rsidR="00301660" w:rsidRPr="00B740B4">
        <w:t>, satrapies, the possibility of Jews’ being in respo</w:t>
      </w:r>
      <w:r>
        <w:t>nsible positions in the empire (cf. Nehemiah)</w:t>
      </w:r>
      <w:r w:rsidR="00301660" w:rsidRPr="00B740B4">
        <w:t>, t</w:t>
      </w:r>
      <w:r>
        <w:t>he strict law of the Persians. T</w:t>
      </w:r>
      <w:r w:rsidR="00301660" w:rsidRPr="00B740B4">
        <w:t>he Babylonian name</w:t>
      </w:r>
      <w:r>
        <w:t xml:space="preserve"> Belteshazzar is no longer used</w:t>
      </w:r>
      <w:r w:rsidR="00301660" w:rsidRPr="00B740B4">
        <w:t xml:space="preserve">. </w:t>
      </w:r>
      <w:r>
        <w:t>At the same time, t</w:t>
      </w:r>
      <w:r w:rsidR="00301660" w:rsidRPr="00B740B4">
        <w:t xml:space="preserve">he story contains a number of historical difficulties. Satraps are most familiar as the governors of between twenty and thirty </w:t>
      </w:r>
      <w:r>
        <w:t xml:space="preserve">of the </w:t>
      </w:r>
      <w:r w:rsidR="00301660" w:rsidRPr="00B740B4">
        <w:t>provinces into which the empire was organized by D</w:t>
      </w:r>
      <w:r w:rsidR="005E6E64">
        <w:t>arius I. The three “heads” (n. 2</w:t>
      </w:r>
      <w:r w:rsidR="00301660" w:rsidRPr="00B740B4">
        <w:t>.a) are an otherwise unknown office. The content of the injunction, the treatment of Daniel and his accusers, and the requirement that the whole world worship Daniel’s God correspond ill with what we otherwise know of th</w:t>
      </w:r>
      <w:r w:rsidR="001A0284">
        <w:t>e liberal early Persian period</w:t>
      </w:r>
      <w:r w:rsidR="00301660" w:rsidRPr="00B740B4">
        <w:t>, and it is difficult to envisage a pit big enough to contain the five hundred or more peopl</w:t>
      </w:r>
      <w:r w:rsidR="005E6E64">
        <w:t>e apparently envisaged by v 24</w:t>
      </w:r>
      <w:r w:rsidR="00301660" w:rsidRPr="00B740B4">
        <w:t xml:space="preserve">. In general the grounds for rehabilitating Darius as a historical figure probably make him </w:t>
      </w:r>
      <w:r w:rsidR="005E6E64">
        <w:t xml:space="preserve">viceroy of Babylon (see </w:t>
      </w:r>
      <w:r w:rsidR="005E6E64">
        <w:rPr>
          <w:i/>
        </w:rPr>
        <w:t xml:space="preserve">Comment </w:t>
      </w:r>
      <w:r w:rsidR="005E6E64">
        <w:t>on 5:31</w:t>
      </w:r>
      <w:r w:rsidR="00301660" w:rsidRPr="00B740B4">
        <w:t>), whereas in this story he has the autocratic power and instinct of a later Persian emperor</w:t>
      </w:r>
      <w:r w:rsidR="005E6E64">
        <w:t xml:space="preserve"> such as Darius I. </w:t>
      </w:r>
    </w:p>
    <w:p w:rsidR="00301660" w:rsidRPr="00B740B4" w:rsidRDefault="005E6E64" w:rsidP="00215D41">
      <w:r>
        <w:t>C</w:t>
      </w:r>
      <w:r w:rsidR="00301660" w:rsidRPr="00B740B4">
        <w:t xml:space="preserve">ombined with the </w:t>
      </w:r>
      <w:r w:rsidR="0045036E">
        <w:t xml:space="preserve">use of narrative forms </w:t>
      </w:r>
      <w:r w:rsidR="00301660" w:rsidRPr="00B740B4">
        <w:t xml:space="preserve">associated </w:t>
      </w:r>
      <w:r>
        <w:t>more with ficti</w:t>
      </w:r>
      <w:r w:rsidR="00043503">
        <w:t xml:space="preserve">on than fact, these features </w:t>
      </w:r>
      <w:r w:rsidR="00301660" w:rsidRPr="00B740B4">
        <w:t>suggest that the chapter does not presen</w:t>
      </w:r>
      <w:r>
        <w:t>t itself to the hearer as</w:t>
      </w:r>
      <w:r w:rsidR="00301660" w:rsidRPr="00B740B4">
        <w:t xml:space="preserve"> history. </w:t>
      </w:r>
      <w:r w:rsidR="00043503">
        <w:t xml:space="preserve">It may still </w:t>
      </w:r>
      <w:r w:rsidR="00301660" w:rsidRPr="00B740B4">
        <w:t>have its ultimate origin in some amazing deliverance; it is perhaps implausible that such stories were created ou</w:t>
      </w:r>
      <w:r w:rsidR="0045036E">
        <w:t>t of nothing. But</w:t>
      </w:r>
      <w:r w:rsidR="00301660" w:rsidRPr="00B740B4">
        <w:t xml:space="preserve"> some of the </w:t>
      </w:r>
      <w:r>
        <w:t xml:space="preserve">story’s </w:t>
      </w:r>
      <w:r w:rsidR="00301660" w:rsidRPr="00B740B4">
        <w:t>apparently factua</w:t>
      </w:r>
      <w:r>
        <w:t>l allusions</w:t>
      </w:r>
      <w:r w:rsidR="00301660" w:rsidRPr="00B740B4">
        <w:t xml:space="preserve"> may only give color to the</w:t>
      </w:r>
      <w:r>
        <w:t xml:space="preserve"> fiction. The injunc</w:t>
      </w:r>
      <w:r w:rsidR="00043503">
        <w:t xml:space="preserve">tion is </w:t>
      </w:r>
      <w:r w:rsidR="00301660" w:rsidRPr="00B740B4">
        <w:t>a means of lampooning the pagan powers and their religious pretension, which als</w:t>
      </w:r>
      <w:r>
        <w:t>o makes it possible to portray</w:t>
      </w:r>
      <w:r w:rsidR="00301660" w:rsidRPr="00B740B4">
        <w:t xml:space="preserve"> a dispersion Jew under pressure to abandon his characteristic religious practice</w:t>
      </w:r>
      <w:r w:rsidR="0045036E">
        <w:t>,</w:t>
      </w:r>
      <w:r w:rsidR="00301660" w:rsidRPr="00B740B4">
        <w:t xml:space="preserve"> and to portray the faithfulness and vindication of</w:t>
      </w:r>
      <w:r w:rsidR="00043503">
        <w:t xml:space="preserve"> God that were confessed</w:t>
      </w:r>
      <w:r w:rsidR="0045036E">
        <w:t xml:space="preserve"> in Israel’s history, </w:t>
      </w:r>
      <w:r w:rsidR="00301660" w:rsidRPr="00B740B4">
        <w:t>experienced in personal wa</w:t>
      </w:r>
      <w:r w:rsidR="00043503">
        <w:t>ys in the exile, and trusted</w:t>
      </w:r>
      <w:r w:rsidR="00301660" w:rsidRPr="00B740B4">
        <w:t xml:space="preserve"> even when current expe</w:t>
      </w:r>
      <w:r w:rsidR="00215D41" w:rsidRPr="00B740B4">
        <w:t>rience did not witness to them.</w:t>
      </w:r>
    </w:p>
    <w:p w:rsidR="00215D41" w:rsidRPr="00B740B4" w:rsidRDefault="00215D41" w:rsidP="00215D41">
      <w:pPr>
        <w:pStyle w:val="Heading3"/>
      </w:pPr>
      <w:r w:rsidRPr="00B740B4">
        <w:t>Structure</w:t>
      </w:r>
    </w:p>
    <w:p w:rsidR="00215D41" w:rsidRPr="00B740B4" w:rsidRDefault="00215D41" w:rsidP="00215D41"/>
    <w:p w:rsidR="00301660" w:rsidRDefault="00301660" w:rsidP="00301660">
      <w:r w:rsidRPr="00B740B4">
        <w:t>The story follows a stra</w:t>
      </w:r>
      <w:r w:rsidR="0045036E">
        <w:t xml:space="preserve">ightforward narrative sequence; there are 16 occurrences of </w:t>
      </w:r>
      <w:r w:rsidRPr="00B740B4">
        <w:rPr>
          <w:rStyle w:val="heb"/>
          <w:rFonts w:ascii="Arial" w:hAnsi="Arial" w:cs="Arial"/>
          <w:color w:val="auto"/>
        </w:rPr>
        <w:t>אדין</w:t>
      </w:r>
      <w:r w:rsidRPr="00B740B4">
        <w:t>[</w:t>
      </w:r>
      <w:r w:rsidRPr="00B740B4">
        <w:rPr>
          <w:rStyle w:val="heb"/>
          <w:rFonts w:ascii="Arial" w:hAnsi="Arial" w:cs="Arial"/>
          <w:color w:val="auto"/>
        </w:rPr>
        <w:t>ב</w:t>
      </w:r>
      <w:r w:rsidR="0045036E">
        <w:t>] (“then,”</w:t>
      </w:r>
      <w:r w:rsidRPr="00B740B4">
        <w:t xml:space="preserve"> omitted in </w:t>
      </w:r>
      <w:r w:rsidR="0045036E">
        <w:t xml:space="preserve">the </w:t>
      </w:r>
      <w:r w:rsidRPr="00B740B4">
        <w:t>translation</w:t>
      </w:r>
      <w:r w:rsidR="0045036E">
        <w:t>)</w:t>
      </w:r>
      <w:r w:rsidRPr="00B740B4">
        <w:t xml:space="preserve">; cf. </w:t>
      </w:r>
      <w:r w:rsidRPr="005E6E64">
        <w:t>BH</w:t>
      </w:r>
      <w:r w:rsidRPr="005E6E64">
        <w:rPr>
          <w:i/>
        </w:rPr>
        <w:t xml:space="preserve"> </w:t>
      </w:r>
      <w:r w:rsidRPr="005E6E64">
        <w:rPr>
          <w:rStyle w:val="heb"/>
          <w:rFonts w:ascii="Arial" w:hAnsi="Arial" w:cs="Arial"/>
          <w:i/>
          <w:color w:val="auto"/>
        </w:rPr>
        <w:t>ו</w:t>
      </w:r>
      <w:r w:rsidR="0045036E">
        <w:t>. But</w:t>
      </w:r>
      <w:r w:rsidRPr="00B740B4">
        <w:t xml:space="preserve"> its structure can be expressed chiastically:</w:t>
      </w:r>
    </w:p>
    <w:p w:rsidR="00BF2137" w:rsidRPr="00B740B4" w:rsidRDefault="00BF2137" w:rsidP="00301660"/>
    <w:p w:rsidR="00BF2137" w:rsidRDefault="00BF2137" w:rsidP="00301660">
      <w:pPr>
        <w:rPr>
          <w:sz w:val="24"/>
          <w:szCs w:val="24"/>
        </w:rPr>
      </w:pPr>
      <w:r>
        <w:rPr>
          <w:sz w:val="24"/>
          <w:szCs w:val="24"/>
        </w:rPr>
        <w:t>1–3 introduction: Daniel’s success</w:t>
      </w:r>
    </w:p>
    <w:p w:rsidR="00301660" w:rsidRPr="00B740B4" w:rsidRDefault="00BF2137" w:rsidP="00301660">
      <w:pPr>
        <w:rPr>
          <w:sz w:val="24"/>
          <w:szCs w:val="24"/>
        </w:rPr>
      </w:pPr>
      <w:r>
        <w:rPr>
          <w:sz w:val="24"/>
          <w:szCs w:val="24"/>
        </w:rPr>
        <w:tab/>
        <w:t>4–10</w:t>
      </w:r>
      <w:r w:rsidR="00301660" w:rsidRPr="00B740B4">
        <w:rPr>
          <w:sz w:val="24"/>
          <w:szCs w:val="24"/>
        </w:rPr>
        <w:t xml:space="preserve"> Darius signs an injunction but Daniel takes his stand.</w:t>
      </w:r>
    </w:p>
    <w:p w:rsidR="00301660" w:rsidRPr="00B740B4" w:rsidRDefault="00BF2137" w:rsidP="00301660">
      <w:pPr>
        <w:rPr>
          <w:sz w:val="24"/>
          <w:szCs w:val="24"/>
        </w:rPr>
      </w:pPr>
      <w:r>
        <w:rPr>
          <w:sz w:val="24"/>
          <w:szCs w:val="24"/>
        </w:rPr>
        <w:tab/>
      </w:r>
      <w:r>
        <w:rPr>
          <w:sz w:val="24"/>
          <w:szCs w:val="24"/>
        </w:rPr>
        <w:tab/>
        <w:t>11–15</w:t>
      </w:r>
      <w:r w:rsidR="00301660" w:rsidRPr="00B740B4">
        <w:rPr>
          <w:sz w:val="24"/>
          <w:szCs w:val="24"/>
        </w:rPr>
        <w:t xml:space="preserve"> Daniel’s colleagues plan his death.</w:t>
      </w:r>
    </w:p>
    <w:p w:rsidR="00301660" w:rsidRPr="00B740B4" w:rsidRDefault="00BF2137" w:rsidP="00301660">
      <w:pPr>
        <w:rPr>
          <w:sz w:val="24"/>
          <w:szCs w:val="24"/>
        </w:rPr>
      </w:pPr>
      <w:r>
        <w:rPr>
          <w:sz w:val="24"/>
          <w:szCs w:val="24"/>
        </w:rPr>
        <w:tab/>
      </w:r>
      <w:r>
        <w:rPr>
          <w:sz w:val="24"/>
          <w:szCs w:val="24"/>
        </w:rPr>
        <w:tab/>
      </w:r>
      <w:r>
        <w:rPr>
          <w:sz w:val="24"/>
          <w:szCs w:val="24"/>
        </w:rPr>
        <w:tab/>
        <w:t>16–18</w:t>
      </w:r>
      <w:r w:rsidR="00301660" w:rsidRPr="00B740B4">
        <w:rPr>
          <w:sz w:val="24"/>
          <w:szCs w:val="24"/>
        </w:rPr>
        <w:t xml:space="preserve"> Darius hopes for his deliverance.</w:t>
      </w:r>
    </w:p>
    <w:p w:rsidR="00301660" w:rsidRPr="00B740B4" w:rsidRDefault="00BF2137" w:rsidP="00301660">
      <w:pPr>
        <w:rPr>
          <w:sz w:val="24"/>
          <w:szCs w:val="24"/>
        </w:rPr>
      </w:pPr>
      <w:r>
        <w:rPr>
          <w:sz w:val="24"/>
          <w:szCs w:val="24"/>
        </w:rPr>
        <w:tab/>
      </w:r>
      <w:r>
        <w:rPr>
          <w:sz w:val="24"/>
          <w:szCs w:val="24"/>
        </w:rPr>
        <w:tab/>
      </w:r>
      <w:r>
        <w:rPr>
          <w:sz w:val="24"/>
          <w:szCs w:val="24"/>
        </w:rPr>
        <w:tab/>
        <w:t>19–23</w:t>
      </w:r>
      <w:r w:rsidR="00301660" w:rsidRPr="00B740B4">
        <w:rPr>
          <w:sz w:val="24"/>
          <w:szCs w:val="24"/>
        </w:rPr>
        <w:t xml:space="preserve"> Darius witnesses his deliverance.</w:t>
      </w:r>
    </w:p>
    <w:p w:rsidR="00301660" w:rsidRPr="00B740B4" w:rsidRDefault="00BF2137" w:rsidP="00301660">
      <w:pPr>
        <w:rPr>
          <w:sz w:val="24"/>
          <w:szCs w:val="24"/>
        </w:rPr>
      </w:pPr>
      <w:r>
        <w:rPr>
          <w:sz w:val="24"/>
          <w:szCs w:val="24"/>
        </w:rPr>
        <w:tab/>
      </w:r>
      <w:r>
        <w:rPr>
          <w:sz w:val="24"/>
          <w:szCs w:val="24"/>
        </w:rPr>
        <w:tab/>
        <w:t>24</w:t>
      </w:r>
      <w:r w:rsidR="00301660" w:rsidRPr="00B740B4">
        <w:rPr>
          <w:sz w:val="24"/>
          <w:szCs w:val="24"/>
        </w:rPr>
        <w:t xml:space="preserve"> Daniel’s colleagues meet with their death.</w:t>
      </w:r>
    </w:p>
    <w:p w:rsidR="00301660" w:rsidRPr="00B740B4" w:rsidRDefault="00BF2137" w:rsidP="00301660">
      <w:pPr>
        <w:rPr>
          <w:sz w:val="24"/>
          <w:szCs w:val="24"/>
        </w:rPr>
      </w:pPr>
      <w:r>
        <w:rPr>
          <w:sz w:val="24"/>
          <w:szCs w:val="24"/>
        </w:rPr>
        <w:tab/>
        <w:t>25–27</w:t>
      </w:r>
      <w:r w:rsidR="00301660" w:rsidRPr="00B740B4">
        <w:rPr>
          <w:sz w:val="24"/>
          <w:szCs w:val="24"/>
        </w:rPr>
        <w:t xml:space="preserve"> Darius signs a decree and takes his stand.</w:t>
      </w:r>
    </w:p>
    <w:p w:rsidR="00301660" w:rsidRPr="00B740B4" w:rsidRDefault="00BF2137" w:rsidP="00301660">
      <w:pPr>
        <w:rPr>
          <w:sz w:val="24"/>
          <w:szCs w:val="24"/>
        </w:rPr>
      </w:pPr>
      <w:r>
        <w:rPr>
          <w:sz w:val="24"/>
          <w:szCs w:val="24"/>
        </w:rPr>
        <w:t>28</w:t>
      </w:r>
      <w:r w:rsidR="00301660" w:rsidRPr="00B740B4">
        <w:rPr>
          <w:sz w:val="24"/>
          <w:szCs w:val="24"/>
        </w:rPr>
        <w:t xml:space="preserve"> conclusion: Daniel’s success</w:t>
      </w:r>
    </w:p>
    <w:p w:rsidR="00BF2137" w:rsidRDefault="00BF2137" w:rsidP="00301660"/>
    <w:p w:rsidR="008C5C48" w:rsidRDefault="008C5C48" w:rsidP="008C5C48">
      <w:pPr>
        <w:ind w:firstLine="0"/>
      </w:pPr>
      <w:r>
        <w:lastRenderedPageBreak/>
        <w:t>The chiastic structure draws attention to the ho</w:t>
      </w:r>
      <w:r w:rsidR="00043503">
        <w:t>pe and</w:t>
      </w:r>
      <w:r>
        <w:t xml:space="preserve"> the fact of Daniel’s deliverance, at its center, and at the end to the flourishing of Daniel, which both compares and contrasts with the beginning. </w:t>
      </w:r>
    </w:p>
    <w:p w:rsidR="00301660" w:rsidRPr="00B740B4" w:rsidRDefault="00301660" w:rsidP="00301660">
      <w:r w:rsidRPr="00B740B4">
        <w:t xml:space="preserve">Introduction and conclusion in simple narrative </w:t>
      </w:r>
      <w:r w:rsidR="00F26CFC">
        <w:t xml:space="preserve">form </w:t>
      </w:r>
      <w:r w:rsidRPr="00B740B4">
        <w:t>locate the story’s starting point in Daniel’s life, which is also its finishing point, thou</w:t>
      </w:r>
      <w:r w:rsidR="00BF2137">
        <w:t>gh the intention declared in v 3</w:t>
      </w:r>
      <w:r w:rsidRPr="00B740B4">
        <w:t xml:space="preserve"> is not resumed—w</w:t>
      </w:r>
      <w:r w:rsidR="0045036E">
        <w:t>hich reflects the fact that it</w:t>
      </w:r>
      <w:r w:rsidRPr="00B740B4">
        <w:t xml:space="preserve"> i</w:t>
      </w:r>
      <w:r w:rsidR="008C7324">
        <w:t>s merely background. Vv</w:t>
      </w:r>
      <w:r w:rsidR="00BF2137">
        <w:t xml:space="preserve"> 4-10</w:t>
      </w:r>
      <w:r w:rsidR="0045036E">
        <w:t xml:space="preserve"> have Daniel’</w:t>
      </w:r>
      <w:r w:rsidRPr="00B740B4">
        <w:t>s colleagues getting Darius to sign the injunction that sets up the point of</w:t>
      </w:r>
      <w:r w:rsidR="00BF2137">
        <w:t xml:space="preserve"> tension for the drama; vv 25-27</w:t>
      </w:r>
      <w:r w:rsidRPr="00B740B4">
        <w:t xml:space="preserve"> have Darius signing the decree that brings the drama to its climax. In both sections narrative is the framework for speech,</w:t>
      </w:r>
      <w:r w:rsidR="00BF2137">
        <w:t xml:space="preserve"> though speech of varying kinds: that in vv 4-10</w:t>
      </w:r>
      <w:r w:rsidRPr="00B740B4">
        <w:t xml:space="preserve"> is entirely the scheming words o</w:t>
      </w:r>
      <w:r w:rsidR="00BF2137">
        <w:t>f the plotters, that in vv 25-27</w:t>
      </w:r>
      <w:r w:rsidRPr="00B740B4">
        <w:t xml:space="preserve"> begins as the formal speech of a royal decree, then turns abruptly into the lyric parallelis</w:t>
      </w:r>
      <w:r w:rsidR="00BF2137">
        <w:t>m of a psalm</w:t>
      </w:r>
      <w:r w:rsidR="00665A62">
        <w:t xml:space="preserve"> which in content arguably forms the chapter’s climax</w:t>
      </w:r>
      <w:r w:rsidR="00BF2137">
        <w:t>.</w:t>
      </w:r>
      <w:r w:rsidR="00665A62">
        <w:rPr>
          <w:rStyle w:val="FootnoteReference"/>
        </w:rPr>
        <w:footnoteReference w:id="944"/>
      </w:r>
      <w:r w:rsidR="008C7324">
        <w:t xml:space="preserve"> Vv</w:t>
      </w:r>
      <w:r w:rsidR="00BF2137">
        <w:t xml:space="preserve"> 11-15 and 24</w:t>
      </w:r>
      <w:r w:rsidRPr="00B740B4">
        <w:t xml:space="preserve"> are narr</w:t>
      </w:r>
      <w:r w:rsidR="00BF2137">
        <w:t>ative, with dialogue in vv 11-15</w:t>
      </w:r>
      <w:r w:rsidRPr="00B740B4">
        <w:t>; death i</w:t>
      </w:r>
      <w:r w:rsidR="00F26CFC">
        <w:t xml:space="preserve">n a lion pit is first ensisaged by the potters </w:t>
      </w:r>
      <w:r w:rsidR="00BF2137">
        <w:t>then experienced</w:t>
      </w:r>
      <w:r w:rsidR="00F26CFC">
        <w:t xml:space="preserve"> by them</w:t>
      </w:r>
      <w:r w:rsidRPr="00B740B4">
        <w:t xml:space="preserve">. The </w:t>
      </w:r>
      <w:r w:rsidR="00F26CFC">
        <w:t>middle two sections</w:t>
      </w:r>
      <w:r w:rsidRPr="00B740B4">
        <w:t xml:space="preserve"> concern Darius and Daniel. The focus is first on Darius’s final words to Daniel, with their ambiguity, and then on his sleepl</w:t>
      </w:r>
      <w:r w:rsidR="00BF2137">
        <w:t>ess night, with its ambiguity. W</w:t>
      </w:r>
      <w:r w:rsidRPr="00B740B4">
        <w:t>e are told nothing of Daniel’s words or feelings. W</w:t>
      </w:r>
      <w:r w:rsidR="0026530D">
        <w:t>ith Darius we return to the pit</w:t>
      </w:r>
      <w:r w:rsidRPr="00B740B4">
        <w:t xml:space="preserve"> to discover what has happened; with Darius, we learn from Daniel’s words the answer to the question about Daniel’s fate</w:t>
      </w:r>
      <w:r w:rsidR="00BF2137">
        <w:t xml:space="preserve">, when for the only time Daniel speaks; </w:t>
      </w:r>
      <w:r w:rsidRPr="00B740B4">
        <w:t>there is no direct description of the event.</w:t>
      </w:r>
    </w:p>
    <w:p w:rsidR="00301660" w:rsidRPr="00B740B4" w:rsidRDefault="00BF2137" w:rsidP="00301660">
      <w:r>
        <w:t xml:space="preserve">The story offers three </w:t>
      </w:r>
      <w:r w:rsidR="00301660" w:rsidRPr="00B740B4">
        <w:t>different studies in characterization. Daniel’s colleagues appear as simply (in both senses of the word) plotters. Most of the speech in the story is theirs, and they condemn thems</w:t>
      </w:r>
      <w:r>
        <w:t>elves out of their own mouths. E</w:t>
      </w:r>
      <w:r w:rsidR="00F26CFC">
        <w:t>very word they utter</w:t>
      </w:r>
      <w:r w:rsidR="00301660" w:rsidRPr="00B740B4">
        <w:t>, as well as every move they make, concerns intrigue, manipulation, treachery, duplicity, and scheming. They have the arrogant boldness of a crowd bolstered by each other into bravado and folly. To “muster” (</w:t>
      </w:r>
      <w:r w:rsidR="00301660" w:rsidRPr="00B740B4">
        <w:rPr>
          <w:rStyle w:val="heb"/>
          <w:rFonts w:ascii="Arial" w:hAnsi="Arial" w:cs="Arial"/>
          <w:color w:val="auto"/>
        </w:rPr>
        <w:t>רגש</w:t>
      </w:r>
      <w:r w:rsidR="00301660" w:rsidRPr="00B740B4">
        <w:t>) is their d</w:t>
      </w:r>
      <w:r>
        <w:t>istinctive style (vv 6, 11, 15</w:t>
      </w:r>
      <w:r w:rsidR="00301660" w:rsidRPr="00B740B4">
        <w:t xml:space="preserve">). They care nothing for truth, for the state, for the king, for religion, for law. Everything is subordinate to their desire to get rid of Daniel. Together they plot, but together they die. </w:t>
      </w:r>
      <w:r w:rsidR="0026530D">
        <w:t>Daniel himself is labelled</w:t>
      </w:r>
      <w:r w:rsidR="0026530D" w:rsidRPr="00B740B4">
        <w:t xml:space="preserve"> </w:t>
      </w:r>
      <w:r w:rsidR="00301660" w:rsidRPr="00B740B4">
        <w:t>ad</w:t>
      </w:r>
      <w:r>
        <w:t>jectivally in passing (vv 3, 4</w:t>
      </w:r>
      <w:r w:rsidR="00301660" w:rsidRPr="00B740B4">
        <w:t xml:space="preserve">), then </w:t>
      </w:r>
      <w:r w:rsidR="0026530D">
        <w:t xml:space="preserve">described </w:t>
      </w:r>
      <w:r w:rsidR="00301660" w:rsidRPr="00B740B4">
        <w:t>in a te</w:t>
      </w:r>
      <w:r>
        <w:t>lling verse of narrative (v 10</w:t>
      </w:r>
      <w:r w:rsidR="00F26CFC">
        <w:t>)</w:t>
      </w:r>
      <w:r w:rsidR="00301660" w:rsidRPr="00B740B4">
        <w:t xml:space="preserve"> whose witness is summarized by the king him</w:t>
      </w:r>
      <w:r>
        <w:t>self (vv 16, 20</w:t>
      </w:r>
      <w:r w:rsidR="0026530D">
        <w:t>). The story says nothing</w:t>
      </w:r>
      <w:r w:rsidR="00301660" w:rsidRPr="00B740B4">
        <w:t xml:space="preserve"> about</w:t>
      </w:r>
      <w:r w:rsidR="0026530D">
        <w:t xml:space="preserve"> his experience or</w:t>
      </w:r>
      <w:r w:rsidR="00301660" w:rsidRPr="00B740B4">
        <w:t xml:space="preserve"> feelings</w:t>
      </w:r>
      <w:r w:rsidR="0026530D">
        <w:t xml:space="preserve"> as </w:t>
      </w:r>
      <w:r w:rsidR="00F26CFC">
        <w:t>he approaches the lion pit, and he</w:t>
      </w:r>
      <w:r w:rsidR="00F26CFC" w:rsidRPr="00F26CFC">
        <w:t xml:space="preserve"> is mostly </w:t>
      </w:r>
      <w:r w:rsidR="00F26CFC">
        <w:t>silent. The narrative</w:t>
      </w:r>
      <w:r w:rsidR="00F26CFC" w:rsidRPr="00F26CFC">
        <w:t xml:space="preserve"> </w:t>
      </w:r>
      <w:r w:rsidR="0026530D">
        <w:t>reserves</w:t>
      </w:r>
      <w:r w:rsidR="00301660" w:rsidRPr="00B740B4">
        <w:t xml:space="preserve"> hi</w:t>
      </w:r>
      <w:r>
        <w:t>s words for the climax in v 22</w:t>
      </w:r>
      <w:r w:rsidR="00F26CFC">
        <w:t xml:space="preserve">; </w:t>
      </w:r>
      <w:r w:rsidR="00301660" w:rsidRPr="00B740B4">
        <w:t xml:space="preserve">even here his words concern God’s act and his own innocence rather than his faith or his feelings. The king is caught between the conspirators and the confessor. He is the unspeaking victim of manipulation, opening his mouth only to confirm that he is </w:t>
      </w:r>
      <w:r w:rsidR="0026530D">
        <w:t>their</w:t>
      </w:r>
      <w:r>
        <w:t xml:space="preserve"> victim (v 12</w:t>
      </w:r>
      <w:r w:rsidR="00301660" w:rsidRPr="00B740B4">
        <w:t>). In relation to Daniel, however, he is the mouthpiece of unqualified recognition but ambiguous hope, renouncing indulgence and losing sleep, hurrying back to the execution scene in anxious agitation, rejoicing t</w:t>
      </w:r>
      <w:r w:rsidR="0026530D">
        <w:t>o lift Daniel to life,</w:t>
      </w:r>
      <w:r w:rsidR="00301660" w:rsidRPr="00B740B4">
        <w:t xml:space="preserve"> quick to send his assailants to their death, and finally fervent in his confession of Daniel’s God.</w:t>
      </w:r>
    </w:p>
    <w:p w:rsidR="0017219E" w:rsidRDefault="00301660" w:rsidP="00215D41">
      <w:r w:rsidRPr="00B740B4">
        <w:t>Some points in the story are underli</w:t>
      </w:r>
      <w:r w:rsidR="0026530D">
        <w:t>ned by the words used. It</w:t>
      </w:r>
      <w:r w:rsidRPr="00B740B4">
        <w:t xml:space="preserve"> concerns obedience to God’s law or to state law (</w:t>
      </w:r>
      <w:r w:rsidRPr="00B740B4">
        <w:rPr>
          <w:rStyle w:val="heb"/>
          <w:rFonts w:ascii="Arial" w:hAnsi="Arial" w:cs="Arial"/>
          <w:color w:val="auto"/>
        </w:rPr>
        <w:t>דת</w:t>
      </w:r>
      <w:r w:rsidR="005058C3">
        <w:t>, vv 5, 8</w:t>
      </w:r>
      <w:r w:rsidRPr="00B740B4">
        <w:t>). Daniel has done nothing injurious, he suffers no injury, and this shows that God’s realm will never suffer injury (</w:t>
      </w:r>
      <w:r w:rsidRPr="00B740B4">
        <w:rPr>
          <w:rStyle w:val="heb"/>
          <w:rFonts w:ascii="Arial" w:hAnsi="Arial" w:cs="Arial"/>
          <w:color w:val="auto"/>
        </w:rPr>
        <w:t>חבל</w:t>
      </w:r>
      <w:r w:rsidR="005058C3">
        <w:t>, vv 22, 22, 26</w:t>
      </w:r>
      <w:r w:rsidRPr="00B740B4">
        <w:t>). The satraps are to take notice of Daniel, they accuse Daniel of taking no notice of the king, the king gives notice that all peoples are to revere Daniel’s God (</w:t>
      </w:r>
      <w:r w:rsidRPr="00B740B4">
        <w:rPr>
          <w:rStyle w:val="heb"/>
          <w:rFonts w:ascii="Arial" w:hAnsi="Arial" w:cs="Arial"/>
          <w:color w:val="auto"/>
        </w:rPr>
        <w:t>טעם</w:t>
      </w:r>
      <w:r w:rsidR="005058C3">
        <w:t>, vv 2, 13, 26</w:t>
      </w:r>
      <w:r w:rsidRPr="00B740B4">
        <w:t>). Th</w:t>
      </w:r>
      <w:r w:rsidR="0017219E">
        <w:t>ings seem very disagreeable to the king, then very goo</w:t>
      </w:r>
      <w:r w:rsidRPr="00B740B4">
        <w:t>d (</w:t>
      </w:r>
      <w:r w:rsidRPr="00B740B4">
        <w:rPr>
          <w:rStyle w:val="heb"/>
          <w:rFonts w:ascii="Arial" w:hAnsi="Arial" w:cs="Arial"/>
          <w:color w:val="auto"/>
        </w:rPr>
        <w:t>באש</w:t>
      </w:r>
      <w:r w:rsidRPr="00B740B4">
        <w:t xml:space="preserve"> and its antonym </w:t>
      </w:r>
      <w:r w:rsidRPr="00B740B4">
        <w:rPr>
          <w:rStyle w:val="heb"/>
          <w:rFonts w:ascii="Arial" w:hAnsi="Arial" w:cs="Arial"/>
          <w:color w:val="auto"/>
        </w:rPr>
        <w:t>טאב</w:t>
      </w:r>
      <w:r w:rsidR="005058C3">
        <w:t>, vv 14, 23</w:t>
      </w:r>
      <w:r w:rsidRPr="00B740B4">
        <w:t>). The king goes off to the palace and comes back next morning (</w:t>
      </w:r>
      <w:r w:rsidRPr="00B740B4">
        <w:rPr>
          <w:rStyle w:val="heb"/>
          <w:rFonts w:ascii="Arial" w:hAnsi="Arial" w:cs="Arial"/>
          <w:color w:val="auto"/>
        </w:rPr>
        <w:t>אזל</w:t>
      </w:r>
      <w:r w:rsidR="005058C3">
        <w:t>, vv 18, 19;</w:t>
      </w:r>
      <w:r w:rsidRPr="00B740B4">
        <w:t xml:space="preserve"> cf. 2:17, 24). The conspirators can find nothing against Daniel until they find him praying, but he is found innocent before God and found unharmed by the lions (</w:t>
      </w:r>
      <w:r w:rsidRPr="00B740B4">
        <w:rPr>
          <w:rStyle w:val="heb"/>
          <w:rFonts w:ascii="Arial" w:hAnsi="Arial" w:cs="Arial"/>
          <w:color w:val="auto"/>
        </w:rPr>
        <w:t>שכח</w:t>
      </w:r>
      <w:r w:rsidR="005058C3">
        <w:t>, vv 4, 4, 5, 5, 11, 22, 23</w:t>
      </w:r>
      <w:r w:rsidR="0017219E">
        <w:t>). They</w:t>
      </w:r>
      <w:r w:rsidRPr="00B740B4">
        <w:t xml:space="preserve"> go in a crowd to see the king, to catch Daniel, and to tell the king he must impose execution (</w:t>
      </w:r>
      <w:r w:rsidRPr="00B740B4">
        <w:rPr>
          <w:rStyle w:val="heb"/>
          <w:rFonts w:ascii="Arial" w:hAnsi="Arial" w:cs="Arial"/>
          <w:color w:val="auto"/>
        </w:rPr>
        <w:t>רגש</w:t>
      </w:r>
      <w:r w:rsidRPr="00B740B4">
        <w:t>, v</w:t>
      </w:r>
      <w:r w:rsidR="005058C3">
        <w:t>v 6, 11, 15]). While t</w:t>
      </w:r>
      <w:r w:rsidRPr="00B740B4">
        <w:t>he chapter does not repeat phrases such as the lists of officers and instruments in the</w:t>
      </w:r>
      <w:r w:rsidR="005058C3">
        <w:t xml:space="preserve"> companion narrative, chap. 3, i</w:t>
      </w:r>
      <w:r w:rsidRPr="00B740B4">
        <w:t>t does repeat key words (King</w:t>
      </w:r>
      <w:r w:rsidR="000865D9">
        <w:t xml:space="preserve">, Daniel, realm, seek/petition and find, </w:t>
      </w:r>
      <w:r w:rsidRPr="00B740B4">
        <w:t>lion, pit),</w:t>
      </w:r>
      <w:r w:rsidR="000865D9">
        <w:rPr>
          <w:rStyle w:val="FootnoteReference"/>
        </w:rPr>
        <w:footnoteReference w:id="945"/>
      </w:r>
      <w:r w:rsidRPr="00B740B4">
        <w:t xml:space="preserve"> and </w:t>
      </w:r>
      <w:r w:rsidR="005058C3">
        <w:lastRenderedPageBreak/>
        <w:t xml:space="preserve">it </w:t>
      </w:r>
      <w:r w:rsidRPr="00B740B4">
        <w:t xml:space="preserve">includes a set of instances of hendiadys (vv </w:t>
      </w:r>
      <w:r w:rsidR="005058C3">
        <w:t>4, 4, 7, 8, 9, 10, 11, 15</w:t>
      </w:r>
      <w:r w:rsidRPr="00B740B4">
        <w:t xml:space="preserve">; cf. </w:t>
      </w:r>
      <w:r w:rsidRPr="00B740B4">
        <w:rPr>
          <w:rStyle w:val="heb"/>
          <w:rFonts w:ascii="Arial" w:hAnsi="Arial" w:cs="Arial"/>
          <w:color w:val="auto"/>
        </w:rPr>
        <w:t>א</w:t>
      </w:r>
      <w:r w:rsidR="00F26CFC">
        <w:rPr>
          <w:rStyle w:val="heb"/>
          <w:rFonts w:ascii="Arial" w:hAnsi="Arial" w:cs="Arial"/>
          <w:color w:val="auto"/>
        </w:rPr>
        <w:t xml:space="preserve"> </w:t>
      </w:r>
      <w:r w:rsidR="00F26CFC" w:rsidRPr="00F26CFC">
        <w:rPr>
          <w:rFonts w:ascii="Arial" w:hAnsi="Arial" w:cs="Arial"/>
        </w:rPr>
        <w:t>ה</w:t>
      </w:r>
      <w:r w:rsidR="00F26CFC">
        <w:rPr>
          <w:rStyle w:val="heb"/>
          <w:rFonts w:ascii="Arial" w:hAnsi="Arial" w:cs="Arial"/>
          <w:color w:val="auto"/>
        </w:rPr>
        <w:t xml:space="preserve"> </w:t>
      </w:r>
      <w:r w:rsidR="00F26CFC" w:rsidRPr="00F26CFC">
        <w:rPr>
          <w:rFonts w:ascii="Arial" w:hAnsi="Arial" w:cs="Arial"/>
        </w:rPr>
        <w:t>ג</w:t>
      </w:r>
      <w:r w:rsidR="00F26CFC">
        <w:rPr>
          <w:rStyle w:val="heb"/>
          <w:rFonts w:ascii="Arial" w:hAnsi="Arial" w:cs="Arial"/>
          <w:color w:val="auto"/>
        </w:rPr>
        <w:t xml:space="preserve"> </w:t>
      </w:r>
      <w:r w:rsidR="00F26CFC" w:rsidRPr="00F26CFC">
        <w:rPr>
          <w:rFonts w:ascii="Arial" w:hAnsi="Arial" w:cs="Arial"/>
        </w:rPr>
        <w:t>נ</w:t>
      </w:r>
      <w:r w:rsidRPr="00B740B4">
        <w:t> </w:t>
      </w:r>
      <w:r w:rsidR="00F26CFC" w:rsidRPr="00F26CFC">
        <w:rPr>
          <w:rFonts w:ascii="Arial" w:hAnsi="Arial" w:cs="Arial"/>
        </w:rPr>
        <w:t>ב</w:t>
      </w:r>
      <w:r w:rsidRPr="00B740B4">
        <w:t xml:space="preserve">. . . </w:t>
      </w:r>
      <w:r w:rsidRPr="00B740B4">
        <w:rPr>
          <w:rStyle w:val="heb"/>
          <w:rFonts w:ascii="Arial" w:hAnsi="Arial" w:cs="Arial"/>
          <w:color w:val="auto"/>
        </w:rPr>
        <w:t>בשפרפרא</w:t>
      </w:r>
      <w:r w:rsidRPr="00B740B4">
        <w:t xml:space="preserve"> “when morn</w:t>
      </w:r>
      <w:r w:rsidR="005058C3">
        <w:t>ing came . . . at sunrise,” v 19</w:t>
      </w:r>
      <w:r w:rsidRPr="00B740B4">
        <w:t>).</w:t>
      </w:r>
      <w:r w:rsidR="005058C3">
        <w:t xml:space="preserve"> </w:t>
      </w:r>
    </w:p>
    <w:p w:rsidR="00301660" w:rsidRPr="00B740B4" w:rsidRDefault="00F26CFC" w:rsidP="00215D41">
      <w:r>
        <w:t xml:space="preserve">OG again represents a </w:t>
      </w:r>
      <w:r w:rsidR="00215D41" w:rsidRPr="00B740B4">
        <w:t>different form of the chapter.</w:t>
      </w:r>
      <w:r w:rsidR="001752A6">
        <w:rPr>
          <w:rStyle w:val="FootnoteReference"/>
        </w:rPr>
        <w:footnoteReference w:id="946"/>
      </w:r>
    </w:p>
    <w:p w:rsidR="00A05B3A" w:rsidRPr="00B740B4" w:rsidRDefault="00A05B3A" w:rsidP="00A05B3A">
      <w:pPr>
        <w:pStyle w:val="Heading3"/>
      </w:pPr>
      <w:r w:rsidRPr="00B740B4">
        <w:t>Setting</w:t>
      </w:r>
    </w:p>
    <w:p w:rsidR="00A05B3A" w:rsidRPr="00B740B4" w:rsidRDefault="00A05B3A" w:rsidP="00301660"/>
    <w:p w:rsidR="00301660" w:rsidRPr="00B740B4" w:rsidRDefault="005058C3" w:rsidP="00301660">
      <w:r>
        <w:t>The story contains no concrete</w:t>
      </w:r>
      <w:r w:rsidR="00301660" w:rsidRPr="00B740B4">
        <w:t xml:space="preserve"> pointers </w:t>
      </w:r>
      <w:r w:rsidR="002D4FFF" w:rsidRPr="00B740B4">
        <w:t xml:space="preserve">towards </w:t>
      </w:r>
      <w:r w:rsidR="00301660" w:rsidRPr="00B740B4">
        <w:t>the Maccabean period; neither the motivation and aims of Daniel’s enemies, nor the harshness of Darius’s edict, nor his concern for Daniel suggest it. Observance of the sabba</w:t>
      </w:r>
      <w:r w:rsidR="00F26CFC">
        <w:t>th law and of Jewish feasts was</w:t>
      </w:r>
      <w:r w:rsidR="00301660" w:rsidRPr="00B740B4">
        <w:t xml:space="preserve"> proscribed in the second century </w:t>
      </w:r>
      <w:r>
        <w:rPr>
          <w:rStyle w:val="sm"/>
          <w:color w:val="auto"/>
        </w:rPr>
        <w:t>bc</w:t>
      </w:r>
      <w:r w:rsidR="00301660" w:rsidRPr="00B740B4">
        <w:t>; private prayer was not. Darius’s insistence that petitions be made to him alone does</w:t>
      </w:r>
      <w:r>
        <w:t xml:space="preserve"> not correspond</w:t>
      </w:r>
      <w:r w:rsidR="00301660" w:rsidRPr="00B740B4">
        <w:t xml:space="preserve"> to the irreligious actions of Antiochus </w:t>
      </w:r>
      <w:r w:rsidR="002D7584">
        <w:t>depicted</w:t>
      </w:r>
      <w:r w:rsidR="002D7584" w:rsidRPr="00B740B4">
        <w:t xml:space="preserve"> </w:t>
      </w:r>
      <w:r w:rsidR="00301660" w:rsidRPr="00B740B4">
        <w:t xml:space="preserve">in 11:36–39; in a dispersion context, private prayer of the </w:t>
      </w:r>
      <w:r>
        <w:t>kind described here is important</w:t>
      </w:r>
      <w:r w:rsidR="00301660" w:rsidRPr="00B740B4">
        <w:t>. The story might belong to any time in the Persian or Greek period. As with previous chapters, scholars have formulated varying hypotheses regarding earlier forms of the story and sta</w:t>
      </w:r>
      <w:r w:rsidR="0017219E">
        <w:t>ges by which it reached the shape</w:t>
      </w:r>
      <w:r w:rsidR="00301660" w:rsidRPr="00B740B4">
        <w:t xml:space="preserve"> that we kn</w:t>
      </w:r>
      <w:r w:rsidR="009D44E3">
        <w:t>ow,</w:t>
      </w:r>
      <w:r w:rsidR="009D44E3">
        <w:rPr>
          <w:rStyle w:val="FootnoteReference"/>
        </w:rPr>
        <w:footnoteReference w:id="947"/>
      </w:r>
      <w:r w:rsidR="009D44E3">
        <w:t xml:space="preserve"> though in this case one of the scholars interested in such hypotheses has commented that “there is little point trying to identify earlier forms of the story.”</w:t>
      </w:r>
      <w:r w:rsidR="009D44E3">
        <w:rPr>
          <w:rStyle w:val="FootnoteReference"/>
        </w:rPr>
        <w:footnoteReference w:id="948"/>
      </w:r>
    </w:p>
    <w:p w:rsidR="00301660" w:rsidRPr="00B740B4" w:rsidRDefault="00301660" w:rsidP="00301660">
      <w:r w:rsidRPr="00B740B4">
        <w:t>The chapter takes up from chap. 5, illustrating how Daniel continues to function during the reigns of the Median and Persian kings who succeed Belshazzar (5:28</w:t>
      </w:r>
      <w:r w:rsidR="009E7265">
        <w:t>; cf. 5:31; 6:1, 28</w:t>
      </w:r>
      <w:r w:rsidR="0017219E">
        <w:t xml:space="preserve"> [6:1, 2, 29]</w:t>
      </w:r>
      <w:r w:rsidRPr="00B740B4">
        <w:t xml:space="preserve">). </w:t>
      </w:r>
      <w:r w:rsidR="00FB129E">
        <w:t xml:space="preserve">But its special relationship is with </w:t>
      </w:r>
      <w:r w:rsidRPr="00B740B4">
        <w:t xml:space="preserve">chap. 3, which in a parallel way combines features of court conflict tale, confessor legend, aretalogy, and midrash, and holds together factual allusions, traditional motifs, and historical implausibilities. Both chapters are tales of two decrees. Both involve introduction, accusation, sentence, deliverance, and confession. Many words recur: </w:t>
      </w:r>
      <w:r w:rsidRPr="00B740B4">
        <w:rPr>
          <w:rStyle w:val="heb"/>
          <w:rFonts w:ascii="Arial" w:hAnsi="Arial" w:cs="Arial"/>
          <w:color w:val="auto"/>
        </w:rPr>
        <w:t>קרציהון</w:t>
      </w:r>
      <w:r w:rsidRPr="00B740B4">
        <w:t xml:space="preserve"> </w:t>
      </w:r>
      <w:r w:rsidR="009E7265" w:rsidRPr="009E7265">
        <w:rPr>
          <w:rFonts w:ascii="Arial" w:hAnsi="Arial" w:cs="Arial"/>
        </w:rPr>
        <w:t>אכל</w:t>
      </w:r>
      <w:r w:rsidR="009E7265">
        <w:t xml:space="preserve"> </w:t>
      </w:r>
      <w:r w:rsidRPr="00B740B4">
        <w:t xml:space="preserve">“attack,” </w:t>
      </w:r>
      <w:r w:rsidRPr="00B740B4">
        <w:rPr>
          <w:rStyle w:val="heb"/>
          <w:rFonts w:ascii="Arial" w:hAnsi="Arial" w:cs="Arial"/>
          <w:color w:val="auto"/>
        </w:rPr>
        <w:t>טעם</w:t>
      </w:r>
      <w:r w:rsidRPr="00B740B4">
        <w:t xml:space="preserve"> “notice,” </w:t>
      </w:r>
      <w:r w:rsidRPr="00B740B4">
        <w:rPr>
          <w:rStyle w:val="heb"/>
          <w:rFonts w:ascii="Arial" w:hAnsi="Arial" w:cs="Arial"/>
          <w:color w:val="auto"/>
        </w:rPr>
        <w:t>שלו</w:t>
      </w:r>
      <w:r w:rsidRPr="00B740B4">
        <w:t xml:space="preserve"> “negligence,” </w:t>
      </w:r>
      <w:r w:rsidRPr="00B740B4">
        <w:rPr>
          <w:rStyle w:val="heb"/>
          <w:rFonts w:ascii="Arial" w:hAnsi="Arial" w:cs="Arial"/>
          <w:color w:val="auto"/>
        </w:rPr>
        <w:t>שיזב</w:t>
      </w:r>
      <w:r w:rsidRPr="00B740B4">
        <w:t xml:space="preserve"> “deliver,” </w:t>
      </w:r>
      <w:r w:rsidRPr="00B740B4">
        <w:rPr>
          <w:rStyle w:val="heb"/>
          <w:rFonts w:ascii="Arial" w:hAnsi="Arial" w:cs="Arial"/>
          <w:color w:val="auto"/>
        </w:rPr>
        <w:t>צלח</w:t>
      </w:r>
      <w:r w:rsidRPr="00B740B4">
        <w:t xml:space="preserve"> “flourish,” </w:t>
      </w:r>
      <w:r w:rsidRPr="00B740B4">
        <w:rPr>
          <w:rStyle w:val="heb"/>
          <w:rFonts w:ascii="Arial" w:hAnsi="Arial" w:cs="Arial"/>
          <w:color w:val="auto"/>
        </w:rPr>
        <w:t>בהתבהלה</w:t>
      </w:r>
      <w:r w:rsidRPr="00B740B4">
        <w:t xml:space="preserve"> “in agitation,” </w:t>
      </w:r>
      <w:r w:rsidRPr="00B740B4">
        <w:rPr>
          <w:rStyle w:val="heb"/>
          <w:rFonts w:ascii="Arial" w:hAnsi="Arial" w:cs="Arial"/>
          <w:color w:val="auto"/>
        </w:rPr>
        <w:t>שלט</w:t>
      </w:r>
      <w:r w:rsidR="009E7265">
        <w:t xml:space="preserve"> “overpower.” In both, Jehudite</w:t>
      </w:r>
      <w:r w:rsidRPr="00B740B4">
        <w:t xml:space="preserve"> exiles who have reached positions of authority in the empire are put in a position where a royal edict requires them to aban</w:t>
      </w:r>
      <w:r w:rsidR="009E7265">
        <w:t>don a fundamental public</w:t>
      </w:r>
      <w:r w:rsidRPr="00B740B4">
        <w:t xml:space="preserve"> conc</w:t>
      </w:r>
      <w:r w:rsidR="009E7265">
        <w:t xml:space="preserve">rete expression of their </w:t>
      </w:r>
      <w:r w:rsidRPr="00B740B4">
        <w:t>faith. In both, jealous colleagues gather to indict them for their stand, accuse them of slighting the king’s authority, and insist that he implement the unpleasant capital sanction required by the edict. In both, the king does so, ens</w:t>
      </w:r>
      <w:r w:rsidR="009E7265">
        <w:t xml:space="preserve">uring that there is no way </w:t>
      </w:r>
      <w:r w:rsidRPr="00B740B4">
        <w:t xml:space="preserve">they can escape. In both, there is ambiguous talk of the possibility that God may deliver, then </w:t>
      </w:r>
      <w:r w:rsidR="00FB129E">
        <w:t xml:space="preserve">a </w:t>
      </w:r>
      <w:r w:rsidRPr="00B740B4">
        <w:t xml:space="preserve">description of the king rising </w:t>
      </w:r>
      <w:r w:rsidR="009E7265">
        <w:t>in agitation to perceive that God</w:t>
      </w:r>
      <w:r w:rsidR="00FB129E">
        <w:t xml:space="preserve"> has acted,</w:t>
      </w:r>
      <w:r w:rsidRPr="00B740B4">
        <w:t xml:space="preserve"> as the Psa</w:t>
      </w:r>
      <w:r w:rsidR="009E7265">
        <w:t xml:space="preserve">lms promise </w:t>
      </w:r>
      <w:r w:rsidRPr="00B740B4">
        <w:t>in the context of such experiences, because of the confessors’ trust in him; he has sent one of his heavenly servants into the place of execution, so that the confessors are quite unharmed. In both, the king orders them to be released</w:t>
      </w:r>
      <w:r w:rsidR="009E7265">
        <w:t>,</w:t>
      </w:r>
      <w:r w:rsidRPr="00B740B4">
        <w:t xml:space="preserve"> and others die in their place. In both, the king declares that all peoples are to recognize the unique power of their God, and the story closes by noting how they continue to flourish. The stories are bracketed together in Heb 11:33–34.</w:t>
      </w:r>
    </w:p>
    <w:p w:rsidR="00301660" w:rsidRPr="00B740B4" w:rsidRDefault="00FB129E" w:rsidP="00301660">
      <w:r>
        <w:t>C</w:t>
      </w:r>
      <w:r w:rsidR="00301660" w:rsidRPr="00B740B4">
        <w:t>hap. 6 by no means simply repeats chap. 3. The setting is Persian, not Babylonian; Darius’s edict results from his being manipulated, not from his own initiative; Daniel’s accusers are</w:t>
      </w:r>
      <w:r w:rsidR="009E7265">
        <w:t xml:space="preserve"> other officials, not other expert</w:t>
      </w:r>
      <w:r w:rsidR="00301660" w:rsidRPr="00B740B4">
        <w:t>s; Daniel’s loyalty to the state is emphasized; Daniel’</w:t>
      </w:r>
      <w:r w:rsidR="009E7265">
        <w:t>s area of testing is personal</w:t>
      </w:r>
      <w:r w:rsidR="00301660" w:rsidRPr="00B740B4">
        <w:t xml:space="preserve"> prayer, not public religion; it concerns what is forbidden, not what is required; his danger comes from the lion pit, not the furnace; Darius is concerned for Daniel, not enraged; he accepts Daniel’s religious practice, instead</w:t>
      </w:r>
      <w:r w:rsidR="009E7265">
        <w:t xml:space="preserve"> of seeking to p</w:t>
      </w:r>
      <w:r w:rsidR="00301660" w:rsidRPr="00B740B4">
        <w:t>ersuade him; he allows for the possibility of God s delivering Da</w:t>
      </w:r>
      <w:r w:rsidR="009E7265">
        <w:t xml:space="preserve">niel, rather than excluding it; Daniel </w:t>
      </w:r>
      <w:r w:rsidR="00301660" w:rsidRPr="00B740B4">
        <w:t xml:space="preserve">makes no statement of his faith; Darius learns of what </w:t>
      </w:r>
      <w:r w:rsidR="00301660" w:rsidRPr="00B740B4">
        <w:lastRenderedPageBreak/>
        <w:t>happens from Daniel, rather than witnessing it; he orders the punishmen</w:t>
      </w:r>
      <w:r w:rsidR="009E7265">
        <w:t>t of</w:t>
      </w:r>
      <w:r w:rsidR="00301660" w:rsidRPr="00B740B4">
        <w:t xml:space="preserve"> Daniel’s attackers; he requires empire-wide worship of Daniel’s God, rather than mere tolerance of the Jews’ religion. Thus some motifs are heightened, some appear in varied form, some are reduced.</w:t>
      </w:r>
      <w:r w:rsidR="009E7265">
        <w:t xml:space="preserve"> The correlati</w:t>
      </w:r>
      <w:r w:rsidR="002D7584">
        <w:t xml:space="preserve">on between the two stories </w:t>
      </w:r>
      <w:r w:rsidR="009E7265">
        <w:t>compares with that between the two cola in a line in OT poetry.</w:t>
      </w:r>
    </w:p>
    <w:p w:rsidR="00301660" w:rsidRDefault="00301660" w:rsidP="00301660">
      <w:r w:rsidRPr="00B740B4">
        <w:t xml:space="preserve">Similarities and differences enable us to perceive aspects of the stories’ respective significance. Recurring features may suggest recurring experiences, pressures, challenges, insights, and promises. As well as reflecting the diverse forms these </w:t>
      </w:r>
      <w:r w:rsidR="009E7265">
        <w:t xml:space="preserve">recurrent features </w:t>
      </w:r>
      <w:r w:rsidRPr="00B740B4">
        <w:t>may take, distinctive features may highlight important themes: the exiles are to be willing both to maintain their “no” to public practices that are incompatible with their commitment to God, and to</w:t>
      </w:r>
      <w:r w:rsidR="00267B4F">
        <w:t xml:space="preserve"> maintain their “yes” to personal</w:t>
      </w:r>
      <w:r w:rsidRPr="00B740B4">
        <w:t xml:space="preserve"> practices that are essential to their commitment to God.</w:t>
      </w:r>
    </w:p>
    <w:p w:rsidR="00FB129E" w:rsidRPr="00FB129E" w:rsidRDefault="00FB129E" w:rsidP="00FB129E">
      <w:r w:rsidRPr="00FB129E">
        <w:t>Daniel’s deliverance from death prefaces the promise of deliverance after death at the end of the vision sequence (chap. 12), and Darius’s confession recapitulates the affirmations that bring earlier stories to a climax (2:44; 3:28; 4:3, 34).</w:t>
      </w:r>
      <w:r w:rsidRPr="00FB129E">
        <w:rPr>
          <w:vertAlign w:val="superscript"/>
        </w:rPr>
        <w:footnoteReference w:id="949"/>
      </w:r>
      <w:r w:rsidRPr="00FB129E">
        <w:t xml:space="preserve"> Bringing the s</w:t>
      </w:r>
      <w:r w:rsidR="002D7584">
        <w:t>tories in Dan 1–6 to a close, the chapter</w:t>
      </w:r>
      <w:r w:rsidRPr="00FB129E">
        <w:t xml:space="preserve"> offers a final example of the varying behavior of pagan kings, of the varied testing of God’s man, and of the wonderful deeds of his God. But </w:t>
      </w:r>
      <w:r>
        <w:t xml:space="preserve">the comparison and contrast with chap. 3 also makes clear that </w:t>
      </w:r>
      <w:r w:rsidRPr="00FB129E">
        <w:t xml:space="preserve">it </w:t>
      </w:r>
      <w:r>
        <w:t>does not</w:t>
      </w:r>
      <w:r w:rsidRPr="00FB129E">
        <w:t xml:space="preserve"> bring the sequence to a</w:t>
      </w:r>
      <w:r>
        <w:t>n unequivocal and</w:t>
      </w:r>
      <w:r w:rsidRPr="00FB129E">
        <w:t xml:space="preserve"> positive climax. The pattern of the six chapters suggests that  “harmonious resolution is forever provisional…. Conflict and resolution are thus cyclic.”</w:t>
      </w:r>
      <w:r w:rsidRPr="00FB129E">
        <w:rPr>
          <w:vertAlign w:val="superscript"/>
        </w:rPr>
        <w:footnoteReference w:id="950"/>
      </w:r>
    </w:p>
    <w:p w:rsidR="00301660" w:rsidRPr="00B740B4" w:rsidRDefault="00301660" w:rsidP="009479B1">
      <w:pPr>
        <w:pStyle w:val="Heading2"/>
      </w:pPr>
      <w:r w:rsidRPr="00B740B4">
        <w:t>Comment</w:t>
      </w:r>
    </w:p>
    <w:p w:rsidR="00301660" w:rsidRPr="00B740B4" w:rsidRDefault="00267B4F" w:rsidP="00301660">
      <w:r>
        <w:rPr>
          <w:rStyle w:val="b"/>
          <w:color w:val="auto"/>
        </w:rPr>
        <w:t>1–2</w:t>
      </w:r>
      <w:r w:rsidR="00301660" w:rsidRPr="00B740B4">
        <w:t xml:space="preserve"> Appointing satraps was apparently an aspect of Darius</w:t>
      </w:r>
      <w:r w:rsidR="00FA4758">
        <w:t xml:space="preserve"> I</w:t>
      </w:r>
      <w:r w:rsidR="00301660" w:rsidRPr="00B740B4">
        <w:t xml:space="preserve">’s organization of the realm at the beginning of </w:t>
      </w:r>
      <w:r>
        <w:t>his reign</w:t>
      </w:r>
      <w:r w:rsidR="0044073A">
        <w:t xml:space="preserve"> (522-485), but there were </w:t>
      </w:r>
      <w:r w:rsidR="009B5882">
        <w:t xml:space="preserve">then </w:t>
      </w:r>
      <w:r w:rsidR="0044073A" w:rsidRPr="0044073A">
        <w:t>20 to 29 satraps/provinces</w:t>
      </w:r>
      <w:r w:rsidR="009B5882">
        <w:t xml:space="preserve"> </w:t>
      </w:r>
      <w:r w:rsidR="009B5882" w:rsidRPr="009B5882">
        <w:t xml:space="preserve">(so Herodotus, </w:t>
      </w:r>
      <w:r w:rsidR="009B5882" w:rsidRPr="009B5882">
        <w:rPr>
          <w:i/>
        </w:rPr>
        <w:t>Histories</w:t>
      </w:r>
      <w:r w:rsidR="009B5882" w:rsidRPr="009B5882">
        <w:t xml:space="preserve"> 3.89, Darius’s inscriptions, and the inscription on his tomb</w:t>
      </w:r>
      <w:r w:rsidR="009B5882">
        <w:t>)</w:t>
      </w:r>
      <w:r>
        <w:t>. The number</w:t>
      </w:r>
      <w:r w:rsidR="009B5882">
        <w:t xml:space="preserve"> 120</w:t>
      </w:r>
      <w:r w:rsidR="00301660" w:rsidRPr="00B740B4">
        <w:t xml:space="preserve"> compares with the 127 provinces</w:t>
      </w:r>
      <w:r w:rsidR="0044073A">
        <w:t xml:space="preserve"> in the time of </w:t>
      </w:r>
      <w:r w:rsidR="009B5882">
        <w:t xml:space="preserve">Darius’s successor, </w:t>
      </w:r>
      <w:r w:rsidR="0044073A">
        <w:t>Xerxes (485–465</w:t>
      </w:r>
      <w:r w:rsidR="00301660" w:rsidRPr="00B740B4">
        <w:t>)</w:t>
      </w:r>
      <w:r w:rsidR="009B5882">
        <w:t>,</w:t>
      </w:r>
      <w:r w:rsidR="00301660" w:rsidRPr="00B740B4">
        <w:t xml:space="preserve"> mentioned in Esth 1:1; 1 Esd 3:2 (to which OG assimilates </w:t>
      </w:r>
      <w:r>
        <w:t>Dan 6:1</w:t>
      </w:r>
      <w:r w:rsidR="009B5882">
        <w:t>). In Darius’s time</w:t>
      </w:r>
      <w:r w:rsidR="00301660" w:rsidRPr="00B740B4">
        <w:t xml:space="preserve"> the satraps were the king’s viceroys in each of the provinces, responsible for security and for the </w:t>
      </w:r>
      <w:r w:rsidR="00FB129E">
        <w:t xml:space="preserve">collecting of tribute; </w:t>
      </w:r>
      <w:r>
        <w:t xml:space="preserve">“satrap” </w:t>
      </w:r>
      <w:r w:rsidR="00301660" w:rsidRPr="00B740B4">
        <w:t>means “prote</w:t>
      </w:r>
      <w:r w:rsidR="009B5882">
        <w:t>ctor of the realm.” But here, “satraps”</w:t>
      </w:r>
      <w:r w:rsidR="00301660" w:rsidRPr="00B740B4">
        <w:t xml:space="preserve"> </w:t>
      </w:r>
      <w:r w:rsidR="009B5882">
        <w:t xml:space="preserve">must denote </w:t>
      </w:r>
      <w:r w:rsidR="00301660" w:rsidRPr="00B740B4">
        <w:t>official</w:t>
      </w:r>
      <w:r w:rsidR="009B5882">
        <w:t xml:space="preserve">s in a looser sense, perhaps </w:t>
      </w:r>
      <w:r w:rsidR="00301660" w:rsidRPr="00B740B4">
        <w:t>government officials generally</w:t>
      </w:r>
      <w:r w:rsidR="009B5882">
        <w:t>. W</w:t>
      </w:r>
      <w:r w:rsidR="00FB129E" w:rsidRPr="00FB129E">
        <w:t xml:space="preserve">hen control of Babylon passed to </w:t>
      </w:r>
      <w:r w:rsidR="00E45228">
        <w:t>Cyrus’</w:t>
      </w:r>
      <w:r w:rsidR="00FB129E" w:rsidRPr="00FB129E">
        <w:t xml:space="preserve"> governor Gobryas, most officials in the administration retained the posts they had held under the Babylonians.</w:t>
      </w:r>
      <w:r w:rsidR="00301660" w:rsidRPr="00B740B4">
        <w:t xml:space="preserve"> </w:t>
      </w:r>
      <w:r w:rsidR="00FB129E">
        <w:t xml:space="preserve">In Xenophon the word </w:t>
      </w:r>
      <w:r w:rsidR="00301660" w:rsidRPr="00B740B4">
        <w:t>refer</w:t>
      </w:r>
      <w:r w:rsidR="00FB129E">
        <w:t>s</w:t>
      </w:r>
      <w:r w:rsidR="00301660" w:rsidRPr="00B740B4">
        <w:t xml:space="preserve"> to officials appointed by Cyrus and to other rulers who were not satraps in the strict sense (e.g., </w:t>
      </w:r>
      <w:r w:rsidR="00301660" w:rsidRPr="00B740B4">
        <w:rPr>
          <w:rStyle w:val="i"/>
          <w:color w:val="auto"/>
        </w:rPr>
        <w:t>Cyr</w:t>
      </w:r>
      <w:r>
        <w:rPr>
          <w:rStyle w:val="i"/>
          <w:color w:val="auto"/>
        </w:rPr>
        <w:t>opedia</w:t>
      </w:r>
      <w:r w:rsidR="00301660" w:rsidRPr="00B740B4">
        <w:rPr>
          <w:rStyle w:val="i"/>
          <w:color w:val="auto"/>
        </w:rPr>
        <w:t>.</w:t>
      </w:r>
      <w:r w:rsidR="00301660" w:rsidRPr="00B740B4">
        <w:t xml:space="preserve"> 8.11; </w:t>
      </w:r>
      <w:r w:rsidR="00301660" w:rsidRPr="00B740B4">
        <w:rPr>
          <w:rStyle w:val="i"/>
          <w:color w:val="auto"/>
        </w:rPr>
        <w:t>Hellenica</w:t>
      </w:r>
      <w:r w:rsidR="00FB129E">
        <w:t xml:space="preserve"> 3.1.10–12).</w:t>
      </w:r>
      <w:r w:rsidR="00530DD5">
        <w:rPr>
          <w:rStyle w:val="FootnoteReference"/>
        </w:rPr>
        <w:footnoteReference w:id="951"/>
      </w:r>
      <w:r w:rsidR="00FB129E">
        <w:t xml:space="preserve"> It</w:t>
      </w:r>
      <w:r w:rsidR="00301660" w:rsidRPr="00B740B4">
        <w:t xml:space="preserve"> has already been used in Dan 3:2 with reference to the Babylonian period. The form of the word (</w:t>
      </w:r>
      <w:r w:rsidR="00301660" w:rsidRPr="00B740B4">
        <w:rPr>
          <w:rStyle w:val="heb"/>
          <w:rFonts w:ascii="Arial" w:hAnsi="Arial" w:cs="Arial"/>
          <w:color w:val="auto"/>
        </w:rPr>
        <w:t>אחשדרפניא</w:t>
      </w:r>
      <w:r w:rsidR="00301660" w:rsidRPr="00B740B4">
        <w:t xml:space="preserve">) is closer to Median </w:t>
      </w:r>
      <w:r w:rsidR="00301660" w:rsidRPr="00B740B4">
        <w:rPr>
          <w:rStyle w:val="theb-i"/>
          <w:color w:val="auto"/>
        </w:rPr>
        <w:t>kšatrapan</w:t>
      </w:r>
      <w:r w:rsidR="00301660" w:rsidRPr="00B740B4">
        <w:t xml:space="preserve"> than </w:t>
      </w:r>
      <w:r w:rsidR="00301660" w:rsidRPr="004A3897">
        <w:rPr>
          <w:rStyle w:val="i"/>
          <w:i w:val="0"/>
          <w:color w:val="auto"/>
        </w:rPr>
        <w:t>OP</w:t>
      </w:r>
      <w:r w:rsidR="00301660" w:rsidRPr="00B740B4">
        <w:t xml:space="preserve"> </w:t>
      </w:r>
      <w:r w:rsidR="00301660" w:rsidRPr="00B740B4">
        <w:rPr>
          <w:rStyle w:val="theb-i"/>
          <w:color w:val="auto"/>
        </w:rPr>
        <w:t>kšaśapawan</w:t>
      </w:r>
      <w:r w:rsidR="00301660" w:rsidRPr="00B740B4">
        <w:t>, which might suggest that it, with the office it denoted, was familiar in Aramaic before the Persian period.</w:t>
      </w:r>
      <w:r>
        <w:rPr>
          <w:rStyle w:val="FootnoteReference"/>
        </w:rPr>
        <w:footnoteReference w:id="952"/>
      </w:r>
    </w:p>
    <w:p w:rsidR="00301660" w:rsidRPr="00B740B4" w:rsidRDefault="00301660" w:rsidP="00301660">
      <w:r w:rsidRPr="00B740B4">
        <w:t xml:space="preserve">There is no known parallel </w:t>
      </w:r>
      <w:r w:rsidR="00FB129E">
        <w:t>to the three “heads,” though compare</w:t>
      </w:r>
      <w:r w:rsidRPr="00B740B4">
        <w:t xml:space="preserve"> 1 Esd 3:9; Dan 5:7; also the seven counselors/princes of, e.g., Ezra 7:14; Esth 1:14; Herodotus</w:t>
      </w:r>
      <w:r w:rsidR="00267B4F">
        <w:t xml:space="preserve">, </w:t>
      </w:r>
      <w:r w:rsidR="00267B4F">
        <w:rPr>
          <w:i/>
        </w:rPr>
        <w:t>Histories</w:t>
      </w:r>
      <w:r w:rsidR="00267B4F">
        <w:t xml:space="preserve"> 3.71, 76, 83–84</w:t>
      </w:r>
      <w:r w:rsidRPr="00B740B4">
        <w:t>.</w:t>
      </w:r>
      <w:r w:rsidR="00267B4F">
        <w:rPr>
          <w:rStyle w:val="FootnoteReference"/>
        </w:rPr>
        <w:footnoteReference w:id="953"/>
      </w:r>
      <w:r w:rsidRPr="00B740B4">
        <w:t xml:space="preserve"> As checks on the satraps, Darius I appointed two other officials in each province, a commandant and a civil servant, who reported to the king (Herodotus</w:t>
      </w:r>
      <w:r w:rsidR="00267B4F">
        <w:t xml:space="preserve">, </w:t>
      </w:r>
      <w:r w:rsidR="00267B4F">
        <w:rPr>
          <w:i/>
        </w:rPr>
        <w:t>Histories</w:t>
      </w:r>
      <w:r w:rsidRPr="00B740B4">
        <w:t xml:space="preserve"> 3.128); he also had personal advisers at court.</w:t>
      </w:r>
      <w:r w:rsidR="00267B4F">
        <w:rPr>
          <w:rStyle w:val="FootnoteReference"/>
        </w:rPr>
        <w:footnoteReference w:id="954"/>
      </w:r>
    </w:p>
    <w:p w:rsidR="00CF6520" w:rsidRPr="00CF6520" w:rsidRDefault="00267B4F" w:rsidP="00CF6520">
      <w:r>
        <w:rPr>
          <w:rStyle w:val="b"/>
          <w:color w:val="auto"/>
        </w:rPr>
        <w:t>3–9</w:t>
      </w:r>
      <w:r w:rsidR="00301660" w:rsidRPr="00B740B4">
        <w:t xml:space="preserve"> Daniel’s “remarkable spirit” is assumed to be of s</w:t>
      </w:r>
      <w:r>
        <w:t>upernatural origin (see on 4:</w:t>
      </w:r>
      <w:r w:rsidR="00301660" w:rsidRPr="00B740B4">
        <w:t xml:space="preserve">8). </w:t>
      </w:r>
      <w:r w:rsidR="00120A2E">
        <w:t>No doubt the schemers</w:t>
      </w:r>
      <w:r w:rsidR="00CD3BEB">
        <w:t>’</w:t>
      </w:r>
      <w:r w:rsidR="00120A2E">
        <w:t xml:space="preserve"> claim to represent the entire admini</w:t>
      </w:r>
      <w:r w:rsidR="00CD3BEB">
        <w:t>s</w:t>
      </w:r>
      <w:r w:rsidR="00120A2E">
        <w:t xml:space="preserve">tration </w:t>
      </w:r>
      <w:r w:rsidR="00491A03">
        <w:t>(</w:t>
      </w:r>
      <w:r w:rsidR="00AF422C">
        <w:t>v</w:t>
      </w:r>
      <w:r w:rsidR="00491A03">
        <w:t xml:space="preserve"> 7) </w:t>
      </w:r>
      <w:r w:rsidR="00120A2E">
        <w:t xml:space="preserve">compares with the claim of politicians to </w:t>
      </w:r>
      <w:r w:rsidR="00120A2E">
        <w:lastRenderedPageBreak/>
        <w:t>represent the consensus of the entire American people.</w:t>
      </w:r>
      <w:r w:rsidR="00120A2E">
        <w:rPr>
          <w:rStyle w:val="FootnoteReference"/>
        </w:rPr>
        <w:footnoteReference w:id="955"/>
      </w:r>
      <w:r w:rsidR="00491A03">
        <w:t xml:space="preserve"> </w:t>
      </w:r>
      <w:r w:rsidR="00403912">
        <w:t>To put it more briskly, “the men are lying, of course.”</w:t>
      </w:r>
      <w:r w:rsidR="00403912">
        <w:rPr>
          <w:rStyle w:val="FootnoteReference"/>
        </w:rPr>
        <w:footnoteReference w:id="956"/>
      </w:r>
      <w:r w:rsidR="00403912">
        <w:t xml:space="preserve"> </w:t>
      </w:r>
      <w:r w:rsidR="00301660" w:rsidRPr="00B740B4">
        <w:t>An injunc</w:t>
      </w:r>
      <w:r w:rsidR="00491A03">
        <w:t xml:space="preserve">tion of the kind proposed </w:t>
      </w:r>
      <w:r w:rsidR="00301660" w:rsidRPr="00B740B4">
        <w:t>is otherwise unknown. In Persia the king was not regarded as divine in the Egyptian sense, though in court ceremonial</w:t>
      </w:r>
      <w:r w:rsidR="009B5882">
        <w:t>,</w:t>
      </w:r>
      <w:r w:rsidR="00301660" w:rsidRPr="00B740B4">
        <w:t xml:space="preserve"> people did obeisance before him as one would to a god, and the general idea that the king is a manifestation or representative of deity and a key mediator with deity appears in Persian writings, as in Me</w:t>
      </w:r>
      <w:r w:rsidR="009B5882">
        <w:t>sopotamian and Hellenistic ones (</w:t>
      </w:r>
      <w:r w:rsidR="00301660" w:rsidRPr="00B740B4">
        <w:t>and, in a sense, Israelite</w:t>
      </w:r>
      <w:r w:rsidR="009B5882">
        <w:t xml:space="preserve"> ones)</w:t>
      </w:r>
      <w:r w:rsidR="00301660" w:rsidRPr="00B740B4">
        <w:t>.</w:t>
      </w:r>
      <w:r>
        <w:rPr>
          <w:rStyle w:val="FootnoteReference"/>
        </w:rPr>
        <w:footnoteReference w:id="957"/>
      </w:r>
      <w:r w:rsidR="00120A2E">
        <w:t xml:space="preserve"> The</w:t>
      </w:r>
      <w:r w:rsidR="00301660" w:rsidRPr="00B740B4">
        <w:t xml:space="preserve"> injunction satirizes the link that many of Israel’s pagan overlords claimed between</w:t>
      </w:r>
      <w:r w:rsidR="00CD3BEB">
        <w:t xml:space="preserve"> their monarchy and the godhead.</w:t>
      </w:r>
      <w:r w:rsidR="003071CD">
        <w:rPr>
          <w:rStyle w:val="FootnoteReference"/>
        </w:rPr>
        <w:footnoteReference w:id="958"/>
      </w:r>
      <w:r w:rsidR="00CD3BEB">
        <w:t xml:space="preserve"> The mockery</w:t>
      </w:r>
      <w:r w:rsidR="00CD3BEB" w:rsidRPr="00B740B4">
        <w:t xml:space="preserve"> </w:t>
      </w:r>
      <w:r w:rsidR="00CD3BEB">
        <w:t xml:space="preserve">compares with the disdain </w:t>
      </w:r>
      <w:r w:rsidR="001A0284">
        <w:t xml:space="preserve">shown </w:t>
      </w:r>
      <w:r w:rsidR="00CD3BEB">
        <w:t xml:space="preserve">in </w:t>
      </w:r>
      <w:r w:rsidR="00301660" w:rsidRPr="00B740B4">
        <w:t xml:space="preserve">Isa 14:13–14; 36–37 </w:t>
      </w:r>
      <w:r w:rsidR="001A0284">
        <w:t xml:space="preserve">towards </w:t>
      </w:r>
      <w:r w:rsidR="00CD3BEB">
        <w:t>that link as</w:t>
      </w:r>
      <w:r w:rsidR="00301660" w:rsidRPr="00B740B4">
        <w:t xml:space="preserve"> claime</w:t>
      </w:r>
      <w:r w:rsidR="00CD3BEB">
        <w:t>d by Babylon and Assyria, and</w:t>
      </w:r>
      <w:r w:rsidR="001A0284">
        <w:t xml:space="preserve"> with the lampooning of the </w:t>
      </w:r>
      <w:r w:rsidR="00CD3BEB">
        <w:t xml:space="preserve">images </w:t>
      </w:r>
      <w:r w:rsidR="001A0284">
        <w:t>of Babylonian gods in Isa 40–55</w:t>
      </w:r>
      <w:r w:rsidR="00CD3BEB">
        <w:t>, taking the</w:t>
      </w:r>
      <w:r w:rsidR="00301660" w:rsidRPr="00B740B4">
        <w:t xml:space="preserve"> implications </w:t>
      </w:r>
      <w:r w:rsidR="00CD3BEB">
        <w:t xml:space="preserve">of their manufacture </w:t>
      </w:r>
      <w:r w:rsidR="00301660" w:rsidRPr="00B740B4">
        <w:t>to their ridiculous logical conclusion.</w:t>
      </w:r>
      <w:r w:rsidR="003071CD">
        <w:t xml:space="preserve"> Daniel lam</w:t>
      </w:r>
      <w:r w:rsidR="001752A6">
        <w:t>poons the heads and satraps, too, in his repeated description of them “crashing on and off stage.”</w:t>
      </w:r>
      <w:r w:rsidR="001752A6">
        <w:rPr>
          <w:rStyle w:val="FootnoteReference"/>
        </w:rPr>
        <w:footnoteReference w:id="959"/>
      </w:r>
      <w:r w:rsidR="00CF6520">
        <w:t xml:space="preserve"> The satirical form of the story</w:t>
      </w:r>
      <w:r w:rsidR="00CF6520" w:rsidRPr="00CF6520">
        <w:t xml:space="preserve"> involves a mimicry or mockery that renders the empire ambivalent</w:t>
      </w:r>
      <w:r w:rsidR="00CF6520">
        <w:t>,</w:t>
      </w:r>
      <w:r w:rsidR="00CF6520" w:rsidRPr="00CF6520">
        <w:t xml:space="preserve"> and undermines it.</w:t>
      </w:r>
      <w:r w:rsidR="00CF6520" w:rsidRPr="00CF6520">
        <w:rPr>
          <w:vertAlign w:val="superscript"/>
        </w:rPr>
        <w:footnoteReference w:id="960"/>
      </w:r>
    </w:p>
    <w:p w:rsidR="00CD3BEB" w:rsidRDefault="00301660" w:rsidP="00301660">
      <w:r w:rsidRPr="00B740B4">
        <w:t>“Pit” (</w:t>
      </w:r>
      <w:r w:rsidRPr="00B740B4">
        <w:rPr>
          <w:rStyle w:val="heb"/>
          <w:rFonts w:ascii="Arial" w:hAnsi="Arial" w:cs="Arial"/>
          <w:color w:val="auto"/>
        </w:rPr>
        <w:t>גב</w:t>
      </w:r>
      <w:r w:rsidR="000B4A0F">
        <w:t>, v 7</w:t>
      </w:r>
      <w:r w:rsidRPr="00B740B4">
        <w:t>) is an ordinary word for an underground cistern, used for w</w:t>
      </w:r>
      <w:r w:rsidR="009E07BA">
        <w:t>ater storage or as a prison—or for keeping lions</w:t>
      </w:r>
      <w:r w:rsidRPr="00B740B4">
        <w:t>.</w:t>
      </w:r>
      <w:r w:rsidR="009E07BA">
        <w:rPr>
          <w:rStyle w:val="FootnoteReference"/>
        </w:rPr>
        <w:footnoteReference w:id="961"/>
      </w:r>
      <w:r w:rsidRPr="00B740B4">
        <w:t xml:space="preserve"> Hunting continued to be a royal pastime in the Persian period.</w:t>
      </w:r>
      <w:r w:rsidR="009E07BA">
        <w:rPr>
          <w:rStyle w:val="FootnoteReference"/>
        </w:rPr>
        <w:footnoteReference w:id="962"/>
      </w:r>
      <w:r w:rsidRPr="00B740B4">
        <w:t xml:space="preserve"> Access to the pit was by the top, into which people would be lowered and from which </w:t>
      </w:r>
      <w:r w:rsidR="009E07BA">
        <w:t>they would be lifted out (v 23</w:t>
      </w:r>
      <w:r w:rsidRPr="00B740B4">
        <w:t>; cf. Jer 38:6–13). There is no need to suppose that the pit would have a door in the side, like</w:t>
      </w:r>
      <w:r w:rsidR="009E07BA">
        <w:t xml:space="preserve"> the furnace of chap. 3. The Persian kings were recognized to have the</w:t>
      </w:r>
      <w:r w:rsidRPr="00B740B4">
        <w:t xml:space="preserve"> power of life and death, and </w:t>
      </w:r>
      <w:r w:rsidR="009E07BA">
        <w:t>know</w:t>
      </w:r>
      <w:r w:rsidR="00C61689">
        <w:t>n</w:t>
      </w:r>
      <w:r w:rsidR="009E07BA">
        <w:t xml:space="preserve"> for </w:t>
      </w:r>
      <w:r w:rsidRPr="00B740B4">
        <w:t>their “almost exquisite</w:t>
      </w:r>
      <w:r w:rsidR="009E07BA">
        <w:t>ly horrible” forms of execution</w:t>
      </w:r>
      <w:r w:rsidRPr="00B740B4">
        <w:t>.</w:t>
      </w:r>
      <w:r w:rsidR="009E07BA">
        <w:rPr>
          <w:rStyle w:val="FootnoteReference"/>
        </w:rPr>
        <w:footnoteReference w:id="963"/>
      </w:r>
      <w:r w:rsidRPr="00B740B4">
        <w:t xml:space="preserve"> </w:t>
      </w:r>
    </w:p>
    <w:p w:rsidR="00CD3BEB" w:rsidRDefault="00301660" w:rsidP="00301660">
      <w:pPr>
        <w:rPr>
          <w:rFonts w:eastAsia="Times New Roman" w:cs="Times New Roman"/>
        </w:rPr>
      </w:pPr>
      <w:r w:rsidRPr="00B740B4">
        <w:t>The satire continues with the appeal to the permanence of Medo</w:t>
      </w:r>
      <w:r w:rsidR="009E07BA">
        <w:t>-Persian law (v 8</w:t>
      </w:r>
      <w:r w:rsidRPr="00B740B4">
        <w:t>), on</w:t>
      </w:r>
      <w:r w:rsidR="00CD3BEB">
        <w:t xml:space="preserve"> which compare </w:t>
      </w:r>
      <w:r w:rsidR="00C61689">
        <w:t>Esth 1:19; 8:8</w:t>
      </w:r>
      <w:r w:rsidRPr="00B740B4">
        <w:t>.</w:t>
      </w:r>
      <w:r w:rsidR="00C61689">
        <w:rPr>
          <w:rStyle w:val="FootnoteReference"/>
        </w:rPr>
        <w:footnoteReference w:id="964"/>
      </w:r>
      <w:r w:rsidRPr="00B740B4">
        <w:t xml:space="preserve"> The law of the state was designed to be proof against evasion or subversion by the king’s subordinates; here Darius will be portrayed as being unable to evad</w:t>
      </w:r>
      <w:r w:rsidR="00C61689">
        <w:t>e it himself. For the motif, compare</w:t>
      </w:r>
      <w:r w:rsidRPr="00B740B4">
        <w:t xml:space="preserve"> the story of Darius III unable to undo the sentence of death on a man who turned out to be innocent (Diodorus 17.30; or is he unable to undo the actual execution?).</w:t>
      </w:r>
      <w:r w:rsidR="00C61689">
        <w:rPr>
          <w:rStyle w:val="FootnoteReference"/>
        </w:rPr>
        <w:footnoteReference w:id="965"/>
      </w:r>
      <w:r w:rsidRPr="00B740B4">
        <w:t xml:space="preserve"> </w:t>
      </w:r>
      <w:r w:rsidR="007764B5">
        <w:t>“The one who is put on a (semi-)divine pedestal is at the same time shown to be naïve and conceited, and therefore open to manipulation by his courtiers.”</w:t>
      </w:r>
      <w:r w:rsidR="007764B5">
        <w:rPr>
          <w:rStyle w:val="FootnoteReference"/>
        </w:rPr>
        <w:footnoteReference w:id="966"/>
      </w:r>
      <w:r w:rsidR="00A81653">
        <w:t xml:space="preserve"> Indeed, </w:t>
      </w:r>
      <w:r w:rsidR="00A81653" w:rsidRPr="00A81653">
        <w:t>“While the officials seem to be concentrating all power in [the] king’s hands, the king… is actually falling into the power of the officials.”</w:t>
      </w:r>
      <w:r w:rsidR="00A81653" w:rsidRPr="00A81653">
        <w:rPr>
          <w:vertAlign w:val="superscript"/>
        </w:rPr>
        <w:footnoteReference w:id="967"/>
      </w:r>
      <w:r w:rsidR="00A81653">
        <w:t xml:space="preserve"> </w:t>
      </w:r>
      <w:r w:rsidR="00CD3BEB">
        <w:t xml:space="preserve">But </w:t>
      </w:r>
      <w:r w:rsidR="00CD3BEB">
        <w:rPr>
          <w:rFonts w:eastAsia="Times New Roman" w:cs="Times New Roman"/>
        </w:rPr>
        <w:t>“a</w:t>
      </w:r>
      <w:r w:rsidR="00F10E9E" w:rsidRPr="00F10E9E">
        <w:rPr>
          <w:rFonts w:eastAsia="Times New Roman" w:cs="Times New Roman"/>
        </w:rPr>
        <w:t xml:space="preserve"> weak, ineffective king—even a friendly one—can be as</w:t>
      </w:r>
      <w:r w:rsidR="00F10E9E">
        <w:rPr>
          <w:rFonts w:eastAsia="Times New Roman" w:cs="Times New Roman"/>
        </w:rPr>
        <w:t xml:space="preserve"> threatening as Nebuchadnezzar.”</w:t>
      </w:r>
      <w:r w:rsidR="00F10E9E">
        <w:rPr>
          <w:rStyle w:val="FootnoteReference"/>
          <w:rFonts w:eastAsia="Times New Roman" w:cs="Times New Roman"/>
        </w:rPr>
        <w:footnoteReference w:id="968"/>
      </w:r>
    </w:p>
    <w:p w:rsidR="009C0234" w:rsidRDefault="00C61689" w:rsidP="009C0234">
      <w:r>
        <w:rPr>
          <w:rStyle w:val="b"/>
          <w:color w:val="auto"/>
        </w:rPr>
        <w:lastRenderedPageBreak/>
        <w:t>10–15</w:t>
      </w:r>
      <w:r w:rsidR="00301660" w:rsidRPr="00B740B4">
        <w:t xml:space="preserve"> </w:t>
      </w:r>
      <w:r w:rsidR="00304B6F">
        <w:t>The Torah does not expect a person</w:t>
      </w:r>
      <w:r w:rsidR="009C0234" w:rsidRPr="009C0234">
        <w:t xml:space="preserve"> to pra</w:t>
      </w:r>
      <w:r w:rsidR="00304B6F">
        <w:t>y publicly three times a day. Daniel</w:t>
      </w:r>
      <w:r w:rsidR="009C0234" w:rsidRPr="009C0234">
        <w:t xml:space="preserve"> could easily have found a basis for not doing so. But this law is one that tells him how he cannot worship God.</w:t>
      </w:r>
      <w:r w:rsidR="009C0234" w:rsidRPr="009C0234">
        <w:rPr>
          <w:vertAlign w:val="superscript"/>
        </w:rPr>
        <w:footnoteReference w:id="969"/>
      </w:r>
      <w:r w:rsidR="00304B6F">
        <w:t xml:space="preserve"> </w:t>
      </w:r>
      <w:r w:rsidR="00A10690">
        <w:t>“A</w:t>
      </w:r>
      <w:r w:rsidR="00A10690" w:rsidRPr="009C0234">
        <w:t>t one level, this story is about the competing demands on Daniel of the ‘law of his God’… and the ‘law of the Medes and Persians.’”</w:t>
      </w:r>
      <w:r w:rsidR="00A10690" w:rsidRPr="009C0234">
        <w:rPr>
          <w:vertAlign w:val="superscript"/>
        </w:rPr>
        <w:footnoteReference w:id="970"/>
      </w:r>
      <w:r w:rsidR="00A10690">
        <w:t xml:space="preserve"> </w:t>
      </w:r>
      <w:r w:rsidR="00A10690" w:rsidRPr="00A10690">
        <w:t>Daniel 6 provides a model of Jewish religious and political resistance.</w:t>
      </w:r>
      <w:r w:rsidR="00A10690" w:rsidRPr="00A10690">
        <w:rPr>
          <w:vertAlign w:val="superscript"/>
        </w:rPr>
        <w:footnoteReference w:id="971"/>
      </w:r>
      <w:r w:rsidR="00A10690" w:rsidRPr="00A10690">
        <w:t xml:space="preserve"> </w:t>
      </w:r>
      <w:r w:rsidR="00A10690">
        <w:t>T</w:t>
      </w:r>
      <w:r w:rsidR="00304B6F" w:rsidRPr="00304B6F">
        <w:t xml:space="preserve">he talk of God’s law </w:t>
      </w:r>
      <w:r w:rsidR="00A10690">
        <w:t>introduces</w:t>
      </w:r>
      <w:r w:rsidR="001A0284">
        <w:t xml:space="preserve"> a new note into </w:t>
      </w:r>
      <w:r w:rsidR="00304B6F" w:rsidRPr="00304B6F">
        <w:t>Daniel,</w:t>
      </w:r>
      <w:r w:rsidR="00304B6F" w:rsidRPr="00304B6F">
        <w:rPr>
          <w:vertAlign w:val="superscript"/>
        </w:rPr>
        <w:footnoteReference w:id="972"/>
      </w:r>
      <w:r w:rsidR="00304B6F">
        <w:t xml:space="preserve"> </w:t>
      </w:r>
      <w:r w:rsidR="00304B6F" w:rsidRPr="00304B6F">
        <w:t>a note that will be</w:t>
      </w:r>
      <w:r w:rsidR="00A10690">
        <w:t xml:space="preserve">come inscreasingly important in </w:t>
      </w:r>
      <w:r w:rsidR="00304B6F" w:rsidRPr="00304B6F">
        <w:t>connection with the vulnerability of the Jewish peo</w:t>
      </w:r>
      <w:r w:rsidR="00A10690">
        <w:t>ple to Gentile hostility, issuing</w:t>
      </w:r>
      <w:r w:rsidR="001A0284">
        <w:t xml:space="preserve"> from their being</w:t>
      </w:r>
      <w:r w:rsidR="00304B6F" w:rsidRPr="00304B6F">
        <w:t xml:space="preserve"> “different.” </w:t>
      </w:r>
    </w:p>
    <w:p w:rsidR="00A81653" w:rsidRDefault="009E139F" w:rsidP="009E139F">
      <w:r w:rsidRPr="00B740B4">
        <w:t>Having an attic that could be used for a private meeting, for guests, or for prayer</w:t>
      </w:r>
      <w:r>
        <w:t xml:space="preserve">, would be unusual, suggesting a well-to-do-ness that is </w:t>
      </w:r>
      <w:r w:rsidRPr="00B740B4">
        <w:t>a sign of Daniel’s status (Judg 3:20; 2 Kgs 1:2; 4:8–11; Jer 22:14; Luke 22:1</w:t>
      </w:r>
      <w:r>
        <w:t>2; Acts 1:13; 9:37, 39; 20:8). O</w:t>
      </w:r>
      <w:r w:rsidRPr="00B740B4">
        <w:t>rdinary people would have a makes</w:t>
      </w:r>
      <w:r>
        <w:t xml:space="preserve">hift shelter on the roof </w:t>
      </w:r>
      <w:r w:rsidRPr="00B740B4">
        <w:t xml:space="preserve">for these purposes (1 Sam 9:25; 1 Kgs 17:19; Jdt 8:5; Acts 10:9). </w:t>
      </w:r>
      <w:r w:rsidR="00304B6F" w:rsidRPr="00304B6F">
        <w:t>Daniel’s practice of prayer is unusual not only for its bravery</w:t>
      </w:r>
      <w:r w:rsidR="00304B6F">
        <w:t xml:space="preserve"> and its symbolic nature as an expression of commitment</w:t>
      </w:r>
      <w:r w:rsidR="00304B6F" w:rsidRPr="00304B6F">
        <w:t xml:space="preserve">. </w:t>
      </w:r>
      <w:r w:rsidR="00301660" w:rsidRPr="00B740B4">
        <w:t>We have no other reference to praying three times a day (Ps</w:t>
      </w:r>
      <w:r w:rsidR="00C61689">
        <w:t xml:space="preserve"> 55:17</w:t>
      </w:r>
      <w:r w:rsidR="00301660" w:rsidRPr="00B740B4">
        <w:t xml:space="preserve"> is surely no more a guide to anyone’s regular practice than is the “seven times” of Ps 119:164) until </w:t>
      </w:r>
      <w:r w:rsidR="00CD3BEB" w:rsidRPr="00CD3BEB">
        <w:rPr>
          <w:i/>
        </w:rPr>
        <w:t>Didache</w:t>
      </w:r>
      <w:r w:rsidR="00CD3BEB">
        <w:t xml:space="preserve"> 8 and </w:t>
      </w:r>
      <w:r w:rsidR="00301660" w:rsidRPr="00A10690">
        <w:rPr>
          <w:i/>
        </w:rPr>
        <w:t>m</w:t>
      </w:r>
      <w:r w:rsidR="00C61689" w:rsidRPr="00A10690">
        <w:rPr>
          <w:i/>
        </w:rPr>
        <w:t>.</w:t>
      </w:r>
      <w:r w:rsidR="00301660" w:rsidRPr="00B740B4">
        <w:t xml:space="preserve"> </w:t>
      </w:r>
      <w:r w:rsidR="00301660" w:rsidRPr="00B740B4">
        <w:rPr>
          <w:rStyle w:val="i"/>
          <w:color w:val="auto"/>
        </w:rPr>
        <w:t>Ber</w:t>
      </w:r>
      <w:r w:rsidR="00C61689">
        <w:rPr>
          <w:rStyle w:val="i"/>
          <w:color w:val="auto"/>
        </w:rPr>
        <w:t>akot</w:t>
      </w:r>
      <w:r w:rsidR="00301660" w:rsidRPr="00B740B4">
        <w:rPr>
          <w:rStyle w:val="i"/>
          <w:color w:val="auto"/>
        </w:rPr>
        <w:t>.</w:t>
      </w:r>
      <w:r w:rsidR="00CD3BEB">
        <w:t xml:space="preserve"> 4:1.</w:t>
      </w:r>
      <w:r w:rsidR="00301660" w:rsidRPr="00B740B4">
        <w:t xml:space="preserve"> The times of morning and evening offerings were regular hours for prayer (1 Chr 23:30, cf. Exod 29:38–39; also twice-daily prayer in 1Q</w:t>
      </w:r>
      <w:r w:rsidR="00CD3BEB">
        <w:t>S 10.1–3), especially the evening offering</w:t>
      </w:r>
      <w:r w:rsidR="00301660" w:rsidRPr="00B740B4">
        <w:t xml:space="preserve"> (Ps 141:2; Dan 9:21; Ezra 9:5;</w:t>
      </w:r>
      <w:r w:rsidR="00CD3BEB">
        <w:t xml:space="preserve"> Jdt 9:1; Acts 3:1; 10:3, 30). </w:t>
      </w:r>
      <w:r w:rsidRPr="00B740B4">
        <w:t xml:space="preserve">Facing the land, the city, and the temple during prayer is emphasized throughout Solomon’s prayer in 1 Kgs 8 but </w:t>
      </w:r>
      <w:r>
        <w:t xml:space="preserve">it </w:t>
      </w:r>
      <w:r w:rsidRPr="00B740B4">
        <w:t>is referr</w:t>
      </w:r>
      <w:r>
        <w:t>ed to rarely elsewhere (Ps 5:7 [8]</w:t>
      </w:r>
      <w:r w:rsidRPr="00B740B4">
        <w:t xml:space="preserve"> [in the temple court!]; 1 Esd 4:58; cf. Tob 3:11). </w:t>
      </w:r>
      <w:r w:rsidR="00A10690">
        <w:t>Daniel’s praying towards Jerusalem and thus towar</w:t>
      </w:r>
      <w:r>
        <w:t xml:space="preserve">ds the temple at the times when </w:t>
      </w:r>
      <w:r w:rsidR="00A10690">
        <w:t>sacrifices were offered is another indication of the book’s emphasis on the temple and its worship.</w:t>
      </w:r>
      <w:r w:rsidR="00A10690" w:rsidRPr="00636FF7">
        <w:rPr>
          <w:vertAlign w:val="superscript"/>
        </w:rPr>
        <w:footnoteReference w:id="973"/>
      </w:r>
      <w:r w:rsidR="00A10690">
        <w:rPr>
          <w:vertAlign w:val="superscript"/>
        </w:rPr>
        <w:t xml:space="preserve"> </w:t>
      </w:r>
      <w:r w:rsidRPr="00304B6F">
        <w:t xml:space="preserve">In expressions such as </w:t>
      </w:r>
      <w:r w:rsidRPr="00304B6F">
        <w:rPr>
          <w:rFonts w:ascii="Arial" w:hAnsi="Arial" w:cs="Arial"/>
        </w:rPr>
        <w:t>ומתחנן</w:t>
      </w:r>
      <w:r w:rsidRPr="00304B6F">
        <w:t xml:space="preserve"> </w:t>
      </w:r>
      <w:r w:rsidRPr="00304B6F">
        <w:rPr>
          <w:rFonts w:ascii="Arial" w:hAnsi="Arial" w:cs="Arial"/>
        </w:rPr>
        <w:t>בעא</w:t>
      </w:r>
      <w:r w:rsidRPr="00304B6F">
        <w:t xml:space="preserve"> “petitioning and seeking favor,” the first verb is a general one for (formal, liturgical) prayer, the second specifies the kind of prayer, a casting oneself on someone’s grace (</w:t>
      </w:r>
      <w:r w:rsidRPr="00304B6F">
        <w:rPr>
          <w:rFonts w:ascii="Arial" w:hAnsi="Arial" w:cs="Arial"/>
        </w:rPr>
        <w:t>חן</w:t>
      </w:r>
      <w:r w:rsidRPr="00304B6F">
        <w:t>)</w:t>
      </w:r>
      <w:r>
        <w:t xml:space="preserve"> and a pleading (see n. 9:3.b). Further, w</w:t>
      </w:r>
      <w:r w:rsidRPr="009E139F">
        <w:t xml:space="preserve">hereas standing is the regular posture for prayer (1 Chr 23:30; Neh 9; Matt 6:5; Mark 11:25; Luke 18:11, 13), Daniel’s kneeling, which implies prostration, indicates a marked self-lowering, which elsewhere suggests circumstances of particular solemnity or need (1 Kgs 8:54; Ezra 9:5; Luke 22:41; Acts 7:60; 9:40; 20:36; 21:5). </w:t>
      </w:r>
      <w:r w:rsidR="00301660" w:rsidRPr="00B740B4">
        <w:t>“Before his God” als</w:t>
      </w:r>
      <w:r w:rsidR="00A10690">
        <w:t>o suggests</w:t>
      </w:r>
      <w:r w:rsidR="00301660" w:rsidRPr="00B740B4">
        <w:t xml:space="preserve"> meekness in the presence of authority: it is the term used for addressing the king (e.g., 2:9, 10, 11), though at the same ti</w:t>
      </w:r>
      <w:r w:rsidR="00C61689">
        <w:t>me it indicates a literal</w:t>
      </w:r>
      <w:r w:rsidR="00301660" w:rsidRPr="00B740B4">
        <w:t xml:space="preserve"> standing in a real person’s presence. </w:t>
      </w:r>
    </w:p>
    <w:p w:rsidR="005E7D6B" w:rsidRPr="00B740B4" w:rsidRDefault="009E139F" w:rsidP="00301660">
      <w:r>
        <w:t xml:space="preserve"> </w:t>
      </w:r>
      <w:r w:rsidR="005E7D6B">
        <w:t>“Deliver” and “rescue” are verbs of which God is the usual subject, so it is not surprising that Dar</w:t>
      </w:r>
      <w:r w:rsidR="0061213B">
        <w:t>ius cannot “deliver” or “rescue</w:t>
      </w:r>
      <w:r w:rsidR="005E7D6B">
        <w:t>” Daniel.</w:t>
      </w:r>
      <w:r w:rsidR="005E7D6B" w:rsidRPr="005E7D6B">
        <w:rPr>
          <w:vertAlign w:val="superscript"/>
        </w:rPr>
        <w:footnoteReference w:id="974"/>
      </w:r>
    </w:p>
    <w:p w:rsidR="008F4368" w:rsidRPr="00B740B4" w:rsidRDefault="00B24F98" w:rsidP="00301660">
      <w:r>
        <w:rPr>
          <w:rStyle w:val="b"/>
          <w:color w:val="auto"/>
        </w:rPr>
        <w:t>16–24</w:t>
      </w:r>
      <w:r w:rsidR="00301660" w:rsidRPr="00B740B4">
        <w:t xml:space="preserve"> Kings and others commonly authenticated documents b</w:t>
      </w:r>
      <w:r>
        <w:t>y a signet or other seal (v 17</w:t>
      </w:r>
      <w:r w:rsidR="00301660" w:rsidRPr="00B740B4">
        <w:t>;</w:t>
      </w:r>
      <w:r>
        <w:t xml:space="preserve"> 1 Kgs 21:8; Esth 3:12; 8:8, 10</w:t>
      </w:r>
      <w:r w:rsidR="00301660" w:rsidRPr="00B740B4">
        <w:t>).</w:t>
      </w:r>
      <w:r>
        <w:rPr>
          <w:rStyle w:val="FootnoteReference"/>
        </w:rPr>
        <w:footnoteReference w:id="975"/>
      </w:r>
      <w:r w:rsidR="0027051C">
        <w:t xml:space="preserve"> Here, apparently </w:t>
      </w:r>
      <w:r w:rsidR="00301660" w:rsidRPr="00B740B4">
        <w:t>cord or cloth was fastened across the rock with clay, which was then impressed with the seals (Herodotus</w:t>
      </w:r>
      <w:r>
        <w:t xml:space="preserve">, </w:t>
      </w:r>
      <w:r>
        <w:rPr>
          <w:i/>
        </w:rPr>
        <w:t>Histories</w:t>
      </w:r>
      <w:r>
        <w:t xml:space="preserve"> 1.195).</w:t>
      </w:r>
      <w:r>
        <w:rPr>
          <w:rStyle w:val="FootnoteReference"/>
        </w:rPr>
        <w:footnoteReference w:id="976"/>
      </w:r>
      <w:r w:rsidR="008B0F5F">
        <w:t xml:space="preserve"> </w:t>
      </w:r>
      <w:r w:rsidR="00304B6F" w:rsidRPr="00304B6F">
        <w:t xml:space="preserve">We are told nothing of what happened in the lion pit. </w:t>
      </w:r>
      <w:r w:rsidR="008B0F5F" w:rsidRPr="008B0F5F">
        <w:t>In parallel with the story in chap. 3 and in contrast with</w:t>
      </w:r>
      <w:r w:rsidR="005E7F8E">
        <w:t xml:space="preserve"> the story of Bel and the Snake</w:t>
      </w:r>
      <w:r w:rsidR="008B0F5F" w:rsidRPr="008B0F5F">
        <w:t>, the narrative does not follow Daniel into the lion pit but follows the king.</w:t>
      </w:r>
      <w:r w:rsidR="008B0F5F" w:rsidRPr="008B0F5F">
        <w:rPr>
          <w:vertAlign w:val="superscript"/>
        </w:rPr>
        <w:footnoteReference w:id="977"/>
      </w:r>
      <w:r w:rsidR="008B0F5F">
        <w:t xml:space="preserve"> </w:t>
      </w:r>
      <w:r w:rsidR="00304B6F" w:rsidRPr="00304B6F">
        <w:t xml:space="preserve">There is </w:t>
      </w:r>
      <w:r w:rsidR="008B0F5F">
        <w:t xml:space="preserve">also </w:t>
      </w:r>
      <w:r w:rsidR="00304B6F" w:rsidRPr="00304B6F">
        <w:t>a contrast between the restraint of Daniel’s story and the extravagance</w:t>
      </w:r>
      <w:r w:rsidR="0027051C">
        <w:t xml:space="preserve"> of (e.g.) the second century AD</w:t>
      </w:r>
      <w:r w:rsidR="00304B6F" w:rsidRPr="00304B6F">
        <w:t xml:space="preserve"> </w:t>
      </w:r>
      <w:r w:rsidR="00304B6F" w:rsidRPr="00304B6F">
        <w:rPr>
          <w:i/>
        </w:rPr>
        <w:lastRenderedPageBreak/>
        <w:t>Acts of Paul and Thecla</w:t>
      </w:r>
      <w:r w:rsidR="00304B6F" w:rsidRPr="00304B6F">
        <w:t xml:space="preserve"> 8–9.</w:t>
      </w:r>
      <w:r w:rsidR="00304B6F" w:rsidRPr="00304B6F">
        <w:rPr>
          <w:vertAlign w:val="superscript"/>
        </w:rPr>
        <w:footnoteReference w:id="978"/>
      </w:r>
      <w:r w:rsidR="0027051C">
        <w:t xml:space="preserve"> T</w:t>
      </w:r>
      <w:r w:rsidR="00304B6F">
        <w:t xml:space="preserve">here is no suggestion </w:t>
      </w:r>
      <w:r w:rsidR="00301660" w:rsidRPr="00B740B4">
        <w:t xml:space="preserve">that Daniel is exercising lordship over the animal creation in accordance with the purpose envisaged in Gen 1 and that promised in Isa 11:6–9; 65:25. Nor is there any suggestion that the animals had more sense than their master (cf. Num 22:26–33; 1 Sam 6:12) or lacked spirit (like some </w:t>
      </w:r>
      <w:r w:rsidR="0027051C">
        <w:t xml:space="preserve">animals </w:t>
      </w:r>
      <w:r w:rsidR="00304B6F">
        <w:t xml:space="preserve">that </w:t>
      </w:r>
      <w:r w:rsidR="00301660" w:rsidRPr="00B740B4">
        <w:t xml:space="preserve">Ignatius speaks of, </w:t>
      </w:r>
      <w:r w:rsidR="00301660" w:rsidRPr="00B740B4">
        <w:rPr>
          <w:rStyle w:val="i"/>
          <w:color w:val="auto"/>
        </w:rPr>
        <w:t>Romans</w:t>
      </w:r>
      <w:r w:rsidR="00301660" w:rsidRPr="00B740B4">
        <w:t xml:space="preserve"> 5). It is God’s act </w:t>
      </w:r>
      <w:r w:rsidR="00304B6F">
        <w:t xml:space="preserve">via his agent </w:t>
      </w:r>
      <w:r w:rsidR="00301660" w:rsidRPr="00B740B4">
        <w:t xml:space="preserve">that the story relates, not Daniel’s or the lions’. </w:t>
      </w:r>
      <w:r w:rsidR="008F4368">
        <w:t>Once ag</w:t>
      </w:r>
      <w:r w:rsidR="00FD7E5B">
        <w:t>a</w:t>
      </w:r>
      <w:r w:rsidR="008F4368">
        <w:t>in an angel plays a key rol</w:t>
      </w:r>
      <w:r w:rsidR="0027051C">
        <w:t>e in the story</w:t>
      </w:r>
      <w:r w:rsidR="008F4368">
        <w:t>.</w:t>
      </w:r>
      <w:r w:rsidR="008F4368">
        <w:rPr>
          <w:rStyle w:val="FootnoteReference"/>
        </w:rPr>
        <w:footnoteReference w:id="979"/>
      </w:r>
    </w:p>
    <w:p w:rsidR="0020169E" w:rsidRDefault="0027051C" w:rsidP="00301660">
      <w:r>
        <w:t>The narrative</w:t>
      </w:r>
      <w:r w:rsidR="00301660" w:rsidRPr="00B740B4">
        <w:t xml:space="preserve"> has implied that all the heads and satraps associated themselves with the attack on Daniel, so all 122 (plus wives and childre</w:t>
      </w:r>
      <w:r w:rsidR="00FF4DBF">
        <w:t>n) are apparently killed (v 24</w:t>
      </w:r>
      <w:r w:rsidR="00301660" w:rsidRPr="00B740B4">
        <w:t xml:space="preserve">). This </w:t>
      </w:r>
      <w:r w:rsidR="0020169E">
        <w:t xml:space="preserve">feature of the story </w:t>
      </w:r>
      <w:r w:rsidR="00301660" w:rsidRPr="00B740B4">
        <w:t>raises logistical problems, among</w:t>
      </w:r>
      <w:r w:rsidR="00FD6BF1">
        <w:t xml:space="preserve"> others:</w:t>
      </w:r>
      <w:r w:rsidR="00301660" w:rsidRPr="00B740B4">
        <w:t xml:space="preserve"> </w:t>
      </w:r>
      <w:r w:rsidR="00FD6BF1">
        <w:t>“there were hardly enough lions for such a shopful of meat.”</w:t>
      </w:r>
      <w:r w:rsidR="00FD6BF1">
        <w:rPr>
          <w:rStyle w:val="FootnoteReference"/>
        </w:rPr>
        <w:footnoteReference w:id="980"/>
      </w:r>
      <w:r w:rsidR="00FD6BF1">
        <w:t xml:space="preserve"> </w:t>
      </w:r>
      <w:r w:rsidR="00304B6F">
        <w:t xml:space="preserve">Thus </w:t>
      </w:r>
      <w:r w:rsidR="00301660" w:rsidRPr="00B740B4">
        <w:t>OG executes only the two heads,</w:t>
      </w:r>
      <w:r w:rsidR="00FD6BF1" w:rsidRPr="00FD6BF1">
        <w:rPr>
          <w:vertAlign w:val="superscript"/>
        </w:rPr>
        <w:footnoteReference w:id="981"/>
      </w:r>
      <w:r w:rsidR="00FD6BF1" w:rsidRPr="00FD6BF1">
        <w:t xml:space="preserve"> </w:t>
      </w:r>
      <w:r w:rsidR="00304B6F">
        <w:t xml:space="preserve"> a characteristic realistic scaling-down</w:t>
      </w:r>
      <w:r w:rsidR="00301660" w:rsidRPr="00B740B4">
        <w:t xml:space="preserve"> of the story, </w:t>
      </w:r>
      <w:r w:rsidR="00FC0B5F">
        <w:t xml:space="preserve">but the narrative </w:t>
      </w:r>
      <w:r w:rsidR="00304B6F">
        <w:t xml:space="preserve">itself has </w:t>
      </w:r>
      <w:r w:rsidR="00FC0B5F">
        <w:t>rather declar</w:t>
      </w:r>
      <w:r w:rsidR="00304B6F">
        <w:t>ed</w:t>
      </w:r>
      <w:r w:rsidR="00301660" w:rsidRPr="00B740B4">
        <w:t xml:space="preserve"> that everyone </w:t>
      </w:r>
      <w:r w:rsidR="00FC0B5F">
        <w:t>was against Daniel (see vv 1–7</w:t>
      </w:r>
      <w:r w:rsidR="00301660" w:rsidRPr="00B740B4">
        <w:t>)</w:t>
      </w:r>
      <w:r w:rsidR="009140E9">
        <w:t>, an</w:t>
      </w:r>
      <w:r w:rsidR="0020169E">
        <w:t>d MT’s account at this point cor</w:t>
      </w:r>
      <w:r w:rsidR="009140E9">
        <w:t>responds to that earlier emphasis.</w:t>
      </w:r>
      <w:r w:rsidR="00301660" w:rsidRPr="00B740B4">
        <w:t xml:space="preserve"> </w:t>
      </w:r>
    </w:p>
    <w:p w:rsidR="00301660" w:rsidRPr="00B740B4" w:rsidRDefault="00FC0B5F" w:rsidP="00301660">
      <w:r>
        <w:rPr>
          <w:rStyle w:val="b"/>
          <w:color w:val="auto"/>
        </w:rPr>
        <w:t>25–28</w:t>
      </w:r>
      <w:r w:rsidR="00301660" w:rsidRPr="00B740B4">
        <w:t xml:space="preserve"> It might be possible to make these affirmations without being “converted” and abandoning the </w:t>
      </w:r>
      <w:r>
        <w:t>acknowledgment of heathen gods</w:t>
      </w:r>
      <w:r w:rsidR="00301660" w:rsidRPr="00B740B4">
        <w:t>,</w:t>
      </w:r>
      <w:r>
        <w:rPr>
          <w:rStyle w:val="FootnoteReference"/>
        </w:rPr>
        <w:footnoteReference w:id="982"/>
      </w:r>
      <w:r w:rsidR="009140E9">
        <w:t xml:space="preserve"> but people listening to the story should not miss the significance</w:t>
      </w:r>
      <w:r w:rsidR="00301660" w:rsidRPr="00B740B4">
        <w:t xml:space="preserve"> of Darius’s co</w:t>
      </w:r>
      <w:r w:rsidR="009140E9">
        <w:t>nfession. It</w:t>
      </w:r>
      <w:r>
        <w:t xml:space="preserve"> goes far beyond the one</w:t>
      </w:r>
      <w:r w:rsidR="00301660" w:rsidRPr="00B740B4">
        <w:t xml:space="preserve"> at the end of chap. 3 in acknowledging the living, enduring, secure and active power of Dani</w:t>
      </w:r>
      <w:r>
        <w:t xml:space="preserve">el’s God (cf. </w:t>
      </w:r>
      <w:r w:rsidR="00301660" w:rsidRPr="00B740B4">
        <w:t>4:1–3, 3</w:t>
      </w:r>
      <w:r>
        <w:t>4–37</w:t>
      </w:r>
      <w:r w:rsidR="00301660" w:rsidRPr="00B740B4">
        <w:t>).</w:t>
      </w:r>
    </w:p>
    <w:p w:rsidR="00301660" w:rsidRPr="00B740B4" w:rsidRDefault="00301660" w:rsidP="009479B1">
      <w:pPr>
        <w:pStyle w:val="Heading2"/>
      </w:pPr>
      <w:r w:rsidRPr="00B740B4">
        <w:t>Explanation</w:t>
      </w:r>
    </w:p>
    <w:p w:rsidR="0099760F" w:rsidRDefault="00FC0B5F" w:rsidP="00301660">
      <w:r>
        <w:rPr>
          <w:rStyle w:val="b"/>
          <w:color w:val="auto"/>
        </w:rPr>
        <w:t>1–9</w:t>
      </w:r>
      <w:r w:rsidR="00301660" w:rsidRPr="00B740B4">
        <w:t xml:space="preserve"> A state requires an administration if it is to hold together and if its</w:t>
      </w:r>
      <w:r w:rsidR="00BB05BC">
        <w:t xml:space="preserve"> various parts are to be required</w:t>
      </w:r>
      <w:r w:rsidR="00BB05BC" w:rsidRPr="00B740B4">
        <w:t xml:space="preserve"> </w:t>
      </w:r>
      <w:r w:rsidR="00301660" w:rsidRPr="00B740B4">
        <w:t>to contribut</w:t>
      </w:r>
      <w:r w:rsidR="00BB05BC">
        <w:t>e to the expenses of government, and</w:t>
      </w:r>
      <w:r w:rsidR="00301660" w:rsidRPr="00B740B4">
        <w:t xml:space="preserve"> the administration needs internal checks if it is to be protected from the very fissiparous and dishonest tendencies it is designed to safeguard against. Positions within the administration give people the opportunity to reveal their capacity for even higher responsibility. They also give those who reveal this capacity the opportunity to incur the sullen opposition of those who do not. If these malcontents then want to put the others down, </w:t>
      </w:r>
      <w:r w:rsidR="00BB05BC">
        <w:t>a way to do so is to suggest</w:t>
      </w:r>
      <w:r w:rsidR="00301660" w:rsidRPr="00B740B4">
        <w:t xml:space="preserve"> that they are unfaithful or disloyal i</w:t>
      </w:r>
      <w:r w:rsidR="00BB05BC">
        <w:t>n their work</w:t>
      </w:r>
      <w:r w:rsidR="00301660" w:rsidRPr="00B740B4">
        <w:t>. It is the more incumbent on t</w:t>
      </w:r>
      <w:r w:rsidR="00BB05BC">
        <w:t>hem to be blameless in the exercise of their responsibility</w:t>
      </w:r>
      <w:r w:rsidR="00301660" w:rsidRPr="00B740B4">
        <w:t>. One slip gives a hostage to</w:t>
      </w:r>
      <w:r w:rsidR="009140E9">
        <w:t xml:space="preserve"> fortune. </w:t>
      </w:r>
      <w:r w:rsidR="0099760F">
        <w:t>“Wherever a Daniel comes to the palace of a king and gets hon</w:t>
      </w:r>
      <w:r w:rsidR="00601B7B">
        <w:t>our, there is danger in the air</w:t>
      </w:r>
      <w:r w:rsidR="0099760F">
        <w:t>”</w:t>
      </w:r>
      <w:r w:rsidR="00601B7B">
        <w:t>: the danger of incurring hostility but also the danger of compromise. In fact,</w:t>
      </w:r>
      <w:r w:rsidR="008C65E3">
        <w:t xml:space="preserve"> “king’s palaces are fa</w:t>
      </w:r>
      <w:r w:rsidR="0099760F">
        <w:t>r more dangerous for Daniel than lions’ dens.”</w:t>
      </w:r>
      <w:r w:rsidR="0099760F">
        <w:rPr>
          <w:rStyle w:val="FootnoteReference"/>
        </w:rPr>
        <w:footnoteReference w:id="983"/>
      </w:r>
      <w:r w:rsidR="00DE33BF">
        <w:t xml:space="preserve"> Thus the</w:t>
      </w:r>
      <w:r w:rsidR="00DE33BF" w:rsidRPr="00DE33BF">
        <w:t xml:space="preserve"> deliverance in the lion pit is actually the third miracle in the story. The first is his protection from compromise in the palace, and second his protection from compromise in his house.</w:t>
      </w:r>
      <w:r w:rsidR="00DE33BF" w:rsidRPr="00DE33BF">
        <w:rPr>
          <w:vertAlign w:val="superscript"/>
        </w:rPr>
        <w:footnoteReference w:id="984"/>
      </w:r>
    </w:p>
    <w:p w:rsidR="00301660" w:rsidRPr="00B740B4" w:rsidRDefault="00301660" w:rsidP="00301660">
      <w:r w:rsidRPr="00B740B4">
        <w:t>Daniel has nothing to fear from his colleagues’ close probing of how he executes his office. Wh</w:t>
      </w:r>
      <w:r w:rsidR="00BB05BC">
        <w:t>y they decide to subvert his position is not</w:t>
      </w:r>
      <w:r w:rsidRPr="00B740B4">
        <w:t xml:space="preserve"> explained. There is a hint of professional jealousy and/or resentment at their being unable to use their office to indulge their own rapacity. There is behind that </w:t>
      </w:r>
      <w:r w:rsidR="00BB05BC">
        <w:t xml:space="preserve">possibility </w:t>
      </w:r>
      <w:r w:rsidRPr="00B740B4">
        <w:t>a hint of what we would now call an</w:t>
      </w:r>
      <w:r w:rsidR="00601B7B">
        <w:t xml:space="preserve">ti-Semitism, developed in </w:t>
      </w:r>
      <w:r w:rsidR="00AF422C">
        <w:t>v</w:t>
      </w:r>
      <w:r w:rsidR="00601B7B">
        <w:t xml:space="preserve"> 13</w:t>
      </w:r>
      <w:r w:rsidRPr="00B740B4">
        <w:t xml:space="preserve">. There is behind that </w:t>
      </w:r>
      <w:r w:rsidR="00BB05BC">
        <w:t xml:space="preserve">phenomenon </w:t>
      </w:r>
      <w:r w:rsidRPr="00B740B4">
        <w:t xml:space="preserve">the mysterious, perverse antagonism </w:t>
      </w:r>
      <w:r w:rsidR="002D4FFF" w:rsidRPr="00B740B4">
        <w:t xml:space="preserve">towards </w:t>
      </w:r>
      <w:r w:rsidRPr="00B740B4">
        <w:t>what is good that peo</w:t>
      </w:r>
      <w:r w:rsidR="00BB05BC">
        <w:t xml:space="preserve">ple sometimes </w:t>
      </w:r>
      <w:r w:rsidR="00BB05BC">
        <w:lastRenderedPageBreak/>
        <w:t>manifest</w:t>
      </w:r>
      <w:r w:rsidRPr="00B740B4">
        <w:t>.</w:t>
      </w:r>
      <w:r w:rsidR="00BB05BC">
        <w:rPr>
          <w:rStyle w:val="FootnoteReference"/>
        </w:rPr>
        <w:footnoteReference w:id="985"/>
      </w:r>
      <w:r w:rsidR="00BB05BC">
        <w:t xml:space="preserve"> These are realities </w:t>
      </w:r>
      <w:r w:rsidRPr="00B740B4">
        <w:t>already illustrated in the Joseph story, and they will subsequently find mature expression in the cross and in the holocaust.</w:t>
      </w:r>
    </w:p>
    <w:p w:rsidR="00301660" w:rsidRPr="00B740B4" w:rsidRDefault="00301660" w:rsidP="00301660">
      <w:r w:rsidRPr="00B740B4">
        <w:t>Daniel’s colleagues cannot catch him out, until they perceive that his vulnerability lies in his commitment to God. Daniel’s distinction derives from</w:t>
      </w:r>
      <w:r w:rsidR="008C65E3">
        <w:t xml:space="preserve"> his remarkable spirit, which</w:t>
      </w:r>
      <w:r w:rsidRPr="00B740B4">
        <w:t xml:space="preserve"> reflects God’s involvement in his life and in the shaping of the person he was (5:11–12). At one level there is nothing</w:t>
      </w:r>
      <w:r w:rsidR="00601B7B">
        <w:t xml:space="preserve"> intrinsically religious about hi</w:t>
      </w:r>
      <w:r w:rsidR="008C65E3">
        <w:t>s colleagues’ hostility. The key factor</w:t>
      </w:r>
      <w:r w:rsidRPr="00B740B4">
        <w:t xml:space="preserve"> is simply that religion is of key significance to Daniel, and therefore </w:t>
      </w:r>
      <w:r w:rsidR="00BB05BC">
        <w:t xml:space="preserve">it </w:t>
      </w:r>
      <w:r w:rsidRPr="00B740B4">
        <w:t xml:space="preserve">constitutes his weak point. At another level the possibility of conflict over Daniel’s religious commitment is inherent in his position as a minister of state, for the state characteristically assumes it has quasi-divine significance. One can see this </w:t>
      </w:r>
      <w:r w:rsidR="0079310D">
        <w:t>propensity</w:t>
      </w:r>
      <w:r w:rsidR="008C65E3">
        <w:t xml:space="preserve"> </w:t>
      </w:r>
      <w:r w:rsidRPr="00B740B4">
        <w:t xml:space="preserve">in the Marxist state and </w:t>
      </w:r>
      <w:r w:rsidR="00601B7B">
        <w:t xml:space="preserve">in </w:t>
      </w:r>
      <w:r w:rsidRPr="00B740B4">
        <w:t>its opposition to religion, which invites people to accept a higher co</w:t>
      </w:r>
      <w:r w:rsidR="00BB05BC">
        <w:t>mmitment than that to the state. I</w:t>
      </w:r>
      <w:r w:rsidRPr="00B740B4">
        <w:t xml:space="preserve">t can </w:t>
      </w:r>
      <w:r w:rsidR="00BB05BC">
        <w:t>be as real if more subtle in a</w:t>
      </w:r>
      <w:r w:rsidRPr="00B740B4">
        <w:t xml:space="preserve"> “Christian” democracy. One can see it in the ancient monarchies’ inclination to claim varying forms of sacral significance. </w:t>
      </w:r>
      <w:r w:rsidR="008C65E3">
        <w:t>To put</w:t>
      </w:r>
      <w:r w:rsidR="008C65E3" w:rsidRPr="008C65E3">
        <w:t xml:space="preserve"> Daniel out of the way, </w:t>
      </w:r>
      <w:r w:rsidR="008C65E3">
        <w:t>j</w:t>
      </w:r>
      <w:r w:rsidRPr="00B740B4">
        <w:t>ealousy, resentment, anti-Semitism, and the mystery of human hostility to the good</w:t>
      </w:r>
      <w:r w:rsidR="008C65E3">
        <w:t>, plot to utilize</w:t>
      </w:r>
      <w:r w:rsidRPr="00B740B4">
        <w:t xml:space="preserve"> the state’s inclination to deify itself and the believer’s obligation to confess no god but God</w:t>
      </w:r>
      <w:r w:rsidR="00BB05BC">
        <w:t>. The law of Daniel’s God (v 5</w:t>
      </w:r>
      <w:r w:rsidRPr="00B740B4">
        <w:t xml:space="preserve">) and the law </w:t>
      </w:r>
      <w:r w:rsidR="00BB05BC">
        <w:t>of the Medes and Persians (v 8</w:t>
      </w:r>
      <w:r w:rsidRPr="00B740B4">
        <w:t>) are deliberately brought into conflict. God’s law makes an absolute demand. So does the king’s law, for he contributes to the state’s stability and to the authority of his own position by insisting on the irre</w:t>
      </w:r>
      <w:r w:rsidR="0079310D">
        <w:t>vocability of his injunctions: o</w:t>
      </w:r>
      <w:r w:rsidRPr="00B740B4">
        <w:t>nce his decision is declared, it cannot be undone. Such firmness adds strength to good decisions but compounds the weakness of poor ones.</w:t>
      </w:r>
    </w:p>
    <w:p w:rsidR="005C276F" w:rsidRDefault="00DE33BF" w:rsidP="00301660">
      <w:r w:rsidRPr="00DE33BF">
        <w:t>In Daniel “imperium is bound up with the individual figure of the monarch;… the conduct and character of the king both determines and is determined by the  ‘kingdom.’”</w:t>
      </w:r>
      <w:r w:rsidRPr="00DE33BF">
        <w:rPr>
          <w:vertAlign w:val="superscript"/>
        </w:rPr>
        <w:footnoteReference w:id="986"/>
      </w:r>
      <w:r>
        <w:t xml:space="preserve"> </w:t>
      </w:r>
      <w:r w:rsidR="00301660" w:rsidRPr="00B740B4">
        <w:t>Darius’s civil servants’ words and actions imply that their calculating cynicism cares nothing for</w:t>
      </w:r>
      <w:r w:rsidR="00601B7B">
        <w:t xml:space="preserve"> state, God, or truth</w:t>
      </w:r>
      <w:r w:rsidR="00301660" w:rsidRPr="00B740B4">
        <w:t xml:space="preserve">. </w:t>
      </w:r>
      <w:r w:rsidR="00A02BC3" w:rsidRPr="00A02BC3">
        <w:t xml:space="preserve">The empire does not know what is in its own interests: fancy stopping people praying, when the prayer of the saints is designed to release God’s </w:t>
      </w:r>
      <w:r w:rsidR="0079310D">
        <w:t>peace and blessing in the world. W</w:t>
      </w:r>
      <w:r w:rsidR="00301660" w:rsidRPr="00B740B4">
        <w:t>h</w:t>
      </w:r>
      <w:r w:rsidR="00601B7B">
        <w:t>ether they are conscious of it</w:t>
      </w:r>
      <w:r w:rsidR="00301660" w:rsidRPr="00B740B4">
        <w:t xml:space="preserve"> or not, their mad edict contemns and blasphemes God more boldly and dangerously than Belshazzar’s libations did.</w:t>
      </w:r>
      <w:r w:rsidR="000408A5" w:rsidRPr="000408A5">
        <w:rPr>
          <w:vertAlign w:val="superscript"/>
        </w:rPr>
        <w:footnoteReference w:id="987"/>
      </w:r>
      <w:r w:rsidR="00301660" w:rsidRPr="00B740B4">
        <w:t xml:space="preserve"> The godless arrogance of the Assyrian king’s field-commander and that of the Babylonian king himself (2 Kgs 18–19; Isa 14:13–14; cf. Jdt 3:8; 6:2) reappear in the next of the Middle </w:t>
      </w:r>
      <w:r w:rsidR="005C276F">
        <w:t xml:space="preserve">East’s succession of empires. </w:t>
      </w:r>
    </w:p>
    <w:p w:rsidR="00301660" w:rsidRPr="00B740B4" w:rsidRDefault="00301660" w:rsidP="00301660">
      <w:r w:rsidRPr="00B740B4">
        <w:t xml:space="preserve">How much of all this </w:t>
      </w:r>
      <w:r w:rsidR="0079310D">
        <w:t xml:space="preserve">dynamic </w:t>
      </w:r>
      <w:r w:rsidRPr="00B740B4">
        <w:t xml:space="preserve">Darius </w:t>
      </w:r>
      <w:r w:rsidR="005C276F">
        <w:t>is assumed to perceive</w:t>
      </w:r>
      <w:r w:rsidRPr="00B740B4">
        <w:t>, the story leaves open. Perhaps he i</w:t>
      </w:r>
      <w:r w:rsidR="005C276F">
        <w:t>s the victim of his own vanity</w:t>
      </w:r>
      <w:r w:rsidRPr="00B740B4">
        <w:t>,</w:t>
      </w:r>
      <w:r w:rsidR="005C276F">
        <w:rPr>
          <w:rStyle w:val="FootnoteReference"/>
        </w:rPr>
        <w:footnoteReference w:id="988"/>
      </w:r>
      <w:r w:rsidRPr="00B740B4">
        <w:t xml:space="preserve"> or perhaps he colludes with his ministers because he realizes the advantages to the state of its having quasi-divine authority, or perhaps he is initially unaware of being manipulated as a puppet by his civil servants in a way which denies the divinity they overtly attribute to him.</w:t>
      </w:r>
      <w:r w:rsidR="005C276F">
        <w:rPr>
          <w:rStyle w:val="FootnoteReference"/>
        </w:rPr>
        <w:footnoteReference w:id="989"/>
      </w:r>
      <w:r w:rsidRPr="00B740B4">
        <w:t xml:space="preserve"> All three possibilities become actual in politics at one time or another.</w:t>
      </w:r>
    </w:p>
    <w:p w:rsidR="00601B7B" w:rsidRDefault="005C276F" w:rsidP="00601B7B">
      <w:pPr>
        <w:tabs>
          <w:tab w:val="left" w:pos="3240"/>
        </w:tabs>
      </w:pPr>
      <w:r>
        <w:rPr>
          <w:rStyle w:val="b"/>
          <w:color w:val="auto"/>
        </w:rPr>
        <w:t>10</w:t>
      </w:r>
      <w:r w:rsidR="00301660" w:rsidRPr="00B740B4">
        <w:t xml:space="preserve"> Circumstantial evidence suggests that living in dispersion put pressure on distinctive Jewish practices such as observance of the sabbath, adherence to the food laws, and the rite of circumcision. In Daniel, the specific emphasis is on a public disavowal of idolatry (chap. 3) and sa</w:t>
      </w:r>
      <w:r>
        <w:t>crilege (chap. 5), and a personal</w:t>
      </w:r>
      <w:r w:rsidR="00301660" w:rsidRPr="00B740B4">
        <w:t xml:space="preserve"> commitment to purity (chap</w:t>
      </w:r>
      <w:r>
        <w:t>. 1) and prayer (2:17–23; 6:10</w:t>
      </w:r>
      <w:r w:rsidR="00301660" w:rsidRPr="00B740B4">
        <w:t>; 9:3–20).</w:t>
      </w:r>
      <w:r>
        <w:rPr>
          <w:rStyle w:val="FootnoteReference"/>
        </w:rPr>
        <w:footnoteReference w:id="990"/>
      </w:r>
      <w:r w:rsidR="00301660" w:rsidRPr="00B740B4">
        <w:t xml:space="preserve"> Individual prayer is also prominent in other postexilic writings such as Chronicles-Ezra-Nehemiah and the Psalter, which no doubt reflects the pray</w:t>
      </w:r>
      <w:r w:rsidR="00601B7B">
        <w:t>er life of post-exilic Judaism even where</w:t>
      </w:r>
      <w:r w:rsidR="00301660" w:rsidRPr="00B740B4">
        <w:t xml:space="preserve"> individual psalms are of earl</w:t>
      </w:r>
      <w:r w:rsidR="003762C4">
        <w:t xml:space="preserve">ier date. </w:t>
      </w:r>
      <w:r w:rsidR="00301660" w:rsidRPr="00B740B4">
        <w:t xml:space="preserve">Daniel’s response to the prohibition on prayer is to continue praying. There is no fuss or rush about his stand, such as characterizes every action of his assailants. Nor is he a man who has lost his true human </w:t>
      </w:r>
      <w:r w:rsidR="00301660" w:rsidRPr="00B740B4">
        <w:lastRenderedPageBreak/>
        <w:t>freedom. He retains that</w:t>
      </w:r>
      <w:r>
        <w:t xml:space="preserve"> freedom</w:t>
      </w:r>
      <w:r w:rsidR="00301660" w:rsidRPr="00B740B4">
        <w:t xml:space="preserve">, while neither civil servants nor king behave as free men. He cannot hide the fact that he prays. When prayer is fashionable, it is time to pray in secret (Matt 6:5–6), but when prayer is under pressure, to pray in secret is to give the appearance of fearing the king more than God: </w:t>
      </w:r>
      <w:r w:rsidR="003762C4">
        <w:t>one must render to Caesar, but also render to God</w:t>
      </w:r>
      <w:r w:rsidR="00301660" w:rsidRPr="00B740B4">
        <w:t xml:space="preserve"> (Matt </w:t>
      </w:r>
      <w:r>
        <w:t>22:21; cf. Acts 4:18–20; 5:29)</w:t>
      </w:r>
      <w:r w:rsidR="00301660" w:rsidRPr="00B740B4">
        <w:t>.</w:t>
      </w:r>
      <w:r>
        <w:rPr>
          <w:rStyle w:val="FootnoteReference"/>
        </w:rPr>
        <w:footnoteReference w:id="991"/>
      </w:r>
      <w:r w:rsidR="00601B7B">
        <w:t xml:space="preserve"> </w:t>
      </w:r>
    </w:p>
    <w:p w:rsidR="00601B7B" w:rsidRPr="00601B7B" w:rsidRDefault="00601B7B" w:rsidP="00601B7B">
      <w:pPr>
        <w:tabs>
          <w:tab w:val="left" w:pos="3240"/>
        </w:tabs>
      </w:pPr>
      <w:r w:rsidRPr="00601B7B">
        <w:t>In OG and Vg Daniel opens windows at this point, which makes his prayer more explicitly a deliberate act of active but peaceful resistance,</w:t>
      </w:r>
      <w:r w:rsidRPr="00601B7B">
        <w:rPr>
          <w:vertAlign w:val="superscript"/>
        </w:rPr>
        <w:footnoteReference w:id="992"/>
      </w:r>
      <w:r w:rsidRPr="00601B7B">
        <w:t xml:space="preserve"> though maybe M</w:t>
      </w:r>
      <w:r w:rsidR="003762C4">
        <w:t>T implies the same assumption in</w:t>
      </w:r>
      <w:r w:rsidRPr="00601B7B">
        <w:t xml:space="preserve"> drawing attention to the fact that his windows were in the upper floor of his house.</w:t>
      </w:r>
      <w:r w:rsidRPr="00601B7B">
        <w:rPr>
          <w:vertAlign w:val="superscript"/>
        </w:rPr>
        <w:footnoteReference w:id="993"/>
      </w:r>
      <w:r>
        <w:t xml:space="preserve"> Either way</w:t>
      </w:r>
      <w:r w:rsidRPr="00601B7B">
        <w:t>, Daniel’s “seemingl</w:t>
      </w:r>
      <w:r w:rsidR="003762C4">
        <w:t>y innocuous act” was “more…</w:t>
      </w:r>
      <w:r w:rsidRPr="00601B7B">
        <w:t xml:space="preserve"> revolutionary than outright rebellion would have been. Rebellion simply acknowledges the absoluteness and ultimacy of the emperor’s power, and attempts to seize it. Prayer denies that ultimacy altogether by acknowledging a higher power.”</w:t>
      </w:r>
      <w:r w:rsidRPr="00601B7B">
        <w:rPr>
          <w:vertAlign w:val="superscript"/>
        </w:rPr>
        <w:footnoteReference w:id="994"/>
      </w:r>
      <w:r>
        <w:t xml:space="preserve"> </w:t>
      </w:r>
      <w:r w:rsidRPr="00601B7B">
        <w:t>Daniel assumes that awe for God is the beg</w:t>
      </w:r>
      <w:r w:rsidR="003762C4">
        <w:t>inning and the essence of insight</w:t>
      </w:r>
      <w:r w:rsidRPr="00601B7B">
        <w:t xml:space="preserve"> (Prov 1:7).</w:t>
      </w:r>
      <w:r w:rsidRPr="00601B7B">
        <w:rPr>
          <w:vertAlign w:val="superscript"/>
        </w:rPr>
        <w:footnoteReference w:id="995"/>
      </w:r>
      <w:r w:rsidRPr="00601B7B">
        <w:t xml:space="preserve"> He is prepared to pay “the cost of discipleship.”</w:t>
      </w:r>
      <w:r w:rsidRPr="00601B7B">
        <w:rPr>
          <w:vertAlign w:val="superscript"/>
        </w:rPr>
        <w:footnoteReference w:id="996"/>
      </w:r>
      <w:r w:rsidR="00124185">
        <w:t xml:space="preserve"> </w:t>
      </w:r>
    </w:p>
    <w:p w:rsidR="00301660" w:rsidRPr="00B740B4" w:rsidRDefault="00301660" w:rsidP="00301660">
      <w:r w:rsidRPr="00B740B4">
        <w:t>Daniel’s prayer follows his customary practice, but it is a practice that marks him out. People did not commonly have a special prayer room facing Jerusalem, or pray as frequently as Daniel, or adopt the prostrate post</w:t>
      </w:r>
      <w:r w:rsidR="005C276F">
        <w:t>ure he adopted. He</w:t>
      </w:r>
      <w:r w:rsidRPr="00B740B4">
        <w:t xml:space="preserve"> is presumably set forward as a model to which, in at least some of these respects, other people might aspire. They too belong to another city (despite Jer 29) and </w:t>
      </w:r>
      <w:r w:rsidR="00601B7B">
        <w:t xml:space="preserve">they </w:t>
      </w:r>
      <w:r w:rsidRPr="00B740B4">
        <w:t>need outward ways of demonstrating that they live as strangers among t</w:t>
      </w:r>
      <w:r w:rsidR="005C276F">
        <w:t>he Babylonians and Persian</w:t>
      </w:r>
      <w:r w:rsidRPr="00B740B4">
        <w:t>s, whether they</w:t>
      </w:r>
      <w:r w:rsidR="005C276F">
        <w:t xml:space="preserve"> feel secure or insecure there</w:t>
      </w:r>
      <w:r w:rsidRPr="00B740B4">
        <w:t>.</w:t>
      </w:r>
      <w:r w:rsidR="005C276F">
        <w:rPr>
          <w:rStyle w:val="FootnoteReference"/>
        </w:rPr>
        <w:footnoteReference w:id="997"/>
      </w:r>
      <w:r w:rsidR="005C276F">
        <w:t xml:space="preserve"> </w:t>
      </w:r>
      <w:r w:rsidRPr="00B740B4">
        <w:t>The NT points to an application of this principle to the Christian community: s</w:t>
      </w:r>
      <w:r w:rsidR="005C276F">
        <w:t>ee, e.g., Phil 3:20; Heb 13:14.</w:t>
      </w:r>
    </w:p>
    <w:p w:rsidR="00301660" w:rsidRPr="00B740B4" w:rsidRDefault="00301660" w:rsidP="00301660">
      <w:r w:rsidRPr="00B740B4">
        <w:t xml:space="preserve">“Prayer and thanksgiving” suggests two major aspects of praying (cf. Phil 4:6). </w:t>
      </w:r>
      <w:r w:rsidR="004E6A78">
        <w:t>Daniel’s prayer might</w:t>
      </w:r>
      <w:r w:rsidRPr="00B740B4">
        <w:t xml:space="preserve"> include intercession for the state in which</w:t>
      </w:r>
      <w:r w:rsidR="000724F6">
        <w:t xml:space="preserve"> he lives in exile, as commissioned by Jer 29:7,</w:t>
      </w:r>
      <w:r w:rsidR="004E6A78">
        <w:t xml:space="preserve"> as well as </w:t>
      </w:r>
      <w:r w:rsidR="005C276F">
        <w:t>prayer for Israel it</w:t>
      </w:r>
      <w:r w:rsidRPr="00B740B4">
        <w:t>self in exile (cf. Dan 9)</w:t>
      </w:r>
      <w:r w:rsidR="000724F6">
        <w:t>, also implied by J</w:t>
      </w:r>
      <w:r w:rsidR="004E6A78">
        <w:t>er 29:11-14,</w:t>
      </w:r>
      <w:r w:rsidR="000724F6" w:rsidRPr="000724F6">
        <w:rPr>
          <w:vertAlign w:val="superscript"/>
        </w:rPr>
        <w:footnoteReference w:id="998"/>
      </w:r>
      <w:r w:rsidR="000724F6" w:rsidRPr="000724F6">
        <w:t xml:space="preserve"> </w:t>
      </w:r>
      <w:r w:rsidRPr="00B740B4">
        <w:t>and prayer on his own behalf in his situation of need (cf. Dan 2:17–23). The psalmist who pra</w:t>
      </w:r>
      <w:r w:rsidR="005C276F">
        <w:t>ys three times a day (Ps 55:</w:t>
      </w:r>
      <w:r w:rsidRPr="00B740B4">
        <w:t>17</w:t>
      </w:r>
      <w:r w:rsidR="005C276F">
        <w:t xml:space="preserve"> [18</w:t>
      </w:r>
      <w:r w:rsidRPr="00B740B4">
        <w:t xml:space="preserve">]) does </w:t>
      </w:r>
      <w:r w:rsidR="005C276F">
        <w:t>so because of the urgency of</w:t>
      </w:r>
      <w:r w:rsidR="00FC707C">
        <w:t xml:space="preserve"> personal need, interweaving plea with testimony to the </w:t>
      </w:r>
      <w:r w:rsidRPr="00B740B4">
        <w:t>conviction t</w:t>
      </w:r>
      <w:r w:rsidR="00FC707C">
        <w:t>hat God hears and answers. I</w:t>
      </w:r>
      <w:r w:rsidRPr="00B740B4">
        <w:t xml:space="preserve">t is presumably this characteristic confession of the Psalms that is indicated by the “thanksgiving” with which Daniel’s prayer is accompanied (cf. </w:t>
      </w:r>
      <w:r w:rsidR="004E6A78">
        <w:t xml:space="preserve">Dan </w:t>
      </w:r>
      <w:r w:rsidRPr="00B740B4">
        <w:t>2:17–23). Daniel is confident that the living God knows his situation and his peril and that he has already determined how he will preserve him through it.</w:t>
      </w:r>
      <w:r w:rsidR="00793633">
        <w:t xml:space="preserve"> It is not unreasonable that Daniel becomes a model of prayer for Jews and Christians.</w:t>
      </w:r>
      <w:r w:rsidR="00793633">
        <w:rPr>
          <w:rStyle w:val="FootnoteReference"/>
        </w:rPr>
        <w:footnoteReference w:id="999"/>
      </w:r>
    </w:p>
    <w:p w:rsidR="00301660" w:rsidRDefault="00FC707C" w:rsidP="00301660">
      <w:r>
        <w:rPr>
          <w:rStyle w:val="b"/>
          <w:color w:val="auto"/>
        </w:rPr>
        <w:t>11–15</w:t>
      </w:r>
      <w:r w:rsidR="00301660" w:rsidRPr="00B740B4">
        <w:t xml:space="preserve"> So Daniel is caught </w:t>
      </w:r>
      <w:r>
        <w:t xml:space="preserve">petitioning God when he is </w:t>
      </w:r>
      <w:r w:rsidR="00301660" w:rsidRPr="00B740B4">
        <w:t>allowed to petition the king</w:t>
      </w:r>
      <w:r>
        <w:t xml:space="preserve"> alone</w:t>
      </w:r>
      <w:r w:rsidR="00301660" w:rsidRPr="00B740B4">
        <w:t xml:space="preserve">, and </w:t>
      </w:r>
      <w:r>
        <w:t xml:space="preserve">he </w:t>
      </w:r>
      <w:r w:rsidR="00301660" w:rsidRPr="00B740B4">
        <w:t>is duly denounced. The accusation inclu</w:t>
      </w:r>
      <w:r>
        <w:t>des reference to Daniel’s Judahite</w:t>
      </w:r>
      <w:r w:rsidR="00301660" w:rsidRPr="00B740B4">
        <w:t xml:space="preserve"> origin (cf. 3:12 in a similar context, though also 2:25; 5:13). The other ministers may imply that as a foreigner he cannot really be trusted, or that as an exile his maintaining his alien religious practices is a political act, an act of rebellion; but the hint of anti-Semitism may be str</w:t>
      </w:r>
      <w:r>
        <w:t>onger here than it was in vv 4–5</w:t>
      </w:r>
      <w:r w:rsidR="00301660" w:rsidRPr="00B740B4">
        <w:t>.</w:t>
      </w:r>
    </w:p>
    <w:p w:rsidR="00301660" w:rsidRPr="00B740B4" w:rsidRDefault="00DC4D65" w:rsidP="00301660">
      <w:r>
        <w:lastRenderedPageBreak/>
        <w:t>“Kings are powerful persons, but courtiers are skilled at controlling and manipulating royal power.”</w:t>
      </w:r>
      <w:r>
        <w:rPr>
          <w:rStyle w:val="FootnoteReference"/>
        </w:rPr>
        <w:footnoteReference w:id="1000"/>
      </w:r>
      <w:r w:rsidR="004E6A78">
        <w:t xml:space="preserve"> </w:t>
      </w:r>
      <w:r w:rsidR="00301660" w:rsidRPr="00B740B4">
        <w:t xml:space="preserve">The king is </w:t>
      </w:r>
      <w:r w:rsidR="004E6A78">
        <w:t xml:space="preserve">now </w:t>
      </w:r>
      <w:r w:rsidR="00301660" w:rsidRPr="00B740B4">
        <w:t xml:space="preserve">displeased: perhaps with Daniel, for ignoring his injunction; perhaps with the ministers, for engineering his downfall; perhaps with himself, for being manipulated by them into becoming the victim of his own power and authority; perhaps with the situation in general into which he is now cornered (cf. Herod, Mark 6:26). But the law is the law is the law. If the king accepts it, he has to accept unacceptable constraints and unfairness when the law is an ass; if he suspends it, he risks the collapse of the social order, and ultimately </w:t>
      </w:r>
      <w:r w:rsidR="00FC707C">
        <w:t>of the state itself.</w:t>
      </w:r>
      <w:r w:rsidR="00FC707C">
        <w:rPr>
          <w:rStyle w:val="FootnoteReference"/>
        </w:rPr>
        <w:footnoteReference w:id="1001"/>
      </w:r>
    </w:p>
    <w:p w:rsidR="00301660" w:rsidRPr="00B740B4" w:rsidRDefault="00FC707C" w:rsidP="00301660">
      <w:r>
        <w:rPr>
          <w:rStyle w:val="b"/>
          <w:color w:val="auto"/>
        </w:rPr>
        <w:t>16–23</w:t>
      </w:r>
      <w:r>
        <w:t xml:space="preserve"> There are </w:t>
      </w:r>
      <w:r w:rsidR="00301660" w:rsidRPr="00B740B4">
        <w:t>parallels and contrasts between the words that take Daniel’s three friends to the furnace (3:15–18) and those that take Daniel to the lion pit. There the king asked, “Who ever is the god who could deliver you from my power?” Here the king declares, “Your God, whom you honor so consistently, he must deliver you” (compare his acknowledgme</w:t>
      </w:r>
      <w:r>
        <w:t>nt of “the living God” in v 20</w:t>
      </w:r>
      <w:r w:rsidR="00301660" w:rsidRPr="00B740B4">
        <w:t xml:space="preserve">). </w:t>
      </w:r>
      <w:r w:rsidR="008B0F5F">
        <w:t xml:space="preserve">There, </w:t>
      </w:r>
      <w:r w:rsidR="00301660" w:rsidRPr="00B740B4">
        <w:t>the king’s challenge requires a response and draws forth a magnificent confession from the three men. Here the king has said all that needs to b</w:t>
      </w:r>
      <w:r w:rsidR="008B0F5F">
        <w:t>e said, and it is his prayer</w:t>
      </w:r>
      <w:r w:rsidR="00301660" w:rsidRPr="00B740B4">
        <w:t xml:space="preserve"> that resounds in our ears until Daniel testifies to God’s s</w:t>
      </w:r>
      <w:r>
        <w:t>aving power the next day (v 22</w:t>
      </w:r>
      <w:r w:rsidR="008B0F5F">
        <w:t xml:space="preserve">). </w:t>
      </w:r>
      <w:r w:rsidR="003762C4">
        <w:t xml:space="preserve">Thus </w:t>
      </w:r>
      <w:r w:rsidR="00301660" w:rsidRPr="00B740B4">
        <w:t xml:space="preserve">Darius </w:t>
      </w:r>
      <w:r w:rsidR="008B0F5F">
        <w:t xml:space="preserve">is the one </w:t>
      </w:r>
      <w:r w:rsidR="00301660" w:rsidRPr="00B740B4">
        <w:t>who comes into focus at this point in the story, not Daniel. Yet both confessions manifest ambiguities. Even if it is right that the friends themselves believe that their God can and will rescue them (in 3:17–18), they nevertheless have to grant that only events will demonstrate wh</w:t>
      </w:r>
      <w:r w:rsidR="004E6A78">
        <w:t>ether God will</w:t>
      </w:r>
      <w:r w:rsidR="00301660" w:rsidRPr="00B740B4">
        <w:t>. Darius, in turn, uses a form of the verb that leaves open whether God must, will, may, o</w:t>
      </w:r>
      <w:r>
        <w:t>r can rescue Daniel (see n. 16</w:t>
      </w:r>
      <w:r w:rsidR="00301660" w:rsidRPr="00B740B4">
        <w:t>.b). Like other ambiguities in Daniel, the unclarity over whether Darius offers a challenge to God, or a statement of faith, or a wistful hope, functions to invite the hearer to decide what he or she would mean in a situation of this kind.</w:t>
      </w:r>
      <w:r w:rsidR="0004114C">
        <w:t xml:space="preserve"> </w:t>
      </w:r>
      <w:r w:rsidR="003762C4">
        <w:t>On the other hand,</w:t>
      </w:r>
      <w:r w:rsidR="0004114C" w:rsidRPr="0004114C">
        <w:t xml:space="preserve"> </w:t>
      </w:r>
      <w:r w:rsidR="0004114C">
        <w:t xml:space="preserve">perhaps </w:t>
      </w:r>
      <w:r w:rsidR="0004114C" w:rsidRPr="0004114C">
        <w:t>“the royal prayer is revealed for what it is—a washing of hands. Poor divided man!”</w:t>
      </w:r>
      <w:r w:rsidR="0004114C" w:rsidRPr="0004114C">
        <w:rPr>
          <w:vertAlign w:val="superscript"/>
        </w:rPr>
        <w:footnoteReference w:id="1002"/>
      </w:r>
    </w:p>
    <w:p w:rsidR="00301660" w:rsidRDefault="00301660" w:rsidP="00301660">
      <w:r w:rsidRPr="00B740B4">
        <w:t xml:space="preserve">Daniel’s fate is sealed. </w:t>
      </w:r>
      <w:r w:rsidR="008B0F5F">
        <w:t>He is destined for a</w:t>
      </w:r>
      <w:r w:rsidR="008B0F5F" w:rsidRPr="008B0F5F">
        <w:t xml:space="preserve"> night in a five-star </w:t>
      </w:r>
      <w:r w:rsidR="003762C4">
        <w:t>l</w:t>
      </w:r>
      <w:r w:rsidR="008B0F5F" w:rsidRPr="008B0F5F">
        <w:t>ion pit.</w:t>
      </w:r>
      <w:r w:rsidR="008B0F5F" w:rsidRPr="008B0F5F">
        <w:rPr>
          <w:vertAlign w:val="superscript"/>
        </w:rPr>
        <w:footnoteReference w:id="1003"/>
      </w:r>
      <w:r w:rsidR="008B0F5F">
        <w:t xml:space="preserve"> </w:t>
      </w:r>
      <w:r w:rsidRPr="00B740B4">
        <w:t xml:space="preserve">It will neither be possible for his </w:t>
      </w:r>
      <w:r w:rsidR="00FC707C">
        <w:t xml:space="preserve">friends to feed the lions or </w:t>
      </w:r>
      <w:r w:rsidRPr="00B740B4">
        <w:t>engineer his survival in some other way, nor for his enemies t</w:t>
      </w:r>
      <w:r w:rsidR="00FC707C">
        <w:t>o kill him if the lions do not</w:t>
      </w:r>
      <w:r w:rsidRPr="00B740B4">
        <w:t>.</w:t>
      </w:r>
      <w:r w:rsidR="00FC707C">
        <w:rPr>
          <w:rStyle w:val="FootnoteReference"/>
        </w:rPr>
        <w:footnoteReference w:id="1004"/>
      </w:r>
      <w:r w:rsidR="003762C4">
        <w:t xml:space="preserve"> Furtjer, there is </w:t>
      </w:r>
      <w:r w:rsidRPr="00B740B4">
        <w:t xml:space="preserve">a deeper matter at issue than the conflict between Daniel’s foes and his friends. The king has spoken of the possibility of </w:t>
      </w:r>
      <w:r w:rsidRPr="00B740B4">
        <w:rPr>
          <w:rStyle w:val="i"/>
          <w:color w:val="auto"/>
        </w:rPr>
        <w:t>God’s</w:t>
      </w:r>
      <w:r w:rsidRPr="00B740B4">
        <w:t xml:space="preserve"> delivering Daniel, and the sealing will make it necessary for God to prove himself in an extraordinary way if he is to act at all. “In testing Daniel, the king kno</w:t>
      </w:r>
      <w:r w:rsidR="003762C4">
        <w:t>ws…</w:t>
      </w:r>
      <w:r w:rsidR="00FC707C">
        <w:t xml:space="preserve"> that he is testing God.”</w:t>
      </w:r>
      <w:r w:rsidR="00FC707C">
        <w:rPr>
          <w:rStyle w:val="FootnoteReference"/>
        </w:rPr>
        <w:footnoteReference w:id="1005"/>
      </w:r>
    </w:p>
    <w:p w:rsidR="00301660" w:rsidRPr="00B740B4" w:rsidRDefault="00301660" w:rsidP="00301660">
      <w:r w:rsidRPr="00B740B4">
        <w:t>Darius is unable to eat, relax, or sleep as he awaits the outcome of the action forced on him. Perhaps he is even praying against t</w:t>
      </w:r>
      <w:r w:rsidR="00FC707C">
        <w:t>he effectiveness of his action</w:t>
      </w:r>
      <w:r w:rsidR="00FC707C">
        <w:rPr>
          <w:rStyle w:val="FootnoteReference"/>
        </w:rPr>
        <w:footnoteReference w:id="1006"/>
      </w:r>
      <w:r w:rsidRPr="00B740B4">
        <w:t xml:space="preserve"> or expressing his penitence for his foolish injunction</w:t>
      </w:r>
      <w:r w:rsidR="00FC707C">
        <w:t>.</w:t>
      </w:r>
      <w:r w:rsidR="00FC707C">
        <w:rPr>
          <w:rStyle w:val="FootnoteReference"/>
        </w:rPr>
        <w:footnoteReference w:id="1007"/>
      </w:r>
      <w:r w:rsidR="00FC707C">
        <w:t xml:space="preserve"> P</w:t>
      </w:r>
      <w:r w:rsidRPr="00B740B4">
        <w:t>erhaps we are to recall the Babylonian custom whereby a prisoner who was tortured but survived overnight was then pa</w:t>
      </w:r>
      <w:r w:rsidR="00FC707C">
        <w:t>rdoned</w:t>
      </w:r>
      <w:r w:rsidRPr="00B740B4">
        <w:t>.</w:t>
      </w:r>
      <w:r w:rsidR="00FC707C">
        <w:rPr>
          <w:rStyle w:val="FootnoteReference"/>
        </w:rPr>
        <w:footnoteReference w:id="1008"/>
      </w:r>
      <w:r w:rsidR="00FC707C">
        <w:t xml:space="preserve"> When daylight comes, Darius</w:t>
      </w:r>
      <w:r w:rsidRPr="00B740B4">
        <w:t xml:space="preserve"> returns to the lion pit in turmoil and trepidation instead of in the stately dignity and composure of a monarch. By addressing Daniel </w:t>
      </w:r>
      <w:r w:rsidR="003762C4">
        <w:t xml:space="preserve">so as </w:t>
      </w:r>
      <w:r w:rsidRPr="00B740B4">
        <w:t>to ask whether he has survived the ordeal, he builds up our expectation that actually he has</w:t>
      </w:r>
      <w:r w:rsidR="00FC707C">
        <w:t xml:space="preserve"> done so</w:t>
      </w:r>
      <w:r w:rsidRPr="00B740B4">
        <w:t xml:space="preserve">. By enquiring whether the “living God” has been able to preserve Daniel, he speaks of that God in terms that contain the seeds </w:t>
      </w:r>
      <w:r w:rsidR="003762C4">
        <w:t>of the answer to his question: t</w:t>
      </w:r>
      <w:r w:rsidRPr="00B740B4">
        <w:t>his rich OT title for God suggests not merely that God is alive rather than dead but that he is active and powerful, awesome and almighty, involved in br</w:t>
      </w:r>
      <w:r w:rsidR="00D924CE">
        <w:t xml:space="preserve">inging judgment and blessing. The title </w:t>
      </w:r>
      <w:r w:rsidRPr="00B740B4">
        <w:t xml:space="preserve">is appealed to when human beings </w:t>
      </w:r>
      <w:r w:rsidRPr="00B740B4">
        <w:lastRenderedPageBreak/>
        <w:t xml:space="preserve">are inclined to slight him or to doubt him in situations of pressure and weakness (Deut 5:26; Josh 3:10; 1 Sam 17:26; 2 Kgs 19:4; Jer 10:10; 23:36; Hos </w:t>
      </w:r>
      <w:r w:rsidR="00593223">
        <w:t>1:10 [2:1]; Ps 42:2 [3]; 84:2 [3</w:t>
      </w:r>
      <w:r w:rsidRPr="00B740B4">
        <w:t>]; oaths are taken “by the living God”—</w:t>
      </w:r>
      <w:r w:rsidR="00593223">
        <w:t>that is</w:t>
      </w:r>
      <w:r w:rsidRPr="00B740B4">
        <w:t>, at the risk of his</w:t>
      </w:r>
      <w:r w:rsidR="00593223">
        <w:t xml:space="preserve"> intervening in case of default</w:t>
      </w:r>
      <w:r w:rsidRPr="00B740B4">
        <w:t xml:space="preserve">). </w:t>
      </w:r>
      <w:r w:rsidR="00C17123">
        <w:t xml:space="preserve">So </w:t>
      </w:r>
      <w:r w:rsidRPr="00B740B4">
        <w:t>Darius’s conf</w:t>
      </w:r>
      <w:r w:rsidR="00593223">
        <w:t xml:space="preserve">ession of “the living God” </w:t>
      </w:r>
      <w:r w:rsidRPr="00B740B4">
        <w:t>also builds up our expectation regarding what we are about to discover.</w:t>
      </w:r>
    </w:p>
    <w:p w:rsidR="00301660" w:rsidRPr="00B740B4" w:rsidRDefault="00301660" w:rsidP="00301660">
      <w:r w:rsidRPr="00B740B4">
        <w:t>Daniel’s calm and polite reply, observing courtly protocol, underlines by contrast the king’s anxiety and agitation. At the same time his “Long live the king” strikingly affirms Darius’s kingship. It is the first time the phrase has occurred on the lips of Daniel or his friends (cf. Neh 2:3). If to be the living God implies activity and power, to be the living king implies having a share in God’s life and power.</w:t>
      </w:r>
      <w:r w:rsidR="00593223">
        <w:rPr>
          <w:rStyle w:val="FootnoteReference"/>
        </w:rPr>
        <w:footnoteReference w:id="1009"/>
      </w:r>
      <w:r w:rsidRPr="00B740B4">
        <w:t xml:space="preserve"> Daniel’s prayer that Darius may do so both honors and relativizes Darius’s kingship by the interweaving of references to the living God with those to the</w:t>
      </w:r>
      <w:r w:rsidR="00593223">
        <w:t xml:space="preserve"> living king (vv 6, 20, 21, 26</w:t>
      </w:r>
      <w:r w:rsidRPr="00B740B4">
        <w:t>), as have his earlier affirmations of Nebuchadnezzar’s kingship as God-given (2:37; 5:18).</w:t>
      </w:r>
    </w:p>
    <w:p w:rsidR="00280940" w:rsidRPr="00B740B4" w:rsidRDefault="00301660" w:rsidP="00301660">
      <w:r w:rsidRPr="00B740B4">
        <w:t xml:space="preserve">As Daniel’s friends were not preserved from the furnace, so Daniel has not been preserved from the lion pit; as the divine aide entered the furnace to stand with Daniel’s friends, so God has sent his aide into the pit to stand with Daniel; as Daniel’s friends were preserved in the furnace, so is Daniel in the lion pit. The first generation of Christian believers </w:t>
      </w:r>
      <w:r w:rsidR="00D924CE">
        <w:t xml:space="preserve">sometimes </w:t>
      </w:r>
      <w:r w:rsidRPr="00B740B4">
        <w:t xml:space="preserve">had similar experiences. They refused to obey human beings rather than God and found themselves in prison: but the Lord’s aide opened the prison doors and released them (Acts 4:18–20; 5:19–20; 12:1–10; 16:19–26). So “what happens when a state executes </w:t>
      </w:r>
      <w:r w:rsidR="00593223">
        <w:t>those who are praying for it?” Even if God does not rescue them, i</w:t>
      </w:r>
      <w:r w:rsidRPr="00B740B4">
        <w:t>t is “demonstrating the emperor’s powerlessness to impose his will even by death. The final sanction had been publicly robbed of its power. Even as the lions lapped the blood of the saints, Caesar was stripped of his arms and led captive in Christ’s triumphal procession. His authority was shown to be only penultimate after all</w:t>
      </w:r>
      <w:r w:rsidR="00593223">
        <w:t>.</w:t>
      </w:r>
      <w:r w:rsidRPr="00B740B4">
        <w:t>”</w:t>
      </w:r>
      <w:r w:rsidR="00593223">
        <w:rPr>
          <w:rStyle w:val="FootnoteReference"/>
        </w:rPr>
        <w:footnoteReference w:id="1010"/>
      </w:r>
      <w:r w:rsidRPr="00B740B4">
        <w:t xml:space="preserve"> </w:t>
      </w:r>
      <w:r w:rsidR="00D924CE">
        <w:t xml:space="preserve"> </w:t>
      </w:r>
      <w:r w:rsidR="00280940">
        <w:t>Daniel 6 is “a tale of two e</w:t>
      </w:r>
      <w:r w:rsidR="00D924CE">
        <w:t>mpires.” But in this tale, evening</w:t>
      </w:r>
      <w:r w:rsidR="00280940">
        <w:t xml:space="preserve"> stands for the su</w:t>
      </w:r>
      <w:r w:rsidR="00D924CE">
        <w:t>n setting on Persian dominion, night is a time of trial, and s</w:t>
      </w:r>
      <w:r w:rsidR="00280940">
        <w:t>unrise stands for the rising of God’s dominion.</w:t>
      </w:r>
      <w:r w:rsidR="00280940">
        <w:rPr>
          <w:rStyle w:val="FootnoteReference"/>
        </w:rPr>
        <w:footnoteReference w:id="1011"/>
      </w:r>
      <w:r w:rsidR="00D46E6E">
        <w:t xml:space="preserve"> One might indeed see the casting into a lion pit (like the casting into the furnace in chap. 3) as a</w:t>
      </w:r>
      <w:r w:rsidR="00C17123">
        <w:t xml:space="preserve"> </w:t>
      </w:r>
      <w:r w:rsidR="00D46E6E">
        <w:t>trial by ordeal rather than a simple execution.</w:t>
      </w:r>
      <w:r w:rsidR="00D46E6E">
        <w:rPr>
          <w:rStyle w:val="FootnoteReference"/>
        </w:rPr>
        <w:footnoteReference w:id="1012"/>
      </w:r>
    </w:p>
    <w:p w:rsidR="00124185" w:rsidRDefault="00C17123" w:rsidP="00124185">
      <w:r>
        <w:t>The message of Dan 6 is not</w:t>
      </w:r>
      <w:r w:rsidR="00301660" w:rsidRPr="00B740B4">
        <w:t xml:space="preserve"> that the innocent, believing confessor can always expect to be saved from martyrdom. </w:t>
      </w:r>
      <w:r w:rsidR="00DE33BF" w:rsidRPr="00DE33BF">
        <w:t>“On occasion, and for a time only, and even then rarely, the just are protected from suffering and death at the hands of a brigand authority.”</w:t>
      </w:r>
      <w:r w:rsidR="00DE33BF" w:rsidRPr="00DE33BF">
        <w:rPr>
          <w:vertAlign w:val="superscript"/>
        </w:rPr>
        <w:footnoteReference w:id="1013"/>
      </w:r>
      <w:r w:rsidR="00DE33BF">
        <w:t xml:space="preserve"> </w:t>
      </w:r>
      <w:r w:rsidR="00124185">
        <w:t>Alt</w:t>
      </w:r>
      <w:r w:rsidR="00301660" w:rsidRPr="00B740B4">
        <w:t>hough the promise of Ps 91:10–13 generalizes the experience of Daniel</w:t>
      </w:r>
      <w:r w:rsidR="00DC3E5C">
        <w:t xml:space="preserve"> </w:t>
      </w:r>
      <w:r w:rsidR="00D924CE">
        <w:t>,</w:t>
      </w:r>
      <w:r w:rsidR="00DC3E5C">
        <w:t xml:space="preserve">and/or </w:t>
      </w:r>
      <w:r w:rsidR="00124185">
        <w:t>al</w:t>
      </w:r>
      <w:r w:rsidR="00D924CE">
        <w:t xml:space="preserve">though </w:t>
      </w:r>
      <w:r w:rsidR="00DC3E5C">
        <w:t>“Daniel’s reply is a commentary on Psalm 91:9-13</w:t>
      </w:r>
      <w:r w:rsidR="00301660" w:rsidRPr="00B740B4">
        <w:t>,</w:t>
      </w:r>
      <w:r w:rsidR="00DC3E5C">
        <w:t>”</w:t>
      </w:r>
      <w:r w:rsidR="00DC3E5C">
        <w:rPr>
          <w:rStyle w:val="FootnoteReference"/>
        </w:rPr>
        <w:footnoteReference w:id="1014"/>
      </w:r>
      <w:r w:rsidR="00301660" w:rsidRPr="00B740B4">
        <w:t xml:space="preserve"> the psalmist and the aut</w:t>
      </w:r>
      <w:r w:rsidR="00D924CE">
        <w:t>hor of Daniel kno</w:t>
      </w:r>
      <w:r w:rsidR="00593223">
        <w:t xml:space="preserve">w that life </w:t>
      </w:r>
      <w:r w:rsidR="00301660" w:rsidRPr="00B740B4">
        <w:t xml:space="preserve">often </w:t>
      </w:r>
      <w:r w:rsidR="00593223">
        <w:t xml:space="preserve">does </w:t>
      </w:r>
      <w:r w:rsidR="00301660" w:rsidRPr="00B740B4">
        <w:t xml:space="preserve">not </w:t>
      </w:r>
      <w:r w:rsidR="00593223">
        <w:t>turn out thus</w:t>
      </w:r>
      <w:r w:rsidR="00301660" w:rsidRPr="00B740B4">
        <w:t>. The promise may more often hold in a metaph</w:t>
      </w:r>
      <w:r w:rsidR="00593223">
        <w:t>orical sense (cf. Ps 22:</w:t>
      </w:r>
      <w:r w:rsidR="00301660" w:rsidRPr="00B740B4">
        <w:t>13, 21</w:t>
      </w:r>
      <w:r w:rsidR="00593223">
        <w:t xml:space="preserve"> [24, 22</w:t>
      </w:r>
      <w:r w:rsidR="00301660" w:rsidRPr="00B740B4">
        <w:t xml:space="preserve">]; </w:t>
      </w:r>
      <w:r w:rsidR="00D924CE">
        <w:t>124:6; Rom 8:36–37; 2 Tim 4:17), and the listeners are</w:t>
      </w:r>
      <w:r w:rsidR="00301660" w:rsidRPr="00B740B4">
        <w:t xml:space="preserve"> no doubt entitled to rejoice in the story’s implicit promise of such divine protection. God does grant a victory of life over death, of innocence over guilt, of justice ov</w:t>
      </w:r>
      <w:r w:rsidR="00D924CE">
        <w:t>er enmity, of hope over fear. People who lose their</w:t>
      </w:r>
      <w:r w:rsidR="00301660" w:rsidRPr="00B740B4">
        <w:t xml:space="preserve"> life </w:t>
      </w:r>
      <w:r w:rsidR="00301660" w:rsidRPr="00B740B4">
        <w:rPr>
          <w:rStyle w:val="i"/>
          <w:color w:val="auto"/>
        </w:rPr>
        <w:t>will</w:t>
      </w:r>
      <w:r w:rsidR="00301660" w:rsidRPr="00B740B4">
        <w:t xml:space="preserve"> save it. In Daniel’s day, in that of the early Christians, and in our</w:t>
      </w:r>
      <w:r w:rsidR="00D924CE">
        <w:t xml:space="preserve"> own, the lions that</w:t>
      </w:r>
      <w:r w:rsidR="00301660" w:rsidRPr="00B740B4">
        <w:t xml:space="preserve"> are set upon the children of God</w:t>
      </w:r>
      <w:r w:rsidR="00D924CE">
        <w:t xml:space="preserve"> often</w:t>
      </w:r>
      <w:r w:rsidR="00301660" w:rsidRPr="00B740B4">
        <w:t xml:space="preserve"> do devour them. They experience not only the pit (and are rescued from death) but the Pit itself. </w:t>
      </w:r>
      <w:r w:rsidR="00124185">
        <w:t xml:space="preserve">Thus in closing one of his lectures on Dan 6, Calvin prays, </w:t>
      </w:r>
      <w:r w:rsidR="00124185" w:rsidRPr="00124185">
        <w:t>“Grant, Almighty God,… that we may be prepared to live and to die for you and not seek anything else than to maintain the pure and sincere service of your Godhead.”</w:t>
      </w:r>
      <w:r w:rsidR="00124185" w:rsidRPr="00124185">
        <w:rPr>
          <w:vertAlign w:val="superscript"/>
        </w:rPr>
        <w:footnoteReference w:id="1015"/>
      </w:r>
      <w:r w:rsidR="00124185" w:rsidRPr="00124185">
        <w:t xml:space="preserve"> </w:t>
      </w:r>
    </w:p>
    <w:p w:rsidR="00593223" w:rsidRDefault="00124185" w:rsidP="00301660">
      <w:r w:rsidRPr="00124185">
        <w:lastRenderedPageBreak/>
        <w:t>For Jews and Christians, the stories of Daniel and his friends who were prepared to go to martyrdom have been important to faithful confessors who did go to martyrdom.</w:t>
      </w:r>
      <w:r w:rsidRPr="00124185">
        <w:rPr>
          <w:vertAlign w:val="superscript"/>
        </w:rPr>
        <w:footnoteReference w:id="1016"/>
      </w:r>
      <w:r>
        <w:t xml:space="preserve"> </w:t>
      </w:r>
      <w:r w:rsidR="00301660" w:rsidRPr="00B740B4">
        <w:t>The story affirms that occasional experiences of divine intervention are more important than regular experiences of divine non</w:t>
      </w:r>
      <w:r w:rsidR="00593223">
        <w:t>-</w:t>
      </w:r>
      <w:r w:rsidR="00301660" w:rsidRPr="00B740B4">
        <w:t>intervention. That</w:t>
      </w:r>
      <w:r w:rsidR="00D924CE">
        <w:t xml:space="preserve"> </w:t>
      </w:r>
      <w:r w:rsidR="00593223">
        <w:t xml:space="preserve">affirmation </w:t>
      </w:r>
      <w:r w:rsidR="00301660" w:rsidRPr="00B740B4">
        <w:t>invites us to a more God-centered perspective: the fulfilling of God’s purpose, whether by my deliverance or by my death, is what matters, not the fulfilling of what is most comfortable to me (cf</w:t>
      </w:r>
      <w:r w:rsidR="00D924CE">
        <w:t xml:space="preserve">. Phil 1:12–20). The story </w:t>
      </w:r>
      <w:r w:rsidR="00301660" w:rsidRPr="00B740B4">
        <w:t>recognize</w:t>
      </w:r>
      <w:r w:rsidR="00D924CE">
        <w:t>s</w:t>
      </w:r>
      <w:r w:rsidR="00301660" w:rsidRPr="00B740B4">
        <w:t>, however, that our deliver</w:t>
      </w:r>
      <w:r w:rsidR="00593223">
        <w:t xml:space="preserve">ance </w:t>
      </w:r>
      <w:r w:rsidR="00301660" w:rsidRPr="00B740B4">
        <w:t>matter</w:t>
      </w:r>
      <w:r w:rsidR="00593223">
        <w:t>s</w:t>
      </w:r>
      <w:r w:rsidR="00301660" w:rsidRPr="00B740B4">
        <w:t xml:space="preserve"> to us. We are not expected to manifest a heroism that cares no</w:t>
      </w:r>
      <w:r w:rsidR="00C17123">
        <w:t>thing for our own destiny. The b</w:t>
      </w:r>
      <w:r w:rsidR="00301660" w:rsidRPr="00B740B4">
        <w:t xml:space="preserve">ook of Daniel sets the individual’s experience of attack by wild beasts and </w:t>
      </w:r>
      <w:r w:rsidR="00593223">
        <w:t xml:space="preserve">of </w:t>
      </w:r>
      <w:r w:rsidR="00301660" w:rsidRPr="00B740B4">
        <w:t>being thrown into the pit into a wider and at first more threatening context, but one which is then comforting. In Dan 7, a lion</w:t>
      </w:r>
      <w:r w:rsidR="00593223">
        <w:t>-</w:t>
      </w:r>
      <w:r w:rsidR="00301660" w:rsidRPr="00B740B4">
        <w:t xml:space="preserve">like animal will be the first to typify the gentile world-powers, more threatening now than they were pictured in chap. 2, but destined for defeat. Dan 12 then encourages us to look to deliverance after death if not before it, and Christ’s resurrection is the proof that such a deliverance is not fanciful hope (thus Phil 1:21–26 continues Paul’s reflection). </w:t>
      </w:r>
    </w:p>
    <w:p w:rsidR="00301660" w:rsidRPr="00B740B4" w:rsidRDefault="00301660" w:rsidP="00301660">
      <w:r w:rsidRPr="00B740B4">
        <w:t>Daniel’s deliverance from the pit in this age anticipates and promises a more general deliverance from the Pit into a new age; there, too, God’s aide comes to deliver those who have obeyed God rather than Caesar, so that they may yet look in triumph on their attackers and testify to the power of the living God.</w:t>
      </w:r>
      <w:r w:rsidR="00593223">
        <w:rPr>
          <w:rStyle w:val="FootnoteReference"/>
        </w:rPr>
        <w:footnoteReference w:id="1017"/>
      </w:r>
      <w:r w:rsidR="00D924CE">
        <w:t xml:space="preserve"> But the story </w:t>
      </w:r>
      <w:r w:rsidRPr="00B740B4">
        <w:t>also witness</w:t>
      </w:r>
      <w:r w:rsidR="00D924CE">
        <w:t>es to the reality that</w:t>
      </w:r>
      <w:r w:rsidRPr="00B740B4">
        <w:t xml:space="preserve"> the powers of</w:t>
      </w:r>
      <w:r w:rsidR="00593223">
        <w:t xml:space="preserve"> the age to come </w:t>
      </w:r>
      <w:r w:rsidR="00D924CE">
        <w:t xml:space="preserve">can be </w:t>
      </w:r>
      <w:r w:rsidR="00593223">
        <w:t>operating now</w:t>
      </w:r>
      <w:r w:rsidRPr="00B740B4">
        <w:t>.</w:t>
      </w:r>
      <w:r w:rsidR="00593223">
        <w:rPr>
          <w:rStyle w:val="FootnoteReference"/>
        </w:rPr>
        <w:footnoteReference w:id="1018"/>
      </w:r>
      <w:r w:rsidR="00D924CE">
        <w:t xml:space="preserve"> Even though</w:t>
      </w:r>
      <w:r w:rsidRPr="00B740B4">
        <w:t xml:space="preserve"> its form invites us not to take it as a straightforward narrative of historical events, its logic requires that some concrete experience of God acting in marvelous ways in this age underlies it, and its implication is that we may occasionally look for such experiences in this age.</w:t>
      </w:r>
    </w:p>
    <w:p w:rsidR="00301660" w:rsidRPr="00B740B4" w:rsidRDefault="00301660" w:rsidP="00301660">
      <w:r w:rsidRPr="00B740B4">
        <w:t xml:space="preserve">Daniel’s adversaries have attempted to make it impossible for him to remain innocent before God </w:t>
      </w:r>
      <w:r w:rsidRPr="00B740B4">
        <w:rPr>
          <w:rStyle w:val="i"/>
          <w:color w:val="auto"/>
        </w:rPr>
        <w:t>and</w:t>
      </w:r>
      <w:r w:rsidRPr="00B740B4">
        <w:t xml:space="preserve"> loyal to the state, but they have failed. He has obeyed God rather than the human king, but </w:t>
      </w:r>
      <w:r w:rsidR="008B79A9">
        <w:t xml:space="preserve">he </w:t>
      </w:r>
      <w:r w:rsidRPr="00B740B4">
        <w:t>has done no injury to the state. He has not been guilty of rebellion or treachery. By putting loyalty to God above loyalty to the state he has been loyal to the truth and thus more loyal to the state than those who make of it more than it is—and certainly than those who use it to serve their own ends, as his adversaries have. It is appropriate for the king to be glad that his attempt at execution has failed.</w:t>
      </w:r>
    </w:p>
    <w:p w:rsidR="00301660" w:rsidRPr="00B740B4" w:rsidRDefault="00301660" w:rsidP="00301660">
      <w:r w:rsidRPr="00B740B4">
        <w:t xml:space="preserve">Darius’s state of mind has been in focus for some while. We have not been told what Daniel was feeling. Lest we had not assumed it, however, we are assured that Daniel’s ability to shut the lions’ mouths derived from his standing firm in his trust in God (Heb 11:33). </w:t>
      </w:r>
      <w:r w:rsidR="0020169E">
        <w:t>He himself prefers</w:t>
      </w:r>
      <w:r w:rsidRPr="00B740B4">
        <w:t xml:space="preserve"> to speak of </w:t>
      </w:r>
      <w:r w:rsidRPr="00B740B4">
        <w:rPr>
          <w:rStyle w:val="i"/>
          <w:color w:val="auto"/>
        </w:rPr>
        <w:t>God</w:t>
      </w:r>
      <w:r w:rsidRPr="00B740B4">
        <w:t xml:space="preserve"> shutting their mouths; and we should not even assume that God is limited to delivering those who are in</w:t>
      </w:r>
      <w:r w:rsidR="008B79A9">
        <w:t>nocent and trusting</w:t>
      </w:r>
      <w:r w:rsidRPr="00B740B4">
        <w:t>.</w:t>
      </w:r>
      <w:r w:rsidR="008B79A9">
        <w:rPr>
          <w:rStyle w:val="FootnoteReference"/>
        </w:rPr>
        <w:footnoteReference w:id="1019"/>
      </w:r>
      <w:r w:rsidRPr="00B740B4">
        <w:t xml:space="preserve"> That </w:t>
      </w:r>
      <w:r w:rsidR="00C17123">
        <w:t>assumption would mean</w:t>
      </w:r>
      <w:r w:rsidRPr="00B740B4">
        <w:t xml:space="preserve"> fall</w:t>
      </w:r>
      <w:r w:rsidR="00C17123">
        <w:t>ing</w:t>
      </w:r>
      <w:r w:rsidRPr="00B740B4">
        <w:t xml:space="preserve"> into an error akin to that of Job’s friends.</w:t>
      </w:r>
      <w:r w:rsidR="00B23CF1">
        <w:t xml:space="preserve"> Daniel’s trust in God did not imply that he was confident of a miraculous deliverance; his trust will </w:t>
      </w:r>
      <w:r w:rsidR="0020169E">
        <w:t xml:space="preserve">have </w:t>
      </w:r>
      <w:r w:rsidR="00B23CF1">
        <w:t>be</w:t>
      </w:r>
      <w:r w:rsidR="0020169E">
        <w:t>en</w:t>
      </w:r>
      <w:r w:rsidR="00B23CF1">
        <w:t xml:space="preserve"> like Job’s and like that of his three friends (3:17-18).</w:t>
      </w:r>
      <w:r w:rsidR="00B23CF1">
        <w:rPr>
          <w:rStyle w:val="FootnoteReference"/>
        </w:rPr>
        <w:footnoteReference w:id="1020"/>
      </w:r>
      <w:r w:rsidR="00B23CF1">
        <w:t xml:space="preserve"> </w:t>
      </w:r>
    </w:p>
    <w:p w:rsidR="00301660" w:rsidRPr="00B740B4" w:rsidRDefault="008B79A9" w:rsidP="00301660">
      <w:r>
        <w:rPr>
          <w:rStyle w:val="b"/>
          <w:color w:val="auto"/>
        </w:rPr>
        <w:t>24</w:t>
      </w:r>
      <w:r w:rsidR="00301660" w:rsidRPr="00B740B4">
        <w:t xml:space="preserve"> That Daniel’s adversaries should be executed in his place is in keeping with Deut 19:16–21; Prov 19:5, 9; 21:28; Esth 7:10. It is more broadly in keeping with the prophetic promise that as Israel is saved, her oppressors will be turned upon themselves and annihilated (Isa 41:11–12; 49:25–26). That their families should suffer with them is in keeping with Num 16:27–33; Josh 7:24–25; Esth 9:25; Isa 13:15–16; though it contrasts with Deut 24:16; 2 Kgs 14:6. </w:t>
      </w:r>
      <w:r w:rsidR="0020169E" w:rsidRPr="0020169E">
        <w:t>“Are we to applaud the deaths of the innocent in this passage, or, as at the traditional Passover seder, do we set aside a moment to remember the de</w:t>
      </w:r>
      <w:r w:rsidR="00F10566">
        <w:t>a</w:t>
      </w:r>
      <w:r w:rsidR="0020169E" w:rsidRPr="0020169E">
        <w:t>th of innocent Egyptians in the liberation of Israel?”</w:t>
      </w:r>
      <w:r w:rsidR="0020169E" w:rsidRPr="0020169E">
        <w:rPr>
          <w:vertAlign w:val="superscript"/>
        </w:rPr>
        <w:footnoteReference w:id="1021"/>
      </w:r>
      <w:r w:rsidR="0020169E" w:rsidRPr="0020169E">
        <w:t xml:space="preserve"> We may of course do so, </w:t>
      </w:r>
      <w:r w:rsidR="0020169E" w:rsidRPr="0020169E">
        <w:lastRenderedPageBreak/>
        <w:t>though the instinct of Jews and Christians at this point differs from that of the text. MT is more interested in the way judgment is the other side of the coin of deliverance</w:t>
      </w:r>
      <w:r w:rsidR="00F10566" w:rsidRPr="00F10566">
        <w:t xml:space="preserve"> (as is regularly the case)</w:t>
      </w:r>
      <w:r w:rsidR="0020169E" w:rsidRPr="0020169E">
        <w:t>,</w:t>
      </w:r>
      <w:r w:rsidR="0020169E" w:rsidRPr="0020169E">
        <w:rPr>
          <w:vertAlign w:val="superscript"/>
        </w:rPr>
        <w:footnoteReference w:id="1022"/>
      </w:r>
      <w:r w:rsidR="0020169E" w:rsidRPr="0020169E">
        <w:t xml:space="preserve"> and in the promise that wickedness gets it comeuppance. It recognizes that the destiny and the fate of families is tied up for good and for ill with that of the head of the family, and that guilt and innocence are not simply individual matters. </w:t>
      </w:r>
      <w:r w:rsidR="00301660" w:rsidRPr="00B740B4">
        <w:t>Perhaps the story implies no moral judgment on the event beyond the implication that “life is like that (so watch it).” It very well illustrates maxims in Proverbs (see especially 26:27; 28:10; cf. Ps 7:1</w:t>
      </w:r>
      <w:r>
        <w:t>5 [16</w:t>
      </w:r>
      <w:r w:rsidR="00301660" w:rsidRPr="00B740B4">
        <w:t>]; 9:1</w:t>
      </w:r>
      <w:r>
        <w:t>5 [16]; 57:6 [7</w:t>
      </w:r>
      <w:r w:rsidR="00F10566">
        <w:t xml:space="preserve">]). Perhaps </w:t>
      </w:r>
      <w:r w:rsidR="00301660" w:rsidRPr="00B740B4">
        <w:t xml:space="preserve">we need again to recall that this </w:t>
      </w:r>
      <w:r>
        <w:t>narra</w:t>
      </w:r>
      <w:r w:rsidR="00F10566">
        <w:t>tive is not a piece of history but</w:t>
      </w:r>
      <w:r w:rsidR="00301660" w:rsidRPr="00B740B4">
        <w:t xml:space="preserve"> a dramatized warning and promise o</w:t>
      </w:r>
      <w:r>
        <w:t>f God’</w:t>
      </w:r>
      <w:r w:rsidR="0020169E">
        <w:t>s judgment on wickedness</w:t>
      </w:r>
      <w:r w:rsidR="00301660" w:rsidRPr="00B740B4">
        <w:t>. Josephus has Daniel’s accusers saying that the lions fail to eat Daniel because they have been f</w:t>
      </w:r>
      <w:r>
        <w:t>ed; the lions’ appetite for their subsequent victims</w:t>
      </w:r>
      <w:r w:rsidR="00301660" w:rsidRPr="00B740B4">
        <w:t xml:space="preserve"> then proves that Daniel’s escape </w:t>
      </w:r>
      <w:r w:rsidR="00301660" w:rsidRPr="00B740B4">
        <w:rPr>
          <w:rStyle w:val="i"/>
          <w:color w:val="auto"/>
        </w:rPr>
        <w:t>was</w:t>
      </w:r>
      <w:r w:rsidR="00301660" w:rsidRPr="00B740B4">
        <w:t xml:space="preserve"> a miracle (</w:t>
      </w:r>
      <w:r w:rsidR="00301660" w:rsidRPr="00B740B4">
        <w:rPr>
          <w:rStyle w:val="i"/>
          <w:color w:val="auto"/>
        </w:rPr>
        <w:t>Ant.</w:t>
      </w:r>
      <w:r w:rsidR="00301660" w:rsidRPr="00B740B4">
        <w:t xml:space="preserve"> 10.11.6 [10.262]).</w:t>
      </w:r>
    </w:p>
    <w:p w:rsidR="002F2055" w:rsidRDefault="008B79A9" w:rsidP="00301660">
      <w:r>
        <w:rPr>
          <w:rStyle w:val="b"/>
          <w:color w:val="auto"/>
        </w:rPr>
        <w:t>25–28</w:t>
      </w:r>
      <w:r w:rsidR="00301660" w:rsidRPr="00B740B4">
        <w:t xml:space="preserve"> From the beginning, Darius has been more sympathetic to Daniel and his fai</w:t>
      </w:r>
      <w:r w:rsidR="00F10566">
        <w:t>th than Nebuchadnezzar was</w:t>
      </w:r>
      <w:r w:rsidR="00301660" w:rsidRPr="00B740B4">
        <w:t xml:space="preserve"> to Daniel’s friends; at the end, he acknowledges Daniel’s God more fully. Through his entire empire, Daniel’s God is not merely to be tolerated but to be worshiped with reverence and awe. The ot</w:t>
      </w:r>
      <w:r w:rsidR="0020169E">
        <w:t>her side to the vision of the Prophets</w:t>
      </w:r>
      <w:r w:rsidR="00301660" w:rsidRPr="00B740B4">
        <w:t xml:space="preserve"> comes true (Isa </w:t>
      </w:r>
      <w:r>
        <w:t>42:1–12; 49:1–7; Zech 2:15 [11</w:t>
      </w:r>
      <w:r w:rsidR="00301660" w:rsidRPr="00B740B4">
        <w:t>]; 8:20–23); Daniel has himself functioned as a l</w:t>
      </w:r>
      <w:r>
        <w:t>ight to enlighten the Gentiles.</w:t>
      </w:r>
      <w:r>
        <w:rPr>
          <w:rStyle w:val="FootnoteReference"/>
        </w:rPr>
        <w:footnoteReference w:id="1023"/>
      </w:r>
      <w:r>
        <w:t xml:space="preserve"> </w:t>
      </w:r>
      <w:r w:rsidR="002F2055">
        <w:t>While h</w:t>
      </w:r>
      <w:r w:rsidR="00301660" w:rsidRPr="00B740B4">
        <w:t>eathen powers suffer if they o</w:t>
      </w:r>
      <w:r w:rsidR="002F2055">
        <w:t xml:space="preserve">ppose God and his servants, </w:t>
      </w:r>
      <w:r w:rsidR="00301660" w:rsidRPr="00B740B4">
        <w:t xml:space="preserve">they </w:t>
      </w:r>
      <w:r w:rsidR="0020169E">
        <w:t xml:space="preserve">do </w:t>
      </w:r>
      <w:r w:rsidR="00301660" w:rsidRPr="00B740B4">
        <w:t xml:space="preserve">have the opportunity to find </w:t>
      </w:r>
      <w:r w:rsidR="0020169E">
        <w:t>God through his servants</w:t>
      </w:r>
      <w:r w:rsidR="002F2055">
        <w:t xml:space="preserve"> and themselves to serve God</w:t>
      </w:r>
      <w:r w:rsidR="00301660" w:rsidRPr="00B740B4">
        <w:t>. Nations were created by God (cf. Gen 10, at the end of the creation story), they rebelled against him as the individual men and women did (Gen 11), but they are destined to wor</w:t>
      </w:r>
      <w:r>
        <w:t>ship (Rev 15:4; 21:26; 22:26). T</w:t>
      </w:r>
      <w:r w:rsidR="00301660" w:rsidRPr="00B740B4">
        <w:t>he worship called for here is an anti</w:t>
      </w:r>
      <w:r w:rsidR="00F10566">
        <w:t>cipation of that which they will give</w:t>
      </w:r>
      <w:r w:rsidR="00301660" w:rsidRPr="00B740B4">
        <w:t xml:space="preserve"> at the End</w:t>
      </w:r>
      <w:r>
        <w:t>—even though in the meantime</w:t>
      </w:r>
      <w:r w:rsidR="00301660" w:rsidRPr="00B740B4">
        <w:t>, rebellion will</w:t>
      </w:r>
      <w:r>
        <w:t xml:space="preserve"> more often characterize them.</w:t>
      </w:r>
      <w:r>
        <w:rPr>
          <w:rStyle w:val="FootnoteReference"/>
        </w:rPr>
        <w:footnoteReference w:id="1024"/>
      </w:r>
      <w:r w:rsidR="00F10566">
        <w:t xml:space="preserve"> </w:t>
      </w:r>
      <w:r w:rsidR="002F2055">
        <w:t xml:space="preserve">The pagan king </w:t>
      </w:r>
      <w:r w:rsidR="00301660" w:rsidRPr="00B740B4">
        <w:t>brings the story to its climax as he expr</w:t>
      </w:r>
      <w:r>
        <w:t>esses the wonder to which the hearer</w:t>
      </w:r>
      <w:r w:rsidR="00301660" w:rsidRPr="00B740B4">
        <w:t xml:space="preserve">s </w:t>
      </w:r>
      <w:r>
        <w:t>are invited as they enter</w:t>
      </w:r>
      <w:r w:rsidR="00301660" w:rsidRPr="00B740B4">
        <w:t xml:space="preserve"> into Daniel’s story. </w:t>
      </w:r>
      <w:r w:rsidR="002F2055" w:rsidRPr="002F2055">
        <w:t>The chapter is the story of two decrees:</w:t>
      </w:r>
      <w:r w:rsidR="002F2055" w:rsidRPr="002F2055">
        <w:rPr>
          <w:vertAlign w:val="superscript"/>
        </w:rPr>
        <w:footnoteReference w:id="1025"/>
      </w:r>
      <w:r w:rsidR="002F2055" w:rsidRPr="002F2055">
        <w:t xml:space="preserve"> Darius revokes his irrevocable decree and replaces it by another.</w:t>
      </w:r>
    </w:p>
    <w:p w:rsidR="002F2055" w:rsidRPr="002F2055" w:rsidRDefault="00B45CB2" w:rsidP="002F2055">
      <w:r>
        <w:t>Perhaps his second</w:t>
      </w:r>
      <w:r w:rsidR="00301660" w:rsidRPr="00B740B4">
        <w:t xml:space="preserve"> decree is as foolish as his earlier injunction and his order</w:t>
      </w:r>
      <w:r w:rsidR="008B79A9">
        <w:t xml:space="preserve"> to kill Daniel’s adversaries. C</w:t>
      </w:r>
      <w:r w:rsidR="00301660" w:rsidRPr="00B740B4">
        <w:t xml:space="preserve">ompulsion or violence cannot be effective on God’s behalf any </w:t>
      </w:r>
      <w:r w:rsidR="00F10566">
        <w:t xml:space="preserve">more than in opposition to </w:t>
      </w:r>
      <w:r w:rsidR="008B79A9">
        <w:t>him</w:t>
      </w:r>
      <w:r w:rsidR="00301660" w:rsidRPr="00B740B4">
        <w:t>.</w:t>
      </w:r>
      <w:r w:rsidR="008B79A9">
        <w:rPr>
          <w:rStyle w:val="FootnoteReference"/>
        </w:rPr>
        <w:footnoteReference w:id="1026"/>
      </w:r>
      <w:r w:rsidR="00301660" w:rsidRPr="00B740B4">
        <w:t xml:space="preserve"> </w:t>
      </w:r>
      <w:r w:rsidR="00DE33BF" w:rsidRPr="00DE33BF">
        <w:rPr>
          <w:rFonts w:eastAsiaTheme="minorHAnsi" w:cs="Times New Roman"/>
        </w:rPr>
        <w:t>Daniel has “an explicit yet sophisticated ideology of emp</w:t>
      </w:r>
      <w:r w:rsidR="00DE33BF">
        <w:rPr>
          <w:rFonts w:eastAsiaTheme="minorHAnsi" w:cs="Times New Roman"/>
        </w:rPr>
        <w:t>ire and a philosophy of history,</w:t>
      </w:r>
      <w:r w:rsidR="00DE33BF" w:rsidRPr="00DE33BF">
        <w:rPr>
          <w:rFonts w:eastAsiaTheme="minorHAnsi" w:cs="Times New Roman"/>
        </w:rPr>
        <w:t>”</w:t>
      </w:r>
      <w:r w:rsidR="00F10566">
        <w:rPr>
          <w:rFonts w:eastAsiaTheme="minorHAnsi" w:cs="Times New Roman"/>
        </w:rPr>
        <w:t xml:space="preserve"> but</w:t>
      </w:r>
      <w:r w:rsidR="00DE33BF">
        <w:rPr>
          <w:rFonts w:eastAsiaTheme="minorHAnsi" w:cs="Times New Roman"/>
        </w:rPr>
        <w:t xml:space="preserve"> an</w:t>
      </w:r>
      <w:r w:rsidR="00DE33BF" w:rsidRPr="00DE33BF">
        <w:rPr>
          <w:rFonts w:eastAsiaTheme="minorHAnsi" w:cs="Times New Roman"/>
        </w:rPr>
        <w:t xml:space="preserve"> ideology </w:t>
      </w:r>
      <w:r w:rsidR="00DE33BF">
        <w:rPr>
          <w:rFonts w:eastAsiaTheme="minorHAnsi" w:cs="Times New Roman"/>
        </w:rPr>
        <w:t xml:space="preserve">that </w:t>
      </w:r>
      <w:r w:rsidR="00DE33BF" w:rsidRPr="00DE33BF">
        <w:rPr>
          <w:rFonts w:eastAsiaTheme="minorHAnsi" w:cs="Times New Roman"/>
        </w:rPr>
        <w:t xml:space="preserve">is </w:t>
      </w:r>
      <w:r w:rsidR="00DE33BF">
        <w:rPr>
          <w:rFonts w:eastAsiaTheme="minorHAnsi" w:cs="Times New Roman"/>
        </w:rPr>
        <w:t>“</w:t>
      </w:r>
      <w:r w:rsidR="00DE33BF" w:rsidRPr="00DE33BF">
        <w:rPr>
          <w:rFonts w:eastAsiaTheme="minorHAnsi" w:cs="Times New Roman"/>
        </w:rPr>
        <w:t>characterized by ambivalence.”</w:t>
      </w:r>
      <w:r w:rsidR="00DE33BF" w:rsidRPr="00DE33BF">
        <w:rPr>
          <w:rFonts w:eastAsiaTheme="minorHAnsi" w:cs="Times New Roman"/>
          <w:vertAlign w:val="superscript"/>
        </w:rPr>
        <w:footnoteReference w:id="1027"/>
      </w:r>
      <w:r w:rsidR="00DE33BF">
        <w:rPr>
          <w:rFonts w:eastAsiaTheme="minorHAnsi" w:cs="Times New Roman"/>
        </w:rPr>
        <w:t xml:space="preserve"> This ambivalence is illustrated by the </w:t>
      </w:r>
      <w:r>
        <w:rPr>
          <w:rFonts w:eastAsiaTheme="minorHAnsi" w:cs="Times New Roman"/>
        </w:rPr>
        <w:t>s</w:t>
      </w:r>
      <w:r w:rsidR="00DE33BF">
        <w:rPr>
          <w:rFonts w:eastAsiaTheme="minorHAnsi" w:cs="Times New Roman"/>
        </w:rPr>
        <w:t xml:space="preserve">ubtle two-way implications of </w:t>
      </w:r>
      <w:r>
        <w:rPr>
          <w:rFonts w:eastAsiaTheme="minorHAnsi" w:cs="Times New Roman"/>
        </w:rPr>
        <w:t xml:space="preserve">Darius’s encyclical. On one hand, </w:t>
      </w:r>
      <w:r>
        <w:t>like</w:t>
      </w:r>
      <w:r w:rsidR="00301660" w:rsidRPr="00B740B4">
        <w:t xml:space="preserve"> Nebuchadnezzar’s</w:t>
      </w:r>
      <w:r>
        <w:t xml:space="preserve"> encyclical, Darius’s</w:t>
      </w:r>
      <w:r w:rsidR="00301660" w:rsidRPr="00B740B4">
        <w:t xml:space="preserve"> encyclical presupposes and expresses Darius’s own authority</w:t>
      </w:r>
      <w:r>
        <w:t xml:space="preserve">. </w:t>
      </w:r>
      <w:r w:rsidRPr="00B45CB2">
        <w:t>“Subversion of imperial power in the name of divine power, far from demonstrating their incompatibility, in fact helps secure the continued vitality of imperial power. Darius may be made to give voice to the subversive notion that his power is evanescent, but he does so only in the context of a robust exercise of his own power.”</w:t>
      </w:r>
      <w:r w:rsidRPr="00B45CB2">
        <w:rPr>
          <w:vertAlign w:val="superscript"/>
        </w:rPr>
        <w:footnoteReference w:id="1028"/>
      </w:r>
      <w:r w:rsidRPr="00B45CB2">
        <w:t xml:space="preserve"> “God is reduced to an ordinance.”</w:t>
      </w:r>
      <w:r w:rsidRPr="00B45CB2">
        <w:rPr>
          <w:vertAlign w:val="superscript"/>
        </w:rPr>
        <w:footnoteReference w:id="1029"/>
      </w:r>
      <w:r w:rsidR="002F2055">
        <w:t xml:space="preserve"> Daniel 6</w:t>
      </w:r>
      <w:r w:rsidR="002F2055" w:rsidRPr="002F2055">
        <w:t xml:space="preserve"> descr</w:t>
      </w:r>
      <w:r w:rsidR="002F2055">
        <w:t xml:space="preserve">ibes the conflict of </w:t>
      </w:r>
      <w:r w:rsidR="002F2055" w:rsidRPr="002F2055">
        <w:t xml:space="preserve">two systems of worship. </w:t>
      </w:r>
      <w:r w:rsidR="002F2055">
        <w:t>The false worship</w:t>
      </w:r>
      <w:r w:rsidR="002F2055" w:rsidRPr="002F2055">
        <w:t xml:space="preserve"> of t</w:t>
      </w:r>
      <w:r w:rsidR="002F2055">
        <w:t>he state abolishes the true worship</w:t>
      </w:r>
      <w:r w:rsidR="002F2055" w:rsidRPr="002F2055">
        <w:t xml:space="preserve"> of God by enforcing exclusive worship of the state as embodied in the emperor. Daniel maintains fidelity to the </w:t>
      </w:r>
      <w:r w:rsidR="002F2055">
        <w:t>true worship</w:t>
      </w:r>
      <w:r w:rsidR="002F2055" w:rsidRPr="002F2055">
        <w:t xml:space="preserve">, </w:t>
      </w:r>
      <w:r w:rsidR="002F2055">
        <w:t>with its ties to the Jerusalem t</w:t>
      </w:r>
      <w:r w:rsidR="002F2055" w:rsidRPr="002F2055">
        <w:t xml:space="preserve">emple and its liturgy, and so is forced to recapitulate in himself the experience of the psalmist. </w:t>
      </w:r>
      <w:r w:rsidR="002F2055" w:rsidRPr="002F2055">
        <w:lastRenderedPageBreak/>
        <w:t xml:space="preserve">However, the result is </w:t>
      </w:r>
      <w:r w:rsidR="002F2055">
        <w:t>that the true worship</w:t>
      </w:r>
      <w:r w:rsidR="002F2055" w:rsidRPr="002F2055">
        <w:t xml:space="preserve"> is endorsed and promoted by</w:t>
      </w:r>
      <w:r w:rsidR="002F2055">
        <w:t xml:space="preserve"> the very head of the false worship</w:t>
      </w:r>
      <w:r w:rsidR="002F2055" w:rsidRPr="002F2055">
        <w:t>, the emperor himself.</w:t>
      </w:r>
      <w:r w:rsidR="002F2055" w:rsidRPr="002F2055">
        <w:rPr>
          <w:vertAlign w:val="superscript"/>
        </w:rPr>
        <w:footnoteReference w:id="1030"/>
      </w:r>
      <w:r w:rsidR="002F2055" w:rsidRPr="002F2055">
        <w:t xml:space="preserve"> </w:t>
      </w:r>
    </w:p>
    <w:p w:rsidR="00E93C68" w:rsidRDefault="002F2055" w:rsidP="00E93C68">
      <w:r>
        <w:t>S</w:t>
      </w:r>
      <w:r w:rsidR="00F10566">
        <w:t>uch</w:t>
      </w:r>
      <w:r w:rsidR="00F10566" w:rsidRPr="00B740B4">
        <w:t xml:space="preserve"> </w:t>
      </w:r>
      <w:r w:rsidR="00F10566">
        <w:t>considerations highlight</w:t>
      </w:r>
      <w:r w:rsidR="00F10566" w:rsidRPr="00B740B4">
        <w:t xml:space="preserve"> the symbolic significance of each of these elements in the story. They witness to the fact that pagan powers do put believers under pressure, but that these powers are destined to be defeated, and ultimately to bow before the name that is above every name (Isa 45:23; Phil 2:10–11). </w:t>
      </w:r>
      <w:r w:rsidR="00F10566">
        <w:t>Dan 6</w:t>
      </w:r>
      <w:r w:rsidR="00F10566" w:rsidRPr="00B740B4">
        <w:t xml:space="preserve"> </w:t>
      </w:r>
      <w:r w:rsidR="00F10566">
        <w:t xml:space="preserve">is </w:t>
      </w:r>
      <w:r w:rsidR="00F10566" w:rsidRPr="00B740B4">
        <w:t>not merely a story about a miraculous escape from martyrdom, but about all human claims to immutability yielding to God’s abiding law and will (there is simply no contest between the two) and about the miracle of the k</w:t>
      </w:r>
      <w:r w:rsidR="00F10566">
        <w:t>ing himself acknowledging the fact</w:t>
      </w:r>
      <w:r w:rsidR="00F10566" w:rsidRPr="00B740B4">
        <w:t>.</w:t>
      </w:r>
      <w:r w:rsidR="00F10566">
        <w:rPr>
          <w:rStyle w:val="FootnoteReference"/>
        </w:rPr>
        <w:footnoteReference w:id="1031"/>
      </w:r>
      <w:r w:rsidR="00F10566" w:rsidRPr="00B740B4">
        <w:t xml:space="preserve"> </w:t>
      </w:r>
      <w:r>
        <w:t>T</w:t>
      </w:r>
      <w:r w:rsidR="00DE33BF">
        <w:t xml:space="preserve">he encyclical </w:t>
      </w:r>
      <w:r>
        <w:t>does underline</w:t>
      </w:r>
      <w:r w:rsidR="00301660" w:rsidRPr="00B740B4">
        <w:t xml:space="preserve"> the higher authority of the one to whom it bears witness. The world powers testify to the sovereign authority o</w:t>
      </w:r>
      <w:r w:rsidR="001568F1">
        <w:t>f God, which they have seen</w:t>
      </w:r>
      <w:r w:rsidR="00301660" w:rsidRPr="00B740B4">
        <w:t xml:space="preserve"> at work. Once more the familiar affirmations of Israel’s hymns issue from unexpected lips and express a </w:t>
      </w:r>
      <w:r>
        <w:t xml:space="preserve">new message. The </w:t>
      </w:r>
      <w:r w:rsidR="00301660" w:rsidRPr="00B740B4">
        <w:t>imposs</w:t>
      </w:r>
      <w:r>
        <w:t>ible</w:t>
      </w:r>
      <w:r w:rsidR="00301660" w:rsidRPr="00B740B4">
        <w:t xml:space="preserve"> legal requirement that people tremble with fear before Daniel’s God gains part of its significance from the fact that its author is the person before whom people have earlier trembled with fear (5:19). Something similar happens when Darius </w:t>
      </w:r>
      <w:r w:rsidR="00B45CB2">
        <w:t xml:space="preserve">once again describes </w:t>
      </w:r>
      <w:r w:rsidR="00301660" w:rsidRPr="00B740B4">
        <w:t xml:space="preserve">God as the living God </w:t>
      </w:r>
      <w:r w:rsidR="00B45CB2">
        <w:t xml:space="preserve">and testifies to his being the one </w:t>
      </w:r>
      <w:r w:rsidR="00301660" w:rsidRPr="00B740B4">
        <w:t>who endures for ever. Daniel has just greeted him with that standard wish “Long live the king” (literally, “May the king live forever”): the courtly homage is relativize</w:t>
      </w:r>
      <w:r w:rsidR="001568F1">
        <w:t>d by the royal confession</w:t>
      </w:r>
      <w:r w:rsidR="00301660" w:rsidRPr="00B740B4">
        <w:t>. To be living is to be active and powerful: the living God is enthroned as King forever (Ps 10:16; 29:10), and he can therefore also be his people’s savior.</w:t>
      </w:r>
      <w:r w:rsidR="001568F1">
        <w:t xml:space="preserve"> </w:t>
      </w:r>
      <w:r w:rsidR="00301660" w:rsidRPr="00B740B4">
        <w:t xml:space="preserve">Even if the divine victory that the chapter portrays will be consistently demonstrated </w:t>
      </w:r>
      <w:r w:rsidR="001568F1">
        <w:t xml:space="preserve">only </w:t>
      </w:r>
      <w:r w:rsidR="00301660" w:rsidRPr="00B740B4">
        <w:t xml:space="preserve">in the </w:t>
      </w:r>
      <w:r w:rsidR="001568F1">
        <w:t xml:space="preserve">age to come, the story </w:t>
      </w:r>
      <w:r w:rsidR="00301660" w:rsidRPr="00B740B4">
        <w:t>portrays God demonstrating his power in this age, and on this basis Darius acknowledges a power that persists through the ages.</w:t>
      </w:r>
    </w:p>
    <w:p w:rsidR="00301660" w:rsidRPr="00B740B4" w:rsidRDefault="00CF6520" w:rsidP="00301660">
      <w:r>
        <w:t xml:space="preserve">And </w:t>
      </w:r>
      <w:r w:rsidR="00301660" w:rsidRPr="00B740B4">
        <w:t>Daniel, far from being put out of the way, is established in a position that he retains through Darius’s reign and into the next. As dynasties pass (Babyloni</w:t>
      </w:r>
      <w:r w:rsidR="001568F1">
        <w:t>an, Median, Persian), the Judahite</w:t>
      </w:r>
      <w:r w:rsidR="00301660" w:rsidRPr="00B740B4">
        <w:t xml:space="preserve"> presence persists and grows in importance. Darius’s earlier plan to give Daniel a special position is more than fulfilled. It </w:t>
      </w:r>
      <w:r w:rsidR="001568F1">
        <w:t>is possible for the faithful Judahite</w:t>
      </w:r>
      <w:r w:rsidR="00301660" w:rsidRPr="00B740B4">
        <w:t xml:space="preserve"> not only to survive but to triumph.</w:t>
      </w:r>
    </w:p>
    <w:p w:rsidR="005C7DDE" w:rsidRDefault="00301660" w:rsidP="005C7DDE">
      <w:r w:rsidRPr="00B740B4">
        <w:t xml:space="preserve">The story as a whole has a series of motifs parallel to Ps 2. Heathen rulers have mustered and devised their plot, but God has acted on behalf of his servant, giving him the power to have them torn to pieces, to rule over their realm, and to compel them to serve God with trembling fear. They are to heed the decree of which his servant speaks, to learn a wisdom they do not yet possess, and to put their trust where he puts his. The first Christians saw this psalm recapitulated in the story of Jesus (Acts 4:26–28), and they might also have seen Daniel’s </w:t>
      </w:r>
      <w:r w:rsidR="001568F1">
        <w:t>experience recapitulated there</w:t>
      </w:r>
      <w:r w:rsidRPr="00B740B4">
        <w:t>.</w:t>
      </w:r>
      <w:r w:rsidR="001568F1">
        <w:rPr>
          <w:rStyle w:val="FootnoteReference"/>
        </w:rPr>
        <w:footnoteReference w:id="1032"/>
      </w:r>
      <w:r w:rsidR="001568F1">
        <w:t xml:space="preserve"> Jesus</w:t>
      </w:r>
      <w:r w:rsidRPr="00B740B4">
        <w:t>, too, is the victim</w:t>
      </w:r>
      <w:r w:rsidR="001568F1">
        <w:t xml:space="preserve"> of conspiracy and betrayal by</w:t>
      </w:r>
      <w:r w:rsidRPr="00B740B4">
        <w:t xml:space="preserve"> people whose position is threatened by him and who seek occasion to manipulate higher authorities into executing him, professing that they have no king but Caesar. They, too, will eventually pay for their hostility, along with their children. He, too, is arrested at his customary place of prayer. These higher authorities, too, find no fault in him and labor to free him, but are reminded that the law forbids it. He, too, has to rely on God to deliver him as his tomb is sealed. Indeed, he actually dies, and injury can be found on him after he comes back from the dead: more extraordinary is it, then, that v</w:t>
      </w:r>
      <w:r w:rsidR="00DE33BF">
        <w:t xml:space="preserve">ery early, at sunrise, he </w:t>
      </w:r>
      <w:r w:rsidRPr="00B740B4">
        <w:t>is di</w:t>
      </w:r>
      <w:r w:rsidR="001568F1">
        <w:t>scovered to be alive after all</w:t>
      </w:r>
      <w:r w:rsidR="00DE33BF">
        <w:t>, too</w:t>
      </w:r>
      <w:r w:rsidR="001568F1">
        <w:t>.</w:t>
      </w:r>
    </w:p>
    <w:p w:rsidR="00CF6520" w:rsidRDefault="005C7DDE" w:rsidP="00CE7694">
      <w:r>
        <w:rPr>
          <w:rFonts w:eastAsiaTheme="minorHAnsi" w:cs="MinionPro-Regular"/>
        </w:rPr>
        <w:t>Daniel is a new kind of Jewish hero.</w:t>
      </w:r>
      <w:r>
        <w:rPr>
          <w:rStyle w:val="FootnoteReference"/>
          <w:rFonts w:eastAsiaTheme="minorHAnsi" w:cs="MinionPro-Regular"/>
        </w:rPr>
        <w:footnoteReference w:id="1033"/>
      </w:r>
      <w:r>
        <w:t xml:space="preserve"> At the conclusion of the stories,</w:t>
      </w:r>
      <w:r w:rsidR="00911D55">
        <w:t xml:space="preserve"> we might look back and sum up the picture of their hero that we have been given. He is one who</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acts with conviction (1:8-14)</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xml:space="preserve">• </w:t>
      </w:r>
      <w:r w:rsidR="00C92C9D" w:rsidRPr="00C92C9D">
        <w:rPr>
          <w:rFonts w:eastAsiaTheme="minorHAnsi" w:cs="MinionPro-Regular"/>
        </w:rPr>
        <w:t xml:space="preserve">is given “knowledge and skill” </w:t>
      </w:r>
      <w:r>
        <w:rPr>
          <w:rFonts w:eastAsiaTheme="minorHAnsi" w:cs="MinionPro-Regular"/>
        </w:rPr>
        <w:t xml:space="preserve">from Gd, </w:t>
      </w:r>
      <w:r w:rsidR="00C92C9D" w:rsidRPr="00C92C9D">
        <w:rPr>
          <w:rFonts w:eastAsiaTheme="minorHAnsi" w:cs="MinionPro-Regular"/>
        </w:rPr>
        <w:t xml:space="preserve">in </w:t>
      </w:r>
      <w:r>
        <w:rPr>
          <w:rFonts w:eastAsiaTheme="minorHAnsi" w:cs="MinionPro-Regular"/>
        </w:rPr>
        <w:t xml:space="preserve">literature and insight </w:t>
      </w:r>
      <w:r w:rsidR="00C92C9D" w:rsidRPr="00C92C9D">
        <w:rPr>
          <w:rFonts w:eastAsiaTheme="minorHAnsi" w:cs="MinionPro-Regular"/>
        </w:rPr>
        <w:t>(1:17)</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lastRenderedPageBreak/>
        <w:t xml:space="preserve">• is </w:t>
      </w:r>
      <w:r w:rsidR="00C92C9D" w:rsidRPr="00C92C9D">
        <w:rPr>
          <w:rFonts w:eastAsiaTheme="minorHAnsi" w:cs="MinionPro-Regular"/>
        </w:rPr>
        <w:t>exceptionally wise and understanding (1:20)</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can speak</w:t>
      </w:r>
      <w:r w:rsidR="00C92C9D" w:rsidRPr="00C92C9D">
        <w:rPr>
          <w:rFonts w:eastAsiaTheme="minorHAnsi" w:cs="MinionPro-Regular"/>
        </w:rPr>
        <w:t xml:space="preserve"> with “prudence and discretion” (2:14)</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xml:space="preserve">• </w:t>
      </w:r>
      <w:r w:rsidR="00C92C9D" w:rsidRPr="00C92C9D">
        <w:rPr>
          <w:rFonts w:eastAsiaTheme="minorHAnsi" w:cs="MinionPro-Regular"/>
        </w:rPr>
        <w:t>turns to God when confronted with difficulty (2:18)</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xml:space="preserve">• </w:t>
      </w:r>
      <w:r w:rsidR="00C92C9D" w:rsidRPr="00C92C9D">
        <w:rPr>
          <w:rFonts w:eastAsiaTheme="minorHAnsi" w:cs="MinionPro-Regular"/>
        </w:rPr>
        <w:t xml:space="preserve">attribute to </w:t>
      </w:r>
      <w:r>
        <w:rPr>
          <w:rFonts w:eastAsiaTheme="minorHAnsi" w:cs="MinionPro-Regular"/>
        </w:rPr>
        <w:t>God not to his own insight wisdom his</w:t>
      </w:r>
      <w:r w:rsidR="00C92C9D" w:rsidRPr="00C92C9D">
        <w:rPr>
          <w:rFonts w:eastAsiaTheme="minorHAnsi" w:cs="MinionPro-Regular"/>
        </w:rPr>
        <w:t xml:space="preserve"> receipt of revelation</w:t>
      </w:r>
      <w:r>
        <w:rPr>
          <w:rFonts w:eastAsiaTheme="minorHAnsi" w:cs="MinionPro-Regular"/>
        </w:rPr>
        <w:t xml:space="preserve"> (2:30)</w:t>
      </w:r>
    </w:p>
    <w:p w:rsidR="00911D55" w:rsidRDefault="00911D55" w:rsidP="00C92C9D">
      <w:pPr>
        <w:autoSpaceDE w:val="0"/>
        <w:autoSpaceDN w:val="0"/>
        <w:adjustRightInd w:val="0"/>
        <w:ind w:firstLine="0"/>
        <w:rPr>
          <w:rFonts w:eastAsiaTheme="minorHAnsi" w:cs="MinionPro-Regular"/>
        </w:rPr>
      </w:pPr>
      <w:r>
        <w:rPr>
          <w:rFonts w:eastAsiaTheme="minorHAnsi" w:cs="MinionPro-Regular"/>
        </w:rPr>
        <w:t xml:space="preserve">• is recognized by Nebuchadnezzar’s </w:t>
      </w:r>
      <w:r w:rsidR="00C92C9D" w:rsidRPr="00C92C9D">
        <w:rPr>
          <w:rFonts w:eastAsiaTheme="minorHAnsi" w:cs="MinionPro-Regular"/>
        </w:rPr>
        <w:t>as “endowed with a spiri</w:t>
      </w:r>
      <w:r>
        <w:rPr>
          <w:rFonts w:eastAsiaTheme="minorHAnsi" w:cs="MinionPro-Regular"/>
        </w:rPr>
        <w:t xml:space="preserve">t of </w:t>
      </w:r>
      <w:r w:rsidR="00C92C9D" w:rsidRPr="00C92C9D">
        <w:rPr>
          <w:rFonts w:eastAsiaTheme="minorHAnsi" w:cs="MinionPro-Regular"/>
        </w:rPr>
        <w:t>th</w:t>
      </w:r>
      <w:r>
        <w:rPr>
          <w:rFonts w:eastAsiaTheme="minorHAnsi" w:cs="MinionPro-Regular"/>
        </w:rPr>
        <w:t>e holy, divine gods” (4:8, 18)</w:t>
      </w:r>
    </w:p>
    <w:p w:rsidR="00C92C9D" w:rsidRPr="00C92C9D" w:rsidRDefault="00911D55" w:rsidP="00C92C9D">
      <w:pPr>
        <w:autoSpaceDE w:val="0"/>
        <w:autoSpaceDN w:val="0"/>
        <w:adjustRightInd w:val="0"/>
        <w:ind w:firstLine="0"/>
        <w:rPr>
          <w:rFonts w:eastAsiaTheme="minorHAnsi" w:cs="MinionPro-Regular"/>
        </w:rPr>
      </w:pPr>
      <w:r w:rsidRPr="00911D55">
        <w:rPr>
          <w:rFonts w:eastAsiaTheme="minorHAnsi" w:cs="MinionPro-Regular"/>
        </w:rPr>
        <w:t xml:space="preserve">• </w:t>
      </w:r>
      <w:r w:rsidR="00C92C9D" w:rsidRPr="00C92C9D">
        <w:rPr>
          <w:rFonts w:eastAsiaTheme="minorHAnsi" w:cs="MinionPro-Regular"/>
        </w:rPr>
        <w:t>is willing to speak tru</w:t>
      </w:r>
      <w:r>
        <w:rPr>
          <w:rFonts w:eastAsiaTheme="minorHAnsi" w:cs="MinionPro-Regular"/>
        </w:rPr>
        <w:t>th to power</w:t>
      </w:r>
      <w:r w:rsidR="00C92C9D" w:rsidRPr="00C92C9D">
        <w:rPr>
          <w:rFonts w:eastAsiaTheme="minorHAnsi" w:cs="MinionPro-Regular"/>
        </w:rPr>
        <w:t xml:space="preserve"> even when the</w:t>
      </w:r>
      <w:r>
        <w:rPr>
          <w:rFonts w:eastAsiaTheme="minorHAnsi" w:cs="MinionPro-Regular"/>
        </w:rPr>
        <w:t xml:space="preserve"> </w:t>
      </w:r>
      <w:r w:rsidR="00C92C9D" w:rsidRPr="00C92C9D">
        <w:rPr>
          <w:rFonts w:eastAsiaTheme="minorHAnsi" w:cs="MinionPro-Regular"/>
        </w:rPr>
        <w:t>prospect distresses and terrifie</w:t>
      </w:r>
      <w:r>
        <w:rPr>
          <w:rFonts w:eastAsiaTheme="minorHAnsi" w:cs="MinionPro-Regular"/>
        </w:rPr>
        <w:t>s him (4:19-26)</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xml:space="preserve">• </w:t>
      </w:r>
      <w:r w:rsidR="00C92C9D" w:rsidRPr="00C92C9D">
        <w:rPr>
          <w:rFonts w:eastAsiaTheme="minorHAnsi" w:cs="MinionPro-Regular"/>
        </w:rPr>
        <w:t xml:space="preserve">counsels Nebuchadnezzar to </w:t>
      </w:r>
      <w:r>
        <w:rPr>
          <w:rFonts w:eastAsiaTheme="minorHAnsi" w:cs="MinionPro-Regular"/>
        </w:rPr>
        <w:t>break off his wrongdoing by doing right (4:27)</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xml:space="preserve">• </w:t>
      </w:r>
      <w:r w:rsidR="00C92C9D" w:rsidRPr="00C92C9D">
        <w:rPr>
          <w:rFonts w:eastAsiaTheme="minorHAnsi" w:cs="MinionPro-Regular"/>
        </w:rPr>
        <w:t xml:space="preserve">is possessed </w:t>
      </w:r>
      <w:r>
        <w:rPr>
          <w:rFonts w:eastAsiaTheme="minorHAnsi" w:cs="MinionPro-Regular"/>
        </w:rPr>
        <w:t xml:space="preserve">of “an excellent spirit” according to thequeen </w:t>
      </w:r>
      <w:r w:rsidR="00C92C9D" w:rsidRPr="00C92C9D">
        <w:rPr>
          <w:rFonts w:eastAsiaTheme="minorHAnsi" w:cs="MinionPro-Regular"/>
        </w:rPr>
        <w:t>mother</w:t>
      </w:r>
      <w:r>
        <w:rPr>
          <w:rFonts w:eastAsiaTheme="minorHAnsi" w:cs="MinionPro-Regular"/>
        </w:rPr>
        <w:t xml:space="preserve"> (5:12</w:t>
      </w:r>
      <w:r w:rsidR="00C92C9D" w:rsidRPr="00C92C9D">
        <w:rPr>
          <w:rFonts w:eastAsiaTheme="minorHAnsi" w:cs="MinionPro-Regular"/>
        </w:rPr>
        <w:t>)</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has a reputation for enlightenment, understanding, and insight</w:t>
      </w:r>
      <w:r w:rsidR="00C92C9D" w:rsidRPr="00C92C9D">
        <w:rPr>
          <w:rFonts w:eastAsiaTheme="minorHAnsi" w:cs="MinionPro-Regular"/>
        </w:rPr>
        <w:t xml:space="preserve"> (5:14)</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xml:space="preserve">• </w:t>
      </w:r>
      <w:r w:rsidR="00C92C9D" w:rsidRPr="00C92C9D">
        <w:rPr>
          <w:rFonts w:eastAsiaTheme="minorHAnsi" w:cs="MinionPro-Regular"/>
        </w:rPr>
        <w:t>refuses</w:t>
      </w:r>
      <w:r>
        <w:rPr>
          <w:rFonts w:eastAsiaTheme="minorHAnsi" w:cs="MinionPro-Regular"/>
        </w:rPr>
        <w:t xml:space="preserve"> to accept rewards </w:t>
      </w:r>
      <w:r w:rsidR="00C92C9D" w:rsidRPr="00C92C9D">
        <w:rPr>
          <w:rFonts w:eastAsiaTheme="minorHAnsi" w:cs="MinionPro-Regular"/>
        </w:rPr>
        <w:t>for his interpretive work (5:17)</w:t>
      </w:r>
    </w:p>
    <w:p w:rsidR="00C92C9D" w:rsidRPr="00C92C9D" w:rsidRDefault="00911D55" w:rsidP="00C92C9D">
      <w:pPr>
        <w:autoSpaceDE w:val="0"/>
        <w:autoSpaceDN w:val="0"/>
        <w:adjustRightInd w:val="0"/>
        <w:ind w:firstLine="0"/>
        <w:rPr>
          <w:rFonts w:eastAsiaTheme="minorHAnsi" w:cs="MinionPro-Regular"/>
        </w:rPr>
      </w:pPr>
      <w:r>
        <w:rPr>
          <w:rFonts w:eastAsiaTheme="minorHAnsi" w:cs="MinionPro-Regular"/>
        </w:rPr>
        <w:t xml:space="preserve">• </w:t>
      </w:r>
      <w:r w:rsidR="00C92C9D" w:rsidRPr="00C92C9D">
        <w:rPr>
          <w:rFonts w:eastAsiaTheme="minorHAnsi" w:cs="MinionPro-Regular"/>
        </w:rPr>
        <w:t>is distinguished in his work in Darius’</w:t>
      </w:r>
      <w:r>
        <w:rPr>
          <w:rFonts w:eastAsiaTheme="minorHAnsi" w:cs="MinionPro-Regular"/>
        </w:rPr>
        <w:t>s</w:t>
      </w:r>
      <w:r w:rsidR="00C92C9D" w:rsidRPr="00C92C9D">
        <w:rPr>
          <w:rFonts w:eastAsiaTheme="minorHAnsi" w:cs="MinionPro-Regular"/>
        </w:rPr>
        <w:t xml:space="preserve"> government because </w:t>
      </w:r>
      <w:r>
        <w:rPr>
          <w:rFonts w:eastAsiaTheme="minorHAnsi" w:cs="MinionPro-Regular"/>
        </w:rPr>
        <w:t xml:space="preserve">he has </w:t>
      </w:r>
      <w:r w:rsidR="00C92C9D" w:rsidRPr="00C92C9D">
        <w:rPr>
          <w:rFonts w:eastAsiaTheme="minorHAnsi" w:cs="MinionPro-Regular"/>
        </w:rPr>
        <w:t>“an excell</w:t>
      </w:r>
      <w:r>
        <w:rPr>
          <w:rFonts w:eastAsiaTheme="minorHAnsi" w:cs="MinionPro-Regular"/>
        </w:rPr>
        <w:t xml:space="preserve">ent spirit” </w:t>
      </w:r>
      <w:r w:rsidR="00C92C9D" w:rsidRPr="00C92C9D">
        <w:rPr>
          <w:rFonts w:eastAsiaTheme="minorHAnsi" w:cs="MinionPro-Regular"/>
        </w:rPr>
        <w:t>(6:3)</w:t>
      </w:r>
    </w:p>
    <w:p w:rsidR="00C92C9D" w:rsidRPr="00C92C9D" w:rsidRDefault="005C7DDE" w:rsidP="00C92C9D">
      <w:pPr>
        <w:autoSpaceDE w:val="0"/>
        <w:autoSpaceDN w:val="0"/>
        <w:adjustRightInd w:val="0"/>
        <w:ind w:firstLine="0"/>
        <w:rPr>
          <w:rFonts w:eastAsiaTheme="minorHAnsi" w:cs="MinionPro-Regular"/>
        </w:rPr>
      </w:pPr>
      <w:r>
        <w:rPr>
          <w:rFonts w:eastAsiaTheme="minorHAnsi" w:cs="MinionPro-Regular"/>
        </w:rPr>
        <w:t>•</w:t>
      </w:r>
      <w:r w:rsidR="00C92C9D" w:rsidRPr="00C92C9D">
        <w:rPr>
          <w:rFonts w:eastAsiaTheme="minorHAnsi" w:cs="MinionPro-Regular"/>
        </w:rPr>
        <w:t xml:space="preserve"> is beyond reproach in terms of his work:</w:t>
      </w:r>
      <w:r>
        <w:rPr>
          <w:rFonts w:eastAsiaTheme="minorHAnsi" w:cs="MinionPro-Regular"/>
        </w:rPr>
        <w:t xml:space="preserve"> neither negligent nor corrupt (6:4</w:t>
      </w:r>
      <w:r w:rsidR="00C92C9D" w:rsidRPr="00C92C9D">
        <w:rPr>
          <w:rFonts w:eastAsiaTheme="minorHAnsi" w:cs="MinionPro-Regular"/>
        </w:rPr>
        <w:t>)</w:t>
      </w:r>
    </w:p>
    <w:p w:rsidR="00C92C9D" w:rsidRPr="00C92C9D" w:rsidRDefault="005C7DDE" w:rsidP="00C92C9D">
      <w:pPr>
        <w:autoSpaceDE w:val="0"/>
        <w:autoSpaceDN w:val="0"/>
        <w:adjustRightInd w:val="0"/>
        <w:ind w:firstLine="0"/>
        <w:rPr>
          <w:rFonts w:eastAsiaTheme="minorHAnsi" w:cs="MinionPro-Regular"/>
        </w:rPr>
      </w:pPr>
      <w:r>
        <w:rPr>
          <w:rFonts w:eastAsiaTheme="minorHAnsi" w:cs="MinionPro-Regular"/>
        </w:rPr>
        <w:t xml:space="preserve">• </w:t>
      </w:r>
      <w:r w:rsidR="00C92C9D" w:rsidRPr="00C92C9D">
        <w:rPr>
          <w:rFonts w:eastAsiaTheme="minorHAnsi" w:cs="MinionPro-Regular"/>
        </w:rPr>
        <w:t>values prayer more highly than obedience to the (civil) law (6:10)</w:t>
      </w:r>
    </w:p>
    <w:p w:rsidR="00ED2416" w:rsidRPr="005C7DDE" w:rsidRDefault="005C7DDE" w:rsidP="005C7DDE">
      <w:pPr>
        <w:autoSpaceDE w:val="0"/>
        <w:autoSpaceDN w:val="0"/>
        <w:adjustRightInd w:val="0"/>
        <w:ind w:firstLine="0"/>
        <w:rPr>
          <w:rFonts w:eastAsiaTheme="minorHAnsi" w:cs="MinionPro-Regular"/>
        </w:rPr>
      </w:pPr>
      <w:r>
        <w:rPr>
          <w:rFonts w:eastAsiaTheme="minorHAnsi" w:cs="MinionPro-Regular"/>
        </w:rPr>
        <w:t xml:space="preserve">• </w:t>
      </w:r>
      <w:r w:rsidR="00C92C9D" w:rsidRPr="00C92C9D">
        <w:rPr>
          <w:rFonts w:eastAsiaTheme="minorHAnsi" w:cs="MinionPro-Regular"/>
        </w:rPr>
        <w:t>trusts in God (6:23</w:t>
      </w:r>
      <w:r>
        <w:rPr>
          <w:rFonts w:eastAsiaTheme="minorHAnsi" w:cs="MinionPro-Regular"/>
        </w:rPr>
        <w:t>)</w:t>
      </w:r>
      <w:r w:rsidR="00C92C9D">
        <w:rPr>
          <w:rFonts w:eastAsiaTheme="minorHAnsi" w:cs="MinionPro-Regular"/>
        </w:rPr>
        <w:t>.</w:t>
      </w:r>
      <w:r w:rsidR="00C92C9D">
        <w:rPr>
          <w:rStyle w:val="FootnoteReference"/>
          <w:rFonts w:eastAsiaTheme="minorHAnsi" w:cs="MinionPro-Regular"/>
        </w:rPr>
        <w:footnoteReference w:id="1034"/>
      </w:r>
      <w:r w:rsidR="00E52D45">
        <w:rPr>
          <w:rFonts w:eastAsiaTheme="minorHAnsi" w:cs="MinionPro-Regular"/>
        </w:rPr>
        <w:t xml:space="preserve"> </w:t>
      </w:r>
    </w:p>
    <w:sectPr w:rsidR="00ED2416" w:rsidRPr="005C7DDE" w:rsidSect="00666D3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A4" w:rsidRDefault="00DD0CA4" w:rsidP="00622F9D">
      <w:r>
        <w:separator/>
      </w:r>
    </w:p>
  </w:endnote>
  <w:endnote w:type="continuationSeparator" w:id="0">
    <w:p w:rsidR="00DD0CA4" w:rsidRDefault="00DD0CA4" w:rsidP="0062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 w:name="PalatinoLTStd-Roman">
    <w:altName w:val="Book Antiqua"/>
    <w:panose1 w:val="00000000000000000000"/>
    <w:charset w:val="4D"/>
    <w:family w:val="auto"/>
    <w:notTrueType/>
    <w:pitch w:val="default"/>
    <w:sig w:usb0="00000003" w:usb1="00000000" w:usb2="00000000" w:usb3="00000000" w:csb0="00000001" w:csb1="00000000"/>
  </w:font>
  <w:font w:name="AmericanaStd-ExtraBold">
    <w:altName w:val="Book Antiqua"/>
    <w:panose1 w:val="00000000000000000000"/>
    <w:charset w:val="4D"/>
    <w:family w:val="auto"/>
    <w:notTrueType/>
    <w:pitch w:val="default"/>
    <w:sig w:usb0="00000003" w:usb1="00000000" w:usb2="00000000" w:usb3="00000000" w:csb0="00000001" w:csb1="00000000"/>
  </w:font>
  <w:font w:name="OptimaLTStd-Bold">
    <w:altName w:val="Book Antiqua"/>
    <w:panose1 w:val="00000000000000000000"/>
    <w:charset w:val="4D"/>
    <w:family w:val="auto"/>
    <w:notTrueType/>
    <w:pitch w:val="default"/>
    <w:sig w:usb0="00000003" w:usb1="00000000" w:usb2="00000000" w:usb3="00000000" w:csb0="00000001" w:csb1="00000000"/>
  </w:font>
  <w:font w:name="TrajanPro-Regular">
    <w:altName w:val="Trajan Pro"/>
    <w:panose1 w:val="00000000000000000000"/>
    <w:charset w:val="4D"/>
    <w:family w:val="auto"/>
    <w:notTrueType/>
    <w:pitch w:val="default"/>
    <w:sig w:usb0="00000003" w:usb1="00000000" w:usb2="00000000" w:usb3="00000000" w:csb0="00000001" w:csb1="00000000"/>
  </w:font>
  <w:font w:name="OptimaLTStd-Medium">
    <w:altName w:val="Palatino"/>
    <w:panose1 w:val="00000000000000000000"/>
    <w:charset w:val="4D"/>
    <w:family w:val="auto"/>
    <w:notTrueType/>
    <w:pitch w:val="default"/>
    <w:sig w:usb0="00000003" w:usb1="00000000" w:usb2="00000000" w:usb3="00000000" w:csb0="00000001" w:csb1="00000000"/>
  </w:font>
  <w:font w:name="PalatinoLTStd-MediumItalic">
    <w:altName w:val="Cambria"/>
    <w:panose1 w:val="00000000000000000000"/>
    <w:charset w:val="4D"/>
    <w:family w:val="auto"/>
    <w:notTrueType/>
    <w:pitch w:val="default"/>
    <w:sig w:usb0="00000003" w:usb1="00000000" w:usb2="00000000" w:usb3="00000000" w:csb0="00000001" w:csb1="00000000"/>
  </w:font>
  <w:font w:name="OptimaLTStd-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03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Semibold">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Italic">
    <w:altName w:val="Times New Roman"/>
    <w:panose1 w:val="02020703060505090304"/>
    <w:charset w:val="00"/>
    <w:family w:val="auto"/>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AppleGothic">
    <w:altName w:val="Malgun Gothic"/>
    <w:charset w:val="4F"/>
    <w:family w:val="auto"/>
    <w:pitch w:val="variable"/>
    <w:sig w:usb0="00000000" w:usb1="09060000" w:usb2="00000010" w:usb3="00000000" w:csb0="00080000" w:csb1="00000000"/>
  </w:font>
  <w:font w:name="Helvetica Light Oblique">
    <w:altName w:val="Malgun Gothic"/>
    <w:charset w:val="00"/>
    <w:family w:val="auto"/>
    <w:pitch w:val="variable"/>
    <w:sig w:usb0="00000003" w:usb1="4000204A" w:usb2="00000000" w:usb3="00000000" w:csb0="00000001" w:csb1="00000000"/>
  </w:font>
  <w:font w:name="MPNLIB+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2883" w:usb1="00000000" w:usb2="00000000" w:usb3="00000000" w:csb0="00000069" w:csb1="00000000"/>
  </w:font>
  <w:font w:name="TimesNewRomanPS-BoldItalicMT">
    <w:altName w:val="MS Mincho"/>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B2"/>
    <w:family w:val="auto"/>
    <w:notTrueType/>
    <w:pitch w:val="default"/>
    <w:sig w:usb0="00002003" w:usb1="00000000" w:usb2="00000000" w:usb3="00000000" w:csb0="00000041" w:csb1="00000000"/>
  </w:font>
  <w:font w:name="TimesNewRoman">
    <w:panose1 w:val="00000000000000000000"/>
    <w:charset w:val="00"/>
    <w:family w:val="roman"/>
    <w:notTrueType/>
    <w:pitch w:val="default"/>
    <w:sig w:usb0="00000003" w:usb1="00000000" w:usb2="00000000" w:usb3="00000000" w:csb0="00000001" w:csb1="00000000"/>
  </w:font>
  <w:font w:name="OJGFIJ+TimesNewRomanPSMT">
    <w:altName w:val="Times New Roman PSMT"/>
    <w:panose1 w:val="00000000000000000000"/>
    <w:charset w:val="00"/>
    <w:family w:val="roman"/>
    <w:notTrueType/>
    <w:pitch w:val="default"/>
    <w:sig w:usb0="00000003" w:usb1="00000000" w:usb2="00000000" w:usb3="00000000" w:csb0="00000001" w:csb1="00000000"/>
  </w:font>
  <w:font w:name="StempelGaramond-Bold">
    <w:panose1 w:val="00000000000000000000"/>
    <w:charset w:val="00"/>
    <w:family w:val="roman"/>
    <w:notTrueType/>
    <w:pitch w:val="default"/>
    <w:sig w:usb0="00000003" w:usb1="00000000" w:usb2="00000000" w:usb3="00000000" w:csb0="00000001" w:csb1="00000000"/>
  </w:font>
  <w:font w:name="TimesBasis">
    <w:panose1 w:val="00000000000000000000"/>
    <w:charset w:val="00"/>
    <w:family w:val="roman"/>
    <w:notTrueType/>
    <w:pitch w:val="default"/>
    <w:sig w:usb0="00000003" w:usb1="00000000" w:usb2="00000000" w:usb3="00000000" w:csb0="00000001" w:csb1="00000000"/>
  </w:font>
  <w:font w:name="TimesBasis-Italic">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PS-ItalicMT">
    <w:altName w:val="Times New Roman"/>
    <w:panose1 w:val="00000000000000000000"/>
    <w:charset w:val="00"/>
    <w:family w:val="auto"/>
    <w:notTrueType/>
    <w:pitch w:val="default"/>
    <w:sig w:usb0="00000803" w:usb1="00000000" w:usb2="00000000" w:usb3="00000000" w:csb0="00000061" w:csb1="00000000"/>
  </w:font>
  <w:font w:name="Garamond">
    <w:panose1 w:val="02020404030301010803"/>
    <w:charset w:val="00"/>
    <w:family w:val="roman"/>
    <w:pitch w:val="variable"/>
    <w:sig w:usb0="00000287" w:usb1="00000000" w:usb2="00000000" w:usb3="00000000" w:csb0="0000009F"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Palatino-Roman">
    <w:panose1 w:val="00000000000000000000"/>
    <w:charset w:val="00"/>
    <w:family w:val="auto"/>
    <w:notTrueType/>
    <w:pitch w:val="default"/>
    <w:sig w:usb0="00000003" w:usb1="00000000" w:usb2="00000000" w:usb3="00000000" w:csb0="00000001" w:csb1="00000000"/>
  </w:font>
  <w:font w:name="AJensonPro-Lt">
    <w:panose1 w:val="00000000000000000000"/>
    <w:charset w:val="00"/>
    <w:family w:val="roman"/>
    <w:notTrueType/>
    <w:pitch w:val="default"/>
    <w:sig w:usb0="00000003" w:usb1="00000000" w:usb2="00000000" w:usb3="00000000" w:csb0="00000001" w:csb1="00000000"/>
  </w:font>
  <w:font w:name="AdvP46190F">
    <w:panose1 w:val="00000000000000000000"/>
    <w:charset w:val="00"/>
    <w:family w:val="roman"/>
    <w:notTrueType/>
    <w:pitch w:val="default"/>
    <w:sig w:usb0="00000003" w:usb1="00000000" w:usb2="00000000" w:usb3="00000000" w:csb0="00000001" w:csb1="00000000"/>
  </w:font>
  <w:font w:name="Brill-Bold">
    <w:panose1 w:val="00000000000000000000"/>
    <w:charset w:val="00"/>
    <w:family w:val="roman"/>
    <w:notTrueType/>
    <w:pitch w:val="default"/>
    <w:sig w:usb0="00000003" w:usb1="00000000" w:usb2="00000000" w:usb3="00000000" w:csb0="00000001" w:csb1="00000000"/>
  </w:font>
  <w:font w:name="GVJDB B+ Times">
    <w:altName w:val="Times New Roman"/>
    <w:panose1 w:val="00000000000000000000"/>
    <w:charset w:val="00"/>
    <w:family w:val="roman"/>
    <w:notTrueType/>
    <w:pitch w:val="default"/>
    <w:sig w:usb0="00000003" w:usb1="00000000" w:usb2="00000000" w:usb3="00000000" w:csb0="00000001" w:csb1="00000000"/>
  </w:font>
  <w:font w:name="BodoniBE-Regular">
    <w:panose1 w:val="00000000000000000000"/>
    <w:charset w:val="00"/>
    <w:family w:val="swiss"/>
    <w:notTrueType/>
    <w:pitch w:val="default"/>
    <w:sig w:usb0="00000003" w:usb1="00000000" w:usb2="00000000" w:usb3="00000000" w:csb0="00000001" w:csb1="00000000"/>
  </w:font>
  <w:font w:name="AGOptimaCyr-Bold">
    <w:panose1 w:val="00000000000000000000"/>
    <w:charset w:val="00"/>
    <w:family w:val="auto"/>
    <w:notTrueType/>
    <w:pitch w:val="default"/>
    <w:sig w:usb0="00000003" w:usb1="00000000" w:usb2="00000000" w:usb3="00000000" w:csb0="00000001" w:csb1="00000000"/>
  </w:font>
  <w:font w:name="AGOptimaCyr-BoldOblique">
    <w:panose1 w:val="00000000000000000000"/>
    <w:charset w:val="00"/>
    <w:family w:val="auto"/>
    <w:notTrueType/>
    <w:pitch w:val="default"/>
    <w:sig w:usb0="00000003" w:usb1="00000000" w:usb2="00000000" w:usb3="00000000" w:csb0="00000001" w:csb1="00000000"/>
  </w:font>
  <w:font w:name="MSTT31c457">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enturySchoolbook-Bold">
    <w:panose1 w:val="00000000000000000000"/>
    <w:charset w:val="00"/>
    <w:family w:val="swiss"/>
    <w:notTrueType/>
    <w:pitch w:val="default"/>
    <w:sig w:usb0="00000003" w:usb1="00000000" w:usb2="00000000" w:usb3="00000000" w:csb0="00000001" w:csb1="00000000"/>
  </w:font>
  <w:font w:name="AdvOTfc06a83e">
    <w:panose1 w:val="00000000000000000000"/>
    <w:charset w:val="00"/>
    <w:family w:val="auto"/>
    <w:notTrueType/>
    <w:pitch w:val="default"/>
    <w:sig w:usb0="00000003" w:usb1="00000000" w:usb2="00000000" w:usb3="00000000" w:csb0="00000001" w:csb1="00000000"/>
  </w:font>
  <w:font w:name="AdvOT58b04b30.B">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EE"/>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A4" w:rsidRDefault="00DD0CA4" w:rsidP="00622F9D">
      <w:r>
        <w:separator/>
      </w:r>
    </w:p>
  </w:footnote>
  <w:footnote w:type="continuationSeparator" w:id="0">
    <w:p w:rsidR="00DD0CA4" w:rsidRDefault="00DD0CA4" w:rsidP="00622F9D">
      <w:r>
        <w:continuationSeparator/>
      </w:r>
    </w:p>
  </w:footnote>
  <w:footnote w:id="1">
    <w:p w:rsidR="00786194" w:rsidRPr="00A42549" w:rsidRDefault="00786194" w:rsidP="00750ADA">
      <w:pPr>
        <w:pStyle w:val="FootnoteText"/>
        <w:rPr>
          <w:sz w:val="22"/>
          <w:szCs w:val="22"/>
        </w:rPr>
      </w:pPr>
      <w:bookmarkStart w:id="0" w:name="_GoBack"/>
      <w:r w:rsidRPr="00A42549">
        <w:rPr>
          <w:rStyle w:val="FootnoteReference"/>
          <w:sz w:val="22"/>
          <w:szCs w:val="22"/>
        </w:rPr>
        <w:footnoteRef/>
      </w:r>
      <w:r w:rsidRPr="00A42549">
        <w:rPr>
          <w:sz w:val="22"/>
          <w:szCs w:val="22"/>
        </w:rPr>
        <w:t xml:space="preserve"> Quoted from Horace’s </w:t>
      </w:r>
      <w:r w:rsidRPr="00A42549">
        <w:rPr>
          <w:i/>
          <w:sz w:val="22"/>
          <w:szCs w:val="22"/>
        </w:rPr>
        <w:t xml:space="preserve">The Art of Poetry </w:t>
      </w:r>
      <w:r w:rsidRPr="00A42549">
        <w:rPr>
          <w:sz w:val="22"/>
          <w:szCs w:val="22"/>
        </w:rPr>
        <w:t xml:space="preserve">386-90 by Cowe, </w:t>
      </w:r>
      <w:r w:rsidRPr="00A42549">
        <w:rPr>
          <w:i/>
          <w:sz w:val="22"/>
          <w:szCs w:val="22"/>
        </w:rPr>
        <w:t>The Armenian V ersion of Daniel</w:t>
      </w:r>
      <w:r w:rsidRPr="00A42549">
        <w:rPr>
          <w:sz w:val="22"/>
          <w:szCs w:val="22"/>
        </w:rPr>
        <w:t>, ix. Maecius Tarpa was a drama critic.</w:t>
      </w:r>
    </w:p>
  </w:footnote>
  <w:footnote w:id="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 xml:space="preserve">Daniel </w:t>
      </w:r>
      <w:r w:rsidRPr="00A42549">
        <w:rPr>
          <w:sz w:val="22"/>
          <w:szCs w:val="22"/>
        </w:rPr>
        <w:t>2:242.</w:t>
      </w:r>
    </w:p>
  </w:footnote>
  <w:footnote w:id="3">
    <w:p w:rsidR="00786194" w:rsidRPr="00A42549" w:rsidRDefault="00786194" w:rsidP="00C32D2F">
      <w:pPr>
        <w:pStyle w:val="FootnoteText"/>
        <w:rPr>
          <w:sz w:val="22"/>
          <w:szCs w:val="22"/>
        </w:rPr>
      </w:pPr>
      <w:r w:rsidRPr="00A42549">
        <w:rPr>
          <w:rStyle w:val="FootnoteReference"/>
          <w:sz w:val="22"/>
          <w:szCs w:val="22"/>
        </w:rPr>
        <w:footnoteRef/>
      </w:r>
      <w:r w:rsidRPr="00A42549">
        <w:rPr>
          <w:sz w:val="22"/>
          <w:szCs w:val="22"/>
        </w:rPr>
        <w:t xml:space="preserve"> Yephet, </w:t>
      </w:r>
      <w:r w:rsidRPr="00A42549">
        <w:rPr>
          <w:i/>
          <w:sz w:val="22"/>
          <w:szCs w:val="22"/>
        </w:rPr>
        <w:t>Daniel</w:t>
      </w:r>
      <w:r w:rsidRPr="00A42549">
        <w:rPr>
          <w:sz w:val="22"/>
          <w:szCs w:val="22"/>
        </w:rPr>
        <w:t>, 87.</w:t>
      </w:r>
    </w:p>
  </w:footnote>
  <w:footnote w:id="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w:t>
      </w:r>
      <w:r w:rsidRPr="00A42549">
        <w:rPr>
          <w:bCs/>
          <w:sz w:val="22"/>
          <w:szCs w:val="22"/>
        </w:rPr>
        <w:t xml:space="preserve">DiTommaso, </w:t>
      </w:r>
      <w:r w:rsidRPr="00A42549">
        <w:rPr>
          <w:bCs/>
          <w:i/>
          <w:iCs/>
          <w:sz w:val="22"/>
          <w:szCs w:val="22"/>
        </w:rPr>
        <w:t>The Book of Daniel and the Apocryphal Daniel Literature</w:t>
      </w:r>
      <w:r w:rsidRPr="00A42549">
        <w:rPr>
          <w:bCs/>
          <w:iCs/>
          <w:sz w:val="22"/>
          <w:szCs w:val="22"/>
        </w:rPr>
        <w:t>; ———, “Daniel, Apocalypses of”; ———,</w:t>
      </w:r>
      <w:r w:rsidRPr="00A42549">
        <w:rPr>
          <w:b/>
          <w:bCs/>
          <w:iCs/>
          <w:sz w:val="22"/>
          <w:szCs w:val="22"/>
        </w:rPr>
        <w:t xml:space="preserve"> “</w:t>
      </w:r>
      <w:r w:rsidRPr="00A42549">
        <w:rPr>
          <w:bCs/>
          <w:iCs/>
          <w:sz w:val="22"/>
          <w:szCs w:val="22"/>
        </w:rPr>
        <w:t>4Q Pseudo-Daniel</w:t>
      </w:r>
      <w:r w:rsidRPr="00A42549">
        <w:rPr>
          <w:bCs/>
          <w:iCs/>
          <w:sz w:val="22"/>
          <w:szCs w:val="22"/>
          <w:vertAlign w:val="superscript"/>
        </w:rPr>
        <w:t xml:space="preserve">A-B </w:t>
      </w:r>
      <w:r w:rsidRPr="00A42549">
        <w:rPr>
          <w:bCs/>
          <w:iCs/>
          <w:sz w:val="22"/>
          <w:szCs w:val="22"/>
        </w:rPr>
        <w:t xml:space="preserve">(4Q243 –4Q244) and the Book of Daniel”; Kraft, “Daniel outside the Traditional Jewish Canon.” </w:t>
      </w:r>
    </w:p>
  </w:footnote>
  <w:footnote w:id="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the relationship of Daniel’s Aramaic to other forms of Aramaic, see Stefanovic, </w:t>
      </w:r>
      <w:r w:rsidRPr="00A42549">
        <w:rPr>
          <w:i/>
          <w:sz w:val="22"/>
          <w:szCs w:val="22"/>
        </w:rPr>
        <w:t>The Aramaic of Daniel in the Light of Old Aramaic</w:t>
      </w:r>
      <w:r w:rsidRPr="00A42549">
        <w:rPr>
          <w:sz w:val="22"/>
          <w:szCs w:val="22"/>
        </w:rPr>
        <w:t>; also Polak</w:t>
      </w:r>
      <w:r w:rsidRPr="00A42549">
        <w:rPr>
          <w:b/>
          <w:sz w:val="22"/>
          <w:szCs w:val="22"/>
        </w:rPr>
        <w:t>, “</w:t>
      </w:r>
      <w:r w:rsidRPr="00A42549">
        <w:rPr>
          <w:sz w:val="22"/>
          <w:szCs w:val="22"/>
        </w:rPr>
        <w:t>The Daniel Tales in their Aramaic Literary Milieu.”</w:t>
      </w:r>
    </w:p>
  </w:footnote>
  <w:footnote w:id="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Rosenthal, </w:t>
      </w:r>
      <w:r w:rsidRPr="00A42549">
        <w:rPr>
          <w:i/>
          <w:sz w:val="22"/>
          <w:szCs w:val="22"/>
        </w:rPr>
        <w:t>Die aramäistische Forschung</w:t>
      </w:r>
      <w:r w:rsidRPr="00A42549">
        <w:rPr>
          <w:sz w:val="22"/>
          <w:szCs w:val="22"/>
        </w:rPr>
        <w:t xml:space="preserve">; Kitchen, “Aramaic”; Kutscher, “Aramaic”; Coxon (see </w:t>
      </w:r>
      <w:r w:rsidRPr="00A42549">
        <w:rPr>
          <w:i/>
          <w:sz w:val="22"/>
          <w:szCs w:val="22"/>
        </w:rPr>
        <w:t>General Bibliography</w:t>
      </w:r>
      <w:r w:rsidRPr="00A42549">
        <w:rPr>
          <w:sz w:val="22"/>
          <w:szCs w:val="22"/>
        </w:rPr>
        <w:t xml:space="preserve">); against Baumgartner, “Das Aramäische im Buche Daniel”; Rowley (see </w:t>
      </w:r>
      <w:r w:rsidRPr="00A42549">
        <w:rPr>
          <w:i/>
          <w:sz w:val="22"/>
          <w:szCs w:val="22"/>
        </w:rPr>
        <w:t>General Bibliography</w:t>
      </w:r>
      <w:r w:rsidRPr="00A42549">
        <w:rPr>
          <w:sz w:val="22"/>
          <w:szCs w:val="22"/>
        </w:rPr>
        <w:t>).</w:t>
      </w:r>
    </w:p>
  </w:footnote>
  <w:footnote w:id="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Hengel, </w:t>
      </w:r>
      <w:r w:rsidRPr="00A42549">
        <w:rPr>
          <w:i/>
          <w:sz w:val="22"/>
          <w:szCs w:val="22"/>
        </w:rPr>
        <w:t>Judentum und Hellenismus</w:t>
      </w:r>
      <w:r w:rsidRPr="00A42549">
        <w:rPr>
          <w:sz w:val="22"/>
          <w:szCs w:val="22"/>
        </w:rPr>
        <w:t>, 108–95 [ET 1:58–106]; also, e.g., Coxon, “Greek Loan-words.” Niskanen (</w:t>
      </w:r>
      <w:r w:rsidRPr="00A42549">
        <w:rPr>
          <w:i/>
          <w:sz w:val="22"/>
          <w:szCs w:val="22"/>
        </w:rPr>
        <w:t>The Human and the Divine in History</w:t>
      </w:r>
      <w:r w:rsidRPr="00A42549">
        <w:rPr>
          <w:sz w:val="22"/>
          <w:szCs w:val="22"/>
        </w:rPr>
        <w:t xml:space="preserve">) argues more generally for the influence of Herodotus’s historiography on Daniel. </w:t>
      </w:r>
    </w:p>
  </w:footnote>
  <w:footnote w:id="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Marti, </w:t>
      </w:r>
      <w:r w:rsidRPr="00A42549">
        <w:rPr>
          <w:i/>
          <w:sz w:val="22"/>
          <w:szCs w:val="22"/>
        </w:rPr>
        <w:t>Daniel</w:t>
      </w:r>
      <w:r w:rsidRPr="00A42549">
        <w:rPr>
          <w:sz w:val="22"/>
          <w:szCs w:val="22"/>
        </w:rPr>
        <w:t xml:space="preserve">, ix-x; Zimmermann, </w:t>
      </w:r>
      <w:r w:rsidRPr="00A42549">
        <w:rPr>
          <w:i/>
          <w:sz w:val="22"/>
          <w:szCs w:val="22"/>
        </w:rPr>
        <w:t>Biblical Books Translated from the Aramaic</w:t>
      </w:r>
      <w:r w:rsidRPr="00A42549">
        <w:rPr>
          <w:sz w:val="22"/>
          <w:szCs w:val="22"/>
        </w:rPr>
        <w:t>.</w:t>
      </w:r>
    </w:p>
  </w:footnote>
  <w:footnote w:id="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Polzin, </w:t>
      </w:r>
      <w:r w:rsidRPr="00A42549">
        <w:rPr>
          <w:i/>
          <w:sz w:val="22"/>
          <w:szCs w:val="22"/>
        </w:rPr>
        <w:t>Late Biblical Hebrew</w:t>
      </w:r>
      <w:r w:rsidRPr="00A42549">
        <w:rPr>
          <w:sz w:val="22"/>
          <w:szCs w:val="22"/>
        </w:rPr>
        <w:t>.</w:t>
      </w:r>
    </w:p>
  </w:footnote>
  <w:footnote w:id="10">
    <w:p w:rsidR="00786194" w:rsidRPr="00A42549" w:rsidRDefault="00786194">
      <w:pPr>
        <w:pStyle w:val="FootnoteText"/>
        <w:rPr>
          <w:i/>
          <w:sz w:val="22"/>
          <w:szCs w:val="22"/>
        </w:rPr>
      </w:pPr>
      <w:r w:rsidRPr="00A42549">
        <w:rPr>
          <w:rStyle w:val="FootnoteReference"/>
          <w:sz w:val="22"/>
          <w:szCs w:val="22"/>
        </w:rPr>
        <w:footnoteRef/>
      </w:r>
      <w:r w:rsidRPr="00A42549">
        <w:rPr>
          <w:sz w:val="22"/>
          <w:szCs w:val="22"/>
        </w:rPr>
        <w:t xml:space="preserve"> Beckwith argues more broadly that the contents of the Jewish scriptures were finalized soon after the Antiochene crisis (“Formation of the Hebrew Bible”; ———,</w:t>
      </w:r>
      <w:r w:rsidRPr="00A42549">
        <w:rPr>
          <w:i/>
          <w:sz w:val="22"/>
          <w:szCs w:val="22"/>
        </w:rPr>
        <w:t>The OT Canon of the NT Church</w:t>
      </w:r>
      <w:r w:rsidRPr="00A42549">
        <w:rPr>
          <w:sz w:val="22"/>
          <w:szCs w:val="22"/>
        </w:rPr>
        <w:t>)</w:t>
      </w:r>
      <w:r w:rsidRPr="00A42549">
        <w:rPr>
          <w:i/>
          <w:sz w:val="22"/>
          <w:szCs w:val="22"/>
        </w:rPr>
        <w:t>.</w:t>
      </w:r>
    </w:p>
  </w:footnote>
  <w:footnote w:id="1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Ulrich, </w:t>
      </w:r>
      <w:r w:rsidRPr="00A42549">
        <w:rPr>
          <w:i/>
          <w:sz w:val="22"/>
          <w:szCs w:val="22"/>
        </w:rPr>
        <w:t xml:space="preserve">Biblical Qumran Scrolls, </w:t>
      </w:r>
      <w:r w:rsidRPr="00A42549">
        <w:rPr>
          <w:sz w:val="22"/>
          <w:szCs w:val="22"/>
        </w:rPr>
        <w:t xml:space="preserve">755-75; more detail in Baillet et al., </w:t>
      </w:r>
      <w:r w:rsidRPr="00A42549">
        <w:rPr>
          <w:bCs/>
          <w:i/>
          <w:sz w:val="22"/>
          <w:szCs w:val="22"/>
        </w:rPr>
        <w:t>Les 'petites grottes' de Qumrân</w:t>
      </w:r>
      <w:r w:rsidRPr="00A42549">
        <w:rPr>
          <w:bCs/>
          <w:sz w:val="22"/>
          <w:szCs w:val="22"/>
        </w:rPr>
        <w:t xml:space="preserve">; </w:t>
      </w:r>
      <w:r w:rsidRPr="00A42549">
        <w:rPr>
          <w:sz w:val="22"/>
          <w:szCs w:val="22"/>
        </w:rPr>
        <w:t>Barthélemy/Milik</w:t>
      </w:r>
      <w:r w:rsidRPr="00A42549">
        <w:rPr>
          <w:b/>
          <w:sz w:val="22"/>
          <w:szCs w:val="22"/>
        </w:rPr>
        <w:t xml:space="preserve">, </w:t>
      </w:r>
      <w:r w:rsidRPr="00A42549">
        <w:rPr>
          <w:bCs/>
          <w:i/>
          <w:sz w:val="22"/>
          <w:szCs w:val="22"/>
        </w:rPr>
        <w:t>Qumran Cave 1</w:t>
      </w:r>
      <w:r w:rsidRPr="00A42549">
        <w:rPr>
          <w:b/>
          <w:sz w:val="22"/>
          <w:szCs w:val="22"/>
        </w:rPr>
        <w:t xml:space="preserve">; </w:t>
      </w:r>
      <w:r w:rsidRPr="00A42549">
        <w:rPr>
          <w:bCs/>
          <w:sz w:val="22"/>
          <w:szCs w:val="22"/>
        </w:rPr>
        <w:t xml:space="preserve">Ulrich et al., </w:t>
      </w:r>
      <w:r w:rsidRPr="00A42549">
        <w:rPr>
          <w:bCs/>
          <w:i/>
          <w:sz w:val="22"/>
          <w:szCs w:val="22"/>
        </w:rPr>
        <w:t>Qumran Cave 4.XI.</w:t>
      </w:r>
    </w:p>
  </w:footnote>
  <w:footnote w:id="1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w:t>
      </w:r>
      <w:r w:rsidRPr="00A42549">
        <w:rPr>
          <w:i/>
          <w:sz w:val="22"/>
          <w:szCs w:val="22"/>
        </w:rPr>
        <w:t>DSS</w:t>
      </w:r>
      <w:r w:rsidRPr="00A42549">
        <w:rPr>
          <w:sz w:val="22"/>
          <w:szCs w:val="22"/>
        </w:rPr>
        <w:t xml:space="preserve"> 2:352-55.</w:t>
      </w:r>
    </w:p>
  </w:footnote>
  <w:footnote w:id="13">
    <w:p w:rsidR="00786194" w:rsidRPr="00A42549" w:rsidRDefault="00786194" w:rsidP="00B2577D">
      <w:pPr>
        <w:pStyle w:val="FootnoteText"/>
        <w:rPr>
          <w:sz w:val="22"/>
          <w:szCs w:val="22"/>
        </w:rPr>
      </w:pPr>
      <w:r w:rsidRPr="00A42549">
        <w:rPr>
          <w:rStyle w:val="FootnoteReference"/>
          <w:sz w:val="22"/>
          <w:szCs w:val="22"/>
        </w:rPr>
        <w:footnoteRef/>
      </w:r>
      <w:r w:rsidRPr="00A42549">
        <w:rPr>
          <w:sz w:val="22"/>
          <w:szCs w:val="22"/>
        </w:rPr>
        <w:t xml:space="preserve"> Vermes, “Josephus’ Treatment of the Book of Daniel,” 149.</w:t>
      </w:r>
    </w:p>
  </w:footnote>
  <w:footnote w:id="14">
    <w:p w:rsidR="00786194" w:rsidRPr="00A42549" w:rsidRDefault="00786194" w:rsidP="009609EF">
      <w:pPr>
        <w:pStyle w:val="FootnoteText"/>
        <w:rPr>
          <w:sz w:val="22"/>
          <w:szCs w:val="22"/>
        </w:rPr>
      </w:pPr>
      <w:r w:rsidRPr="00A42549">
        <w:rPr>
          <w:rStyle w:val="FootnoteReference"/>
          <w:sz w:val="22"/>
          <w:szCs w:val="22"/>
        </w:rPr>
        <w:footnoteRef/>
      </w:r>
      <w:r w:rsidRPr="00A42549">
        <w:rPr>
          <w:sz w:val="22"/>
          <w:szCs w:val="22"/>
        </w:rPr>
        <w:t xml:space="preserve"> See e.g., Ulrich, </w:t>
      </w:r>
      <w:r w:rsidRPr="00A42549">
        <w:rPr>
          <w:i/>
          <w:sz w:val="22"/>
          <w:szCs w:val="22"/>
        </w:rPr>
        <w:t>The Dead Sea Scrolls and the Developmental Composition of the Bible</w:t>
      </w:r>
      <w:r w:rsidRPr="00A42549">
        <w:rPr>
          <w:sz w:val="22"/>
          <w:szCs w:val="22"/>
        </w:rPr>
        <w:t>, 265-308.</w:t>
      </w:r>
    </w:p>
  </w:footnote>
  <w:footnote w:id="15">
    <w:p w:rsidR="00786194" w:rsidRPr="00A42549" w:rsidRDefault="00786194" w:rsidP="009609EF">
      <w:pPr>
        <w:pStyle w:val="FootnoteText"/>
        <w:rPr>
          <w:sz w:val="22"/>
          <w:szCs w:val="22"/>
        </w:rPr>
      </w:pPr>
      <w:r w:rsidRPr="00A42549">
        <w:rPr>
          <w:rStyle w:val="FootnoteReference"/>
          <w:sz w:val="22"/>
          <w:szCs w:val="22"/>
        </w:rPr>
        <w:footnoteRef/>
      </w:r>
      <w:r w:rsidRPr="00A42549">
        <w:rPr>
          <w:sz w:val="22"/>
          <w:szCs w:val="22"/>
        </w:rPr>
        <w:t xml:space="preserve"> Cf. García </w:t>
      </w:r>
      <w:r w:rsidRPr="00A42549">
        <w:rPr>
          <w:iCs/>
          <w:sz w:val="22"/>
          <w:szCs w:val="22"/>
        </w:rPr>
        <w:t>Martínez</w:t>
      </w:r>
      <w:r w:rsidRPr="00A42549">
        <w:rPr>
          <w:sz w:val="22"/>
          <w:szCs w:val="22"/>
        </w:rPr>
        <w:t>, “</w:t>
      </w:r>
      <w:r w:rsidRPr="00A42549">
        <w:rPr>
          <w:iCs/>
          <w:sz w:val="22"/>
          <w:szCs w:val="22"/>
        </w:rPr>
        <w:t>Parabiblical Literature</w:t>
      </w:r>
      <w:r w:rsidRPr="00A42549">
        <w:rPr>
          <w:sz w:val="22"/>
          <w:szCs w:val="22"/>
        </w:rPr>
        <w:t xml:space="preserve"> from Qumran and the </w:t>
      </w:r>
      <w:r w:rsidRPr="00A42549">
        <w:rPr>
          <w:iCs/>
          <w:sz w:val="22"/>
          <w:szCs w:val="22"/>
        </w:rPr>
        <w:t>Canonical Process</w:t>
      </w:r>
      <w:r w:rsidRPr="00A42549">
        <w:rPr>
          <w:sz w:val="22"/>
          <w:szCs w:val="22"/>
        </w:rPr>
        <w:t xml:space="preserve">.” </w:t>
      </w:r>
    </w:p>
  </w:footnote>
  <w:footnote w:id="1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Hasel, “The Book of Daniel Confirmed by the Dead Sea Scrolls”; “New Light on the Book of Daniel from the Dead Sea Scrolls.”</w:t>
      </w:r>
    </w:p>
  </w:footnote>
  <w:footnote w:id="1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 Ulrich, “Orthography and Text in 4QDan</w:t>
      </w:r>
      <w:r w:rsidRPr="00A42549">
        <w:rPr>
          <w:sz w:val="22"/>
          <w:szCs w:val="22"/>
          <w:vertAlign w:val="superscript"/>
        </w:rPr>
        <w:t>a</w:t>
      </w:r>
      <w:r w:rsidRPr="00A42549">
        <w:rPr>
          <w:sz w:val="22"/>
          <w:szCs w:val="22"/>
        </w:rPr>
        <w:t xml:space="preserve"> and 4QDan</w:t>
      </w:r>
      <w:r w:rsidRPr="00A42549">
        <w:rPr>
          <w:sz w:val="22"/>
          <w:szCs w:val="22"/>
          <w:vertAlign w:val="superscript"/>
        </w:rPr>
        <w:t>b</w:t>
      </w:r>
      <w:r w:rsidRPr="00A42549">
        <w:rPr>
          <w:sz w:val="22"/>
          <w:szCs w:val="22"/>
        </w:rPr>
        <w:t xml:space="preserve"> and in the Received Masoretic Text”; </w:t>
      </w:r>
      <w:r w:rsidRPr="00A42549">
        <w:rPr>
          <w:rFonts w:eastAsia="Times-Roman"/>
          <w:sz w:val="22"/>
          <w:szCs w:val="22"/>
        </w:rPr>
        <w:t>Pfann</w:t>
      </w:r>
      <w:r w:rsidRPr="00A42549">
        <w:rPr>
          <w:rFonts w:eastAsia="Times-Roman"/>
          <w:b/>
          <w:sz w:val="22"/>
          <w:szCs w:val="22"/>
        </w:rPr>
        <w:t xml:space="preserve">, </w:t>
      </w:r>
      <w:r w:rsidRPr="00A42549">
        <w:rPr>
          <w:sz w:val="22"/>
          <w:szCs w:val="22"/>
        </w:rPr>
        <w:t>"The Aramaic Text and Language of Daniel and Ezra in the Light of Some Manuscripts from Qumran.”</w:t>
      </w:r>
    </w:p>
  </w:footnote>
  <w:footnote w:id="18">
    <w:p w:rsidR="00786194" w:rsidRPr="00A42549" w:rsidRDefault="00786194" w:rsidP="008743CF">
      <w:pPr>
        <w:pStyle w:val="FootnoteText"/>
        <w:rPr>
          <w:sz w:val="22"/>
          <w:szCs w:val="22"/>
        </w:rPr>
      </w:pPr>
      <w:r w:rsidRPr="00A42549">
        <w:rPr>
          <w:rStyle w:val="FootnoteReference"/>
          <w:sz w:val="22"/>
          <w:szCs w:val="22"/>
        </w:rPr>
        <w:footnoteRef/>
      </w:r>
      <w:r w:rsidRPr="00A42549">
        <w:rPr>
          <w:sz w:val="22"/>
          <w:szCs w:val="22"/>
        </w:rPr>
        <w:t xml:space="preserve"> See e.g., Pace, </w:t>
      </w:r>
      <w:r w:rsidRPr="00A42549">
        <w:rPr>
          <w:i/>
          <w:sz w:val="22"/>
          <w:szCs w:val="22"/>
        </w:rPr>
        <w:t>The Old Greek Text of Daniel 7–12</w:t>
      </w:r>
      <w:r w:rsidRPr="00A42549">
        <w:rPr>
          <w:sz w:val="22"/>
          <w:szCs w:val="22"/>
        </w:rPr>
        <w:t>.</w:t>
      </w:r>
    </w:p>
  </w:footnote>
  <w:footnote w:id="19">
    <w:p w:rsidR="00786194" w:rsidRPr="00A42549" w:rsidRDefault="00786194" w:rsidP="003B2E87">
      <w:pPr>
        <w:pStyle w:val="FootnoteText"/>
        <w:rPr>
          <w:sz w:val="22"/>
          <w:szCs w:val="22"/>
        </w:rPr>
      </w:pPr>
      <w:r w:rsidRPr="00A42549">
        <w:rPr>
          <w:rStyle w:val="FootnoteReference"/>
          <w:sz w:val="22"/>
          <w:szCs w:val="22"/>
        </w:rPr>
        <w:footnoteRef/>
      </w:r>
      <w:r w:rsidRPr="00A42549">
        <w:rPr>
          <w:sz w:val="22"/>
          <w:szCs w:val="22"/>
        </w:rPr>
        <w:t xml:space="preserve"> See e.g., Knibb, Flint, Stuckenbruck, Eshel, Hobbins, and Ulrich in </w:t>
      </w:r>
      <w:r w:rsidRPr="00A42549">
        <w:rPr>
          <w:bCs/>
          <w:sz w:val="22"/>
          <w:szCs w:val="22"/>
        </w:rPr>
        <w:t xml:space="preserve">Collins/Flint (eds.), </w:t>
      </w:r>
      <w:r w:rsidRPr="00A42549">
        <w:rPr>
          <w:bCs/>
          <w:i/>
          <w:sz w:val="22"/>
          <w:szCs w:val="22"/>
        </w:rPr>
        <w:t>The Book of Daniel</w:t>
      </w:r>
      <w:r w:rsidRPr="00A42549">
        <w:rPr>
          <w:bCs/>
          <w:sz w:val="22"/>
          <w:szCs w:val="22"/>
        </w:rPr>
        <w:t xml:space="preserve">; Earlier, Flint, “The Daniel Tradition at Qumran,” in Evans/Flint, </w:t>
      </w:r>
      <w:r w:rsidRPr="00A42549">
        <w:rPr>
          <w:bCs/>
          <w:i/>
          <w:sz w:val="22"/>
          <w:szCs w:val="22"/>
        </w:rPr>
        <w:t>Eschatology, Messianism, and the Dea Sea Scrolls</w:t>
      </w:r>
      <w:r w:rsidRPr="00A42549">
        <w:rPr>
          <w:bCs/>
          <w:sz w:val="22"/>
          <w:szCs w:val="22"/>
        </w:rPr>
        <w:t>, 41-60; Collins, “New Light on the Book of Daniel from the Dead Sea Scrolls”; Stuckenbruck, “The Formation and Re-Formation of Daniel in the Dead Sea Scrolls”; Bernstein/Koller</w:t>
      </w:r>
      <w:r w:rsidRPr="00A42549">
        <w:rPr>
          <w:b/>
          <w:bCs/>
          <w:sz w:val="22"/>
          <w:szCs w:val="22"/>
        </w:rPr>
        <w:t xml:space="preserve">, </w:t>
      </w:r>
      <w:r w:rsidRPr="00A42549">
        <w:rPr>
          <w:bCs/>
          <w:sz w:val="22"/>
          <w:szCs w:val="22"/>
        </w:rPr>
        <w:t xml:space="preserve">“The Aramaic Texts and the Hebrew and Aramaic Languages at Qumran,” 169-77; García </w:t>
      </w:r>
      <w:r w:rsidRPr="00A42549">
        <w:rPr>
          <w:bCs/>
          <w:iCs/>
          <w:sz w:val="22"/>
          <w:szCs w:val="22"/>
        </w:rPr>
        <w:t>Martínez</w:t>
      </w:r>
      <w:r w:rsidRPr="00A42549">
        <w:rPr>
          <w:bCs/>
          <w:sz w:val="22"/>
          <w:szCs w:val="22"/>
        </w:rPr>
        <w:t xml:space="preserve">, </w:t>
      </w:r>
      <w:r w:rsidRPr="00A42549">
        <w:rPr>
          <w:bCs/>
          <w:i/>
          <w:sz w:val="22"/>
          <w:szCs w:val="22"/>
        </w:rPr>
        <w:t>Qumran and Apocalyptic</w:t>
      </w:r>
      <w:r w:rsidRPr="00A42549">
        <w:rPr>
          <w:bCs/>
          <w:sz w:val="22"/>
          <w:szCs w:val="22"/>
        </w:rPr>
        <w:t>; Debel</w:t>
      </w:r>
      <w:r w:rsidRPr="00A42549">
        <w:rPr>
          <w:b/>
          <w:bCs/>
          <w:sz w:val="22"/>
          <w:szCs w:val="22"/>
        </w:rPr>
        <w:t xml:space="preserve">, </w:t>
      </w:r>
      <w:r w:rsidRPr="00A42549">
        <w:rPr>
          <w:bCs/>
          <w:sz w:val="22"/>
          <w:szCs w:val="22"/>
        </w:rPr>
        <w:t>“Retracing Authoritative Traditions behind the Scriptural Texts.”</w:t>
      </w:r>
    </w:p>
  </w:footnote>
  <w:footnote w:id="2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Meyer, </w:t>
      </w:r>
      <w:r w:rsidRPr="00A42549">
        <w:rPr>
          <w:i/>
          <w:sz w:val="22"/>
          <w:szCs w:val="22"/>
        </w:rPr>
        <w:t>Das Gebet des Nabonid</w:t>
      </w:r>
      <w:r w:rsidRPr="00A42549">
        <w:rPr>
          <w:sz w:val="22"/>
          <w:szCs w:val="22"/>
        </w:rPr>
        <w:t>; Milik, “‘Prière de Nabonide.’”</w:t>
      </w:r>
    </w:p>
  </w:footnote>
  <w:footnote w:id="21">
    <w:p w:rsidR="00786194" w:rsidRPr="00A42549" w:rsidRDefault="00786194" w:rsidP="00B6318B">
      <w:pPr>
        <w:pStyle w:val="FootnoteText"/>
        <w:rPr>
          <w:sz w:val="22"/>
          <w:szCs w:val="22"/>
        </w:rPr>
      </w:pPr>
      <w:r w:rsidRPr="00A42549">
        <w:rPr>
          <w:rStyle w:val="FootnoteReference"/>
          <w:sz w:val="22"/>
          <w:szCs w:val="22"/>
        </w:rPr>
        <w:footnoteRef/>
      </w:r>
      <w:r w:rsidRPr="00A42549">
        <w:rPr>
          <w:sz w:val="22"/>
          <w:szCs w:val="22"/>
        </w:rPr>
        <w:t xml:space="preserve"> See Flint, “The Daniel Tradition at Qumran,” in </w:t>
      </w:r>
      <w:r w:rsidRPr="00A42549">
        <w:rPr>
          <w:bCs/>
          <w:sz w:val="22"/>
          <w:szCs w:val="22"/>
        </w:rPr>
        <w:t xml:space="preserve">Collins/Flint (eds.), </w:t>
      </w:r>
      <w:r w:rsidRPr="00A42549">
        <w:rPr>
          <w:bCs/>
          <w:i/>
          <w:sz w:val="22"/>
          <w:szCs w:val="22"/>
        </w:rPr>
        <w:t>The Book of Daniel</w:t>
      </w:r>
      <w:r w:rsidRPr="00A42549">
        <w:rPr>
          <w:bCs/>
          <w:sz w:val="22"/>
          <w:szCs w:val="22"/>
        </w:rPr>
        <w:t xml:space="preserve"> 2:331-63.</w:t>
      </w:r>
    </w:p>
  </w:footnote>
  <w:footnote w:id="2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Kuhn</w:t>
      </w:r>
      <w:r w:rsidRPr="00A42549">
        <w:rPr>
          <w:b/>
          <w:sz w:val="22"/>
          <w:szCs w:val="22"/>
        </w:rPr>
        <w:t xml:space="preserve">, </w:t>
      </w:r>
      <w:r w:rsidRPr="00A42549">
        <w:rPr>
          <w:sz w:val="22"/>
          <w:szCs w:val="22"/>
        </w:rPr>
        <w:t>“The ‘One like a Son of Man’ Becomes the ‘Son of God.’”</w:t>
      </w:r>
    </w:p>
  </w:footnote>
  <w:footnote w:id="23">
    <w:p w:rsidR="00786194" w:rsidRPr="00A42549" w:rsidRDefault="00786194" w:rsidP="00B6318B">
      <w:pPr>
        <w:pStyle w:val="FootnoteText"/>
        <w:rPr>
          <w:sz w:val="22"/>
          <w:szCs w:val="22"/>
        </w:rPr>
      </w:pPr>
      <w:r w:rsidRPr="00A42549">
        <w:rPr>
          <w:rStyle w:val="FootnoteReference"/>
          <w:sz w:val="22"/>
          <w:szCs w:val="22"/>
        </w:rPr>
        <w:footnoteRef/>
      </w:r>
      <w:r w:rsidRPr="00A42549">
        <w:rPr>
          <w:sz w:val="22"/>
          <w:szCs w:val="22"/>
        </w:rPr>
        <w:t xml:space="preserve"> See Hogeterp, “Daniel and the Qumran Daniel Cycle.”</w:t>
      </w:r>
    </w:p>
  </w:footnote>
  <w:footnote w:id="2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Reynolds, “Ádjusting the Apocalypse.”</w:t>
      </w:r>
    </w:p>
  </w:footnote>
  <w:footnote w:id="25">
    <w:p w:rsidR="00786194" w:rsidRPr="00A42549" w:rsidRDefault="00786194" w:rsidP="006441B0">
      <w:pPr>
        <w:pStyle w:val="FootnoteText"/>
        <w:rPr>
          <w:sz w:val="22"/>
          <w:szCs w:val="22"/>
        </w:rPr>
      </w:pPr>
      <w:r w:rsidRPr="00A42549">
        <w:rPr>
          <w:rStyle w:val="FootnoteReference"/>
          <w:sz w:val="22"/>
          <w:szCs w:val="22"/>
        </w:rPr>
        <w:footnoteRef/>
      </w:r>
      <w:r w:rsidRPr="00A42549">
        <w:rPr>
          <w:sz w:val="22"/>
          <w:szCs w:val="22"/>
        </w:rPr>
        <w:t xml:space="preserve"> Cf. Bruce, </w:t>
      </w:r>
      <w:r w:rsidRPr="00A42549">
        <w:rPr>
          <w:i/>
          <w:sz w:val="22"/>
          <w:szCs w:val="22"/>
        </w:rPr>
        <w:t>Biblical Exegesis in the Qumran Texts</w:t>
      </w:r>
      <w:r w:rsidRPr="00A42549">
        <w:rPr>
          <w:sz w:val="22"/>
          <w:szCs w:val="22"/>
        </w:rPr>
        <w:t>, 27, 63–67, 70.</w:t>
      </w:r>
    </w:p>
  </w:footnote>
  <w:footnote w:id="26">
    <w:p w:rsidR="00786194" w:rsidRPr="00A42549" w:rsidRDefault="00786194" w:rsidP="006441B0">
      <w:pPr>
        <w:pStyle w:val="FootnoteText"/>
        <w:rPr>
          <w:sz w:val="22"/>
          <w:szCs w:val="22"/>
        </w:rPr>
      </w:pPr>
      <w:r w:rsidRPr="00A42549">
        <w:rPr>
          <w:rStyle w:val="FootnoteReference"/>
          <w:sz w:val="22"/>
          <w:szCs w:val="22"/>
        </w:rPr>
        <w:footnoteRef/>
      </w:r>
      <w:r w:rsidRPr="00A42549">
        <w:rPr>
          <w:sz w:val="22"/>
          <w:szCs w:val="22"/>
        </w:rPr>
        <w:t xml:space="preserve"> Mertens, </w:t>
      </w:r>
      <w:r w:rsidRPr="00A42549">
        <w:rPr>
          <w:i/>
          <w:sz w:val="22"/>
          <w:szCs w:val="22"/>
        </w:rPr>
        <w:t>Das Buch Daniel im Lichte der Texte vom Toten Meer</w:t>
      </w:r>
      <w:r w:rsidRPr="00A42549">
        <w:rPr>
          <w:sz w:val="22"/>
          <w:szCs w:val="22"/>
        </w:rPr>
        <w:t>, 87.</w:t>
      </w:r>
    </w:p>
  </w:footnote>
  <w:footnote w:id="27">
    <w:p w:rsidR="00786194" w:rsidRPr="00A42549" w:rsidRDefault="00786194" w:rsidP="006441B0">
      <w:pPr>
        <w:pStyle w:val="FootnoteText"/>
        <w:rPr>
          <w:sz w:val="22"/>
          <w:szCs w:val="22"/>
        </w:rPr>
      </w:pPr>
      <w:r w:rsidRPr="00A42549">
        <w:rPr>
          <w:rStyle w:val="FootnoteReference"/>
          <w:sz w:val="22"/>
          <w:szCs w:val="22"/>
        </w:rPr>
        <w:footnoteRef/>
      </w:r>
      <w:r w:rsidRPr="00A42549">
        <w:rPr>
          <w:sz w:val="22"/>
          <w:szCs w:val="22"/>
        </w:rPr>
        <w:t xml:space="preserve"> Fitzmyer, </w:t>
      </w:r>
      <w:r w:rsidRPr="00A42549">
        <w:rPr>
          <w:i/>
          <w:sz w:val="22"/>
          <w:szCs w:val="22"/>
        </w:rPr>
        <w:t>Essays on the Semitic Background of the NT</w:t>
      </w:r>
      <w:r w:rsidRPr="00A42549">
        <w:rPr>
          <w:sz w:val="22"/>
          <w:szCs w:val="22"/>
        </w:rPr>
        <w:t>, 251; Collins, “The Book of Daniel and the Dead Sea Scrolls,” 103.</w:t>
      </w:r>
    </w:p>
  </w:footnote>
  <w:footnote w:id="28">
    <w:p w:rsidR="00786194" w:rsidRPr="00A42549" w:rsidRDefault="00786194" w:rsidP="006441B0">
      <w:pPr>
        <w:pStyle w:val="FootnoteText"/>
        <w:rPr>
          <w:sz w:val="22"/>
          <w:szCs w:val="22"/>
        </w:rPr>
      </w:pPr>
      <w:r w:rsidRPr="00A42549">
        <w:rPr>
          <w:rStyle w:val="FootnoteReference"/>
          <w:sz w:val="22"/>
          <w:szCs w:val="22"/>
        </w:rPr>
        <w:footnoteRef/>
      </w:r>
      <w:r w:rsidRPr="00A42549">
        <w:rPr>
          <w:sz w:val="22"/>
          <w:szCs w:val="22"/>
        </w:rPr>
        <w:t xml:space="preserve"> See Delcor, “L’hymne à Sion,” 84–88; Baillet, “Un recueil liturgique de Qumrân,” 247.</w:t>
      </w:r>
    </w:p>
  </w:footnote>
  <w:footnote w:id="29">
    <w:p w:rsidR="00786194" w:rsidRPr="00A42549" w:rsidRDefault="00786194" w:rsidP="006441B0">
      <w:pPr>
        <w:pStyle w:val="FootnoteText"/>
        <w:rPr>
          <w:sz w:val="22"/>
          <w:szCs w:val="22"/>
        </w:rPr>
      </w:pPr>
      <w:r w:rsidRPr="00A42549">
        <w:rPr>
          <w:rStyle w:val="FootnoteReference"/>
          <w:sz w:val="22"/>
          <w:szCs w:val="22"/>
        </w:rPr>
        <w:footnoteRef/>
      </w:r>
      <w:r w:rsidRPr="00A42549">
        <w:rPr>
          <w:sz w:val="22"/>
          <w:szCs w:val="22"/>
        </w:rPr>
        <w:t xml:space="preserve"> Beckwith, “The Significance of the Calendar for Interpreting Essene Chronology and Eschatology,” 180.</w:t>
      </w:r>
    </w:p>
  </w:footnote>
  <w:footnote w:id="30">
    <w:p w:rsidR="00786194" w:rsidRPr="00A42549" w:rsidRDefault="00786194" w:rsidP="006441B0">
      <w:pPr>
        <w:pStyle w:val="FootnoteText"/>
        <w:rPr>
          <w:sz w:val="22"/>
          <w:szCs w:val="22"/>
        </w:rPr>
      </w:pPr>
      <w:r w:rsidRPr="00A42549">
        <w:rPr>
          <w:rStyle w:val="FootnoteReference"/>
          <w:sz w:val="22"/>
          <w:szCs w:val="22"/>
        </w:rPr>
        <w:footnoteRef/>
      </w:r>
      <w:r w:rsidRPr="00A42549">
        <w:rPr>
          <w:sz w:val="22"/>
          <w:szCs w:val="22"/>
        </w:rPr>
        <w:t xml:space="preserve"> Vermes, </w:t>
      </w:r>
      <w:r w:rsidRPr="00A42549">
        <w:rPr>
          <w:i/>
          <w:sz w:val="22"/>
          <w:szCs w:val="22"/>
        </w:rPr>
        <w:t>The Dead Sea Scrolls in English</w:t>
      </w:r>
      <w:r w:rsidRPr="00A42549">
        <w:rPr>
          <w:sz w:val="22"/>
          <w:szCs w:val="22"/>
        </w:rPr>
        <w:t>, 122.</w:t>
      </w:r>
    </w:p>
  </w:footnote>
  <w:footnote w:id="31">
    <w:p w:rsidR="00786194" w:rsidRPr="00A42549" w:rsidRDefault="00786194" w:rsidP="006441B0">
      <w:pPr>
        <w:pStyle w:val="FootnoteText"/>
        <w:rPr>
          <w:sz w:val="22"/>
          <w:szCs w:val="22"/>
        </w:rPr>
      </w:pPr>
      <w:r w:rsidRPr="00A42549">
        <w:rPr>
          <w:rStyle w:val="FootnoteReference"/>
          <w:sz w:val="22"/>
          <w:szCs w:val="22"/>
        </w:rPr>
        <w:footnoteRef/>
      </w:r>
      <w:r w:rsidRPr="00A42549">
        <w:rPr>
          <w:sz w:val="22"/>
          <w:szCs w:val="22"/>
        </w:rPr>
        <w:t xml:space="preserve"> Hartman, “The Functions of Some So-called Apocalyptic Timetables,” 5–6.</w:t>
      </w:r>
    </w:p>
  </w:footnote>
  <w:footnote w:id="32">
    <w:p w:rsidR="00786194" w:rsidRPr="00A42549" w:rsidRDefault="00786194" w:rsidP="006441B0">
      <w:pPr>
        <w:pStyle w:val="FootnoteText"/>
        <w:rPr>
          <w:i/>
          <w:iCs/>
          <w:sz w:val="22"/>
          <w:szCs w:val="22"/>
        </w:rPr>
      </w:pPr>
      <w:r w:rsidRPr="00A42549">
        <w:rPr>
          <w:rStyle w:val="FootnoteReference"/>
          <w:sz w:val="22"/>
          <w:szCs w:val="22"/>
        </w:rPr>
        <w:footnoteRef/>
      </w:r>
      <w:r w:rsidRPr="00A42549">
        <w:rPr>
          <w:sz w:val="22"/>
          <w:szCs w:val="22"/>
        </w:rPr>
        <w:t xml:space="preserve"> For different views, see </w:t>
      </w:r>
      <w:r w:rsidRPr="00A42549">
        <w:rPr>
          <w:bCs/>
          <w:sz w:val="22"/>
          <w:szCs w:val="22"/>
        </w:rPr>
        <w:t>Stuckenbruck</w:t>
      </w:r>
      <w:r w:rsidRPr="00A42549">
        <w:rPr>
          <w:b/>
          <w:bCs/>
          <w:sz w:val="22"/>
          <w:szCs w:val="22"/>
        </w:rPr>
        <w:t>,</w:t>
      </w:r>
      <w:r w:rsidRPr="00A42549">
        <w:rPr>
          <w:bCs/>
          <w:sz w:val="22"/>
          <w:szCs w:val="22"/>
        </w:rPr>
        <w:t xml:space="preserve"> “Daniel and Early Enoch Traditions in the Dead Sea Scrolls”; Beckwith, “Early Traces of the Book of Daniel”; </w:t>
      </w:r>
      <w:r w:rsidRPr="00A42549">
        <w:rPr>
          <w:rFonts w:eastAsiaTheme="minorHAnsi" w:cs="TimesBasis"/>
          <w:sz w:val="22"/>
          <w:szCs w:val="22"/>
        </w:rPr>
        <w:t>Stokes</w:t>
      </w:r>
      <w:r w:rsidRPr="00A42549">
        <w:rPr>
          <w:rFonts w:eastAsiaTheme="minorHAnsi" w:cs="TimesBasis"/>
          <w:b/>
          <w:sz w:val="22"/>
          <w:szCs w:val="22"/>
        </w:rPr>
        <w:t xml:space="preserve">, </w:t>
      </w:r>
      <w:r w:rsidRPr="00A42549">
        <w:rPr>
          <w:rFonts w:eastAsiaTheme="minorHAnsi" w:cs="TimesBasis"/>
          <w:sz w:val="22"/>
          <w:szCs w:val="22"/>
        </w:rPr>
        <w:t xml:space="preserve">“The Throne Visions of Daniel 7, </w:t>
      </w:r>
      <w:r w:rsidRPr="00A42549">
        <w:rPr>
          <w:rFonts w:eastAsiaTheme="minorHAnsi" w:cs="TimesBasis-Italic"/>
          <w:i/>
          <w:iCs/>
          <w:sz w:val="22"/>
          <w:szCs w:val="22"/>
        </w:rPr>
        <w:t xml:space="preserve">1 Enoch </w:t>
      </w:r>
      <w:r w:rsidRPr="00A42549">
        <w:rPr>
          <w:rFonts w:eastAsiaTheme="minorHAnsi" w:cs="TimesBasis"/>
          <w:sz w:val="22"/>
          <w:szCs w:val="22"/>
        </w:rPr>
        <w:t xml:space="preserve">14, and the Qumran </w:t>
      </w:r>
      <w:r w:rsidRPr="00A42549">
        <w:rPr>
          <w:rFonts w:eastAsiaTheme="minorHAnsi" w:cs="TimesBasis-Italic"/>
          <w:i/>
          <w:iCs/>
          <w:sz w:val="22"/>
          <w:szCs w:val="22"/>
        </w:rPr>
        <w:t xml:space="preserve">Book of Giants </w:t>
      </w:r>
      <w:r w:rsidRPr="00A42549">
        <w:rPr>
          <w:rFonts w:eastAsiaTheme="minorHAnsi" w:cs="TimesBasis"/>
          <w:sz w:val="22"/>
          <w:szCs w:val="22"/>
        </w:rPr>
        <w:t xml:space="preserve">(4Q530)”; </w:t>
      </w:r>
      <w:r w:rsidRPr="00A42549">
        <w:rPr>
          <w:bCs/>
          <w:sz w:val="22"/>
          <w:szCs w:val="22"/>
        </w:rPr>
        <w:t xml:space="preserve">Trotter, </w:t>
      </w:r>
      <w:r w:rsidRPr="00A42549">
        <w:rPr>
          <w:sz w:val="22"/>
          <w:szCs w:val="22"/>
        </w:rPr>
        <w:t>“The Tradition of the Throne Vision”; Kvanvig</w:t>
      </w:r>
      <w:r w:rsidRPr="00A42549">
        <w:rPr>
          <w:b/>
          <w:sz w:val="22"/>
          <w:szCs w:val="22"/>
        </w:rPr>
        <w:t xml:space="preserve">, </w:t>
      </w:r>
      <w:r w:rsidRPr="00A42549">
        <w:rPr>
          <w:sz w:val="22"/>
          <w:szCs w:val="22"/>
        </w:rPr>
        <w:t>“Throne Visions and Monsters.”</w:t>
      </w:r>
    </w:p>
  </w:footnote>
  <w:footnote w:id="33">
    <w:p w:rsidR="00786194" w:rsidRPr="00A42549" w:rsidRDefault="00786194" w:rsidP="006441B0">
      <w:pPr>
        <w:pStyle w:val="FootnoteText"/>
        <w:rPr>
          <w:sz w:val="22"/>
          <w:szCs w:val="22"/>
        </w:rPr>
      </w:pPr>
      <w:r w:rsidRPr="00A42549">
        <w:rPr>
          <w:rStyle w:val="FootnoteReference"/>
          <w:sz w:val="22"/>
          <w:szCs w:val="22"/>
        </w:rPr>
        <w:footnoteRef/>
      </w:r>
      <w:r w:rsidRPr="00A42549">
        <w:rPr>
          <w:sz w:val="22"/>
          <w:szCs w:val="22"/>
        </w:rPr>
        <w:t xml:space="preserve"> This understanding parallels one which has been found in 4Q246 with its verbal links with Dan 7 and its reference to “the Son of God” (see </w:t>
      </w:r>
      <w:r w:rsidRPr="00A42549">
        <w:rPr>
          <w:i/>
          <w:sz w:val="22"/>
          <w:szCs w:val="22"/>
        </w:rPr>
        <w:t xml:space="preserve">DSS </w:t>
      </w:r>
      <w:r w:rsidRPr="00A42549">
        <w:rPr>
          <w:sz w:val="22"/>
          <w:szCs w:val="22"/>
        </w:rPr>
        <w:t xml:space="preserve">2:492-95; Collins, </w:t>
      </w:r>
      <w:r w:rsidRPr="00A42549">
        <w:rPr>
          <w:i/>
          <w:sz w:val="22"/>
          <w:szCs w:val="22"/>
        </w:rPr>
        <w:t>The Scepter and the Star</w:t>
      </w:r>
      <w:r w:rsidRPr="00A42549">
        <w:rPr>
          <w:sz w:val="22"/>
          <w:szCs w:val="22"/>
        </w:rPr>
        <w:t>, 171-214). On Messiah and Son of Man in the apocalypses, see e.g., Koch, “Messias und Menschensohn”; Beyerle, “‘Der mit den Wolken des Himmels kommt.’”</w:t>
      </w:r>
    </w:p>
  </w:footnote>
  <w:footnote w:id="3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McLay, </w:t>
      </w:r>
      <w:r w:rsidRPr="00A42549">
        <w:rPr>
          <w:i/>
          <w:sz w:val="22"/>
          <w:szCs w:val="22"/>
        </w:rPr>
        <w:t>The OG and Th Versions of Daniel</w:t>
      </w:r>
      <w:r w:rsidRPr="00A42549">
        <w:rPr>
          <w:sz w:val="22"/>
          <w:szCs w:val="22"/>
        </w:rPr>
        <w:t>, 146-48.</w:t>
      </w:r>
    </w:p>
  </w:footnote>
  <w:footnote w:id="3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Less incomplete than it used to be: see Cathcart, “Daniel and Chester Beatty-Cologne Papyrus 967.”</w:t>
      </w:r>
    </w:p>
  </w:footnote>
  <w:footnote w:id="36">
    <w:p w:rsidR="00786194" w:rsidRPr="00A42549" w:rsidRDefault="00786194">
      <w:pPr>
        <w:pStyle w:val="FootnoteText"/>
        <w:rPr>
          <w:b/>
          <w:sz w:val="22"/>
          <w:szCs w:val="22"/>
        </w:rPr>
      </w:pPr>
      <w:r w:rsidRPr="00A42549">
        <w:rPr>
          <w:rStyle w:val="FootnoteReference"/>
          <w:sz w:val="22"/>
          <w:szCs w:val="22"/>
        </w:rPr>
        <w:footnoteRef/>
      </w:r>
      <w:r w:rsidRPr="00A42549">
        <w:rPr>
          <w:sz w:val="22"/>
          <w:szCs w:val="22"/>
        </w:rPr>
        <w:t xml:space="preserve"> Cf. Geissen/Hamm, </w:t>
      </w:r>
      <w:r w:rsidRPr="00A42549">
        <w:rPr>
          <w:i/>
          <w:sz w:val="22"/>
          <w:szCs w:val="22"/>
        </w:rPr>
        <w:t>Der Septuaginta-Text des Buches Daniel</w:t>
      </w:r>
      <w:r w:rsidRPr="00A42549">
        <w:rPr>
          <w:sz w:val="22"/>
          <w:szCs w:val="22"/>
        </w:rPr>
        <w:t xml:space="preserve">; Roca-Puig, “Daniele: Due semifogli del codice 967”; Ziegler/Munnich, </w:t>
      </w:r>
      <w:r w:rsidRPr="00A42549">
        <w:rPr>
          <w:i/>
          <w:sz w:val="22"/>
          <w:szCs w:val="22"/>
        </w:rPr>
        <w:t>Susanna – Daniel – Bel et Draco</w:t>
      </w:r>
      <w:r w:rsidRPr="00A42549">
        <w:rPr>
          <w:sz w:val="22"/>
          <w:szCs w:val="22"/>
        </w:rPr>
        <w:t>; and for studies, see e.g., McLay</w:t>
      </w:r>
      <w:r w:rsidRPr="00A42549">
        <w:rPr>
          <w:b/>
          <w:sz w:val="22"/>
          <w:szCs w:val="22"/>
        </w:rPr>
        <w:t xml:space="preserve">, </w:t>
      </w:r>
      <w:r w:rsidRPr="00A42549">
        <w:rPr>
          <w:i/>
          <w:sz w:val="22"/>
          <w:szCs w:val="22"/>
        </w:rPr>
        <w:t>The OG and Th Versions of Daniel</w:t>
      </w:r>
      <w:r w:rsidRPr="00A42549">
        <w:rPr>
          <w:sz w:val="22"/>
          <w:szCs w:val="22"/>
        </w:rPr>
        <w:t xml:space="preserve">; </w:t>
      </w:r>
      <w:r w:rsidRPr="00A42549">
        <w:rPr>
          <w:iCs/>
          <w:sz w:val="22"/>
          <w:szCs w:val="22"/>
        </w:rPr>
        <w:t>Bogaert</w:t>
      </w:r>
      <w:r w:rsidRPr="00A42549">
        <w:rPr>
          <w:b/>
          <w:sz w:val="22"/>
          <w:szCs w:val="22"/>
        </w:rPr>
        <w:t xml:space="preserve">, </w:t>
      </w:r>
      <w:r w:rsidRPr="00A42549">
        <w:rPr>
          <w:sz w:val="22"/>
          <w:szCs w:val="22"/>
        </w:rPr>
        <w:t>“Daniel 3 LXX et son supplément grec.”</w:t>
      </w:r>
      <w:r w:rsidRPr="00A42549">
        <w:rPr>
          <w:b/>
          <w:sz w:val="22"/>
          <w:szCs w:val="22"/>
        </w:rPr>
        <w:t xml:space="preserve"> </w:t>
      </w:r>
    </w:p>
  </w:footnote>
  <w:footnote w:id="37">
    <w:p w:rsidR="00786194" w:rsidRPr="00A42549" w:rsidRDefault="00786194">
      <w:pPr>
        <w:pStyle w:val="FootnoteText"/>
        <w:rPr>
          <w:i/>
          <w:sz w:val="22"/>
          <w:szCs w:val="22"/>
        </w:rPr>
      </w:pPr>
      <w:r w:rsidRPr="00A42549">
        <w:rPr>
          <w:rStyle w:val="FootnoteReference"/>
          <w:sz w:val="22"/>
          <w:szCs w:val="22"/>
        </w:rPr>
        <w:footnoteRef/>
      </w:r>
      <w:r w:rsidRPr="00A42549">
        <w:rPr>
          <w:sz w:val="22"/>
          <w:szCs w:val="22"/>
        </w:rPr>
        <w:t xml:space="preserve"> So e.g., McLay, </w:t>
      </w:r>
      <w:r w:rsidRPr="00A42549">
        <w:rPr>
          <w:i/>
          <w:sz w:val="22"/>
          <w:szCs w:val="22"/>
        </w:rPr>
        <w:t>The OG and Th versions of Daniel</w:t>
      </w:r>
      <w:r w:rsidRPr="00A42549">
        <w:rPr>
          <w:sz w:val="22"/>
          <w:szCs w:val="22"/>
        </w:rPr>
        <w:t>.</w:t>
      </w:r>
      <w:r w:rsidRPr="00A42549">
        <w:rPr>
          <w:i/>
          <w:sz w:val="22"/>
          <w:szCs w:val="22"/>
        </w:rPr>
        <w:t xml:space="preserve"> </w:t>
      </w:r>
    </w:p>
  </w:footnote>
  <w:footnote w:id="3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Tov, “Three Strange Books of the LXX.”</w:t>
      </w:r>
    </w:p>
  </w:footnote>
  <w:footnote w:id="39">
    <w:p w:rsidR="00786194" w:rsidRPr="00A42549" w:rsidRDefault="00786194" w:rsidP="007C6C04">
      <w:pPr>
        <w:pStyle w:val="FootnoteText"/>
        <w:rPr>
          <w:sz w:val="22"/>
          <w:szCs w:val="22"/>
        </w:rPr>
      </w:pPr>
      <w:r w:rsidRPr="00A42549">
        <w:rPr>
          <w:rStyle w:val="FootnoteReference"/>
          <w:sz w:val="22"/>
          <w:szCs w:val="22"/>
        </w:rPr>
        <w:footnoteRef/>
      </w:r>
      <w:r w:rsidRPr="00A42549">
        <w:rPr>
          <w:sz w:val="22"/>
          <w:szCs w:val="22"/>
        </w:rPr>
        <w:t xml:space="preserve"> See Lust, </w:t>
      </w:r>
      <w:r w:rsidRPr="00A42549">
        <w:rPr>
          <w:b/>
          <w:sz w:val="22"/>
          <w:szCs w:val="22"/>
        </w:rPr>
        <w:t>“</w:t>
      </w:r>
      <w:r w:rsidRPr="00A42549">
        <w:rPr>
          <w:sz w:val="22"/>
          <w:szCs w:val="22"/>
        </w:rPr>
        <w:t xml:space="preserve">The Septuagint Version of Daniel 4—5”; Albertz, </w:t>
      </w:r>
      <w:r w:rsidRPr="00A42549">
        <w:rPr>
          <w:i/>
          <w:sz w:val="22"/>
          <w:szCs w:val="22"/>
        </w:rPr>
        <w:t>Der Gott des Daniel</w:t>
      </w:r>
      <w:r w:rsidRPr="00A42549">
        <w:rPr>
          <w:sz w:val="22"/>
          <w:szCs w:val="22"/>
        </w:rPr>
        <w:t xml:space="preserve">; Charles, </w:t>
      </w:r>
      <w:r w:rsidRPr="00A42549">
        <w:rPr>
          <w:i/>
          <w:sz w:val="22"/>
          <w:szCs w:val="22"/>
        </w:rPr>
        <w:t>Daniel</w:t>
      </w:r>
      <w:r w:rsidRPr="00A42549">
        <w:rPr>
          <w:sz w:val="22"/>
          <w:szCs w:val="22"/>
        </w:rPr>
        <w:t>; Meadowcroft</w:t>
      </w:r>
      <w:r w:rsidRPr="00A42549">
        <w:rPr>
          <w:b/>
          <w:sz w:val="22"/>
          <w:szCs w:val="22"/>
        </w:rPr>
        <w:t xml:space="preserve">, </w:t>
      </w:r>
      <w:r w:rsidRPr="00A42549">
        <w:rPr>
          <w:i/>
          <w:sz w:val="22"/>
          <w:szCs w:val="22"/>
        </w:rPr>
        <w:t>Aramic Daniel and Greek Daniel</w:t>
      </w:r>
      <w:r w:rsidRPr="00A42549">
        <w:rPr>
          <w:sz w:val="22"/>
          <w:szCs w:val="22"/>
        </w:rPr>
        <w:t>; Ulrich, “The Parallel Editions of the OG and MT of Daniel 5”; Munnich, “Les versions grecques de Daniel et leurs substrats sémitiques.”</w:t>
      </w:r>
    </w:p>
  </w:footnote>
  <w:footnote w:id="4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also </w:t>
      </w:r>
      <w:r w:rsidRPr="00A42549">
        <w:rPr>
          <w:bCs/>
          <w:sz w:val="22"/>
          <w:szCs w:val="22"/>
        </w:rPr>
        <w:t>Rösel</w:t>
      </w:r>
      <w:r w:rsidRPr="00A42549">
        <w:rPr>
          <w:b/>
          <w:bCs/>
          <w:sz w:val="22"/>
          <w:szCs w:val="22"/>
        </w:rPr>
        <w:t xml:space="preserve">, </w:t>
      </w:r>
      <w:r w:rsidRPr="00A42549">
        <w:rPr>
          <w:bCs/>
          <w:sz w:val="22"/>
          <w:szCs w:val="22"/>
        </w:rPr>
        <w:t xml:space="preserve">“Theology after the Crisis” and </w:t>
      </w:r>
      <w:r w:rsidRPr="00A42549">
        <w:rPr>
          <w:sz w:val="22"/>
          <w:szCs w:val="22"/>
        </w:rPr>
        <w:t>Spangenberg</w:t>
      </w:r>
      <w:r w:rsidRPr="00A42549">
        <w:rPr>
          <w:b/>
          <w:sz w:val="22"/>
          <w:szCs w:val="22"/>
        </w:rPr>
        <w:t xml:space="preserve">, </w:t>
      </w:r>
      <w:r w:rsidRPr="00A42549">
        <w:rPr>
          <w:sz w:val="22"/>
          <w:szCs w:val="22"/>
        </w:rPr>
        <w:t>“The Septuagint Translation of Daniel 9: Does It Reflect a Messianic Interpretation?” (his answer is “No”).</w:t>
      </w:r>
    </w:p>
  </w:footnote>
  <w:footnote w:id="4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the discussion in Di Lella, “Textual History of Septuagint-Daniel and Theodotion-Daniel,” 591; Lust, “Daniel 7, 13 and the Septuagint”; Hofius</w:t>
      </w:r>
      <w:r w:rsidRPr="00A42549">
        <w:rPr>
          <w:b/>
          <w:sz w:val="22"/>
          <w:szCs w:val="22"/>
        </w:rPr>
        <w:t xml:space="preserve">, </w:t>
      </w:r>
      <w:r w:rsidRPr="00A42549">
        <w:rPr>
          <w:sz w:val="22"/>
          <w:szCs w:val="22"/>
        </w:rPr>
        <w:t>“Der Septuaginta-Text von Daniel 7, 13-14.”</w:t>
      </w:r>
    </w:p>
  </w:footnote>
  <w:footnote w:id="4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Ashley, </w:t>
      </w:r>
      <w:r w:rsidRPr="00A42549">
        <w:rPr>
          <w:i/>
          <w:sz w:val="22"/>
          <w:szCs w:val="22"/>
        </w:rPr>
        <w:t>Daniel 1–6</w:t>
      </w:r>
      <w:r w:rsidRPr="00A42549">
        <w:rPr>
          <w:sz w:val="22"/>
          <w:szCs w:val="22"/>
        </w:rPr>
        <w:t xml:space="preserve">, 289–93; cf. Bruce,”The Oldest Greek Version of Daniel”; “Prophetic Interpretation in the Septuagint.” </w:t>
      </w:r>
    </w:p>
  </w:footnote>
  <w:footnote w:id="43">
    <w:p w:rsidR="00786194" w:rsidRPr="00A42549" w:rsidRDefault="00786194" w:rsidP="00F57DB6">
      <w:pPr>
        <w:pStyle w:val="FootnoteText"/>
        <w:rPr>
          <w:sz w:val="22"/>
          <w:szCs w:val="22"/>
        </w:rPr>
      </w:pPr>
      <w:r w:rsidRPr="00A42549">
        <w:rPr>
          <w:rStyle w:val="FootnoteReference"/>
          <w:sz w:val="22"/>
          <w:szCs w:val="22"/>
        </w:rPr>
        <w:footnoteRef/>
      </w:r>
      <w:r w:rsidRPr="00A42549">
        <w:rPr>
          <w:sz w:val="22"/>
          <w:szCs w:val="22"/>
        </w:rPr>
        <w:t xml:space="preserve"> See his</w:t>
      </w:r>
      <w:r w:rsidRPr="00A42549">
        <w:rPr>
          <w:i/>
          <w:sz w:val="22"/>
          <w:szCs w:val="22"/>
        </w:rPr>
        <w:t xml:space="preserve"> Critical and Exegetical Commentary on the Book of Daniel</w:t>
      </w:r>
      <w:r w:rsidRPr="00A42549">
        <w:rPr>
          <w:sz w:val="22"/>
          <w:szCs w:val="22"/>
        </w:rPr>
        <w:t>.</w:t>
      </w:r>
    </w:p>
  </w:footnote>
  <w:footnote w:id="4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
          <w:sz w:val="22"/>
          <w:szCs w:val="22"/>
        </w:rPr>
        <w:t>The OG Text of Daniel 7–12</w:t>
      </w:r>
      <w:r w:rsidRPr="00A42549">
        <w:rPr>
          <w:sz w:val="22"/>
          <w:szCs w:val="22"/>
        </w:rPr>
        <w:t>.</w:t>
      </w:r>
    </w:p>
  </w:footnote>
  <w:footnote w:id="45">
    <w:p w:rsidR="00786194" w:rsidRPr="00A42549" w:rsidRDefault="00786194" w:rsidP="00B81352">
      <w:pPr>
        <w:pStyle w:val="FootnoteText"/>
        <w:rPr>
          <w:sz w:val="22"/>
          <w:szCs w:val="22"/>
        </w:rPr>
      </w:pPr>
      <w:r w:rsidRPr="00A42549">
        <w:rPr>
          <w:rStyle w:val="FootnoteReference"/>
          <w:sz w:val="22"/>
          <w:szCs w:val="22"/>
        </w:rPr>
        <w:footnoteRef/>
      </w:r>
      <w:r w:rsidRPr="00A42549">
        <w:rPr>
          <w:sz w:val="22"/>
          <w:szCs w:val="22"/>
        </w:rPr>
        <w:t xml:space="preserve"> “Les versions grecques de Daniel.” </w:t>
      </w:r>
    </w:p>
  </w:footnote>
  <w:footnote w:id="4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Goldstein, </w:t>
      </w:r>
      <w:r w:rsidRPr="00A42549">
        <w:rPr>
          <w:i/>
          <w:sz w:val="22"/>
          <w:szCs w:val="22"/>
        </w:rPr>
        <w:t>I Maccabees</w:t>
      </w:r>
      <w:r w:rsidRPr="00A42549">
        <w:rPr>
          <w:sz w:val="22"/>
          <w:szCs w:val="22"/>
        </w:rPr>
        <w:t>, 44–54, 119–20</w:t>
      </w:r>
    </w:p>
  </w:footnote>
  <w:footnote w:id="4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Schmitz, “Die Juditerzählung.”</w:t>
      </w:r>
    </w:p>
  </w:footnote>
  <w:footnote w:id="4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PL 28: 1357c (ET 492).</w:t>
      </w:r>
    </w:p>
  </w:footnote>
  <w:footnote w:id="49">
    <w:p w:rsidR="00786194" w:rsidRPr="00A42549" w:rsidRDefault="00786194" w:rsidP="00B95086">
      <w:pPr>
        <w:pStyle w:val="FootnoteText"/>
        <w:rPr>
          <w:sz w:val="22"/>
          <w:szCs w:val="22"/>
        </w:rPr>
      </w:pPr>
      <w:r w:rsidRPr="00A42549">
        <w:rPr>
          <w:rStyle w:val="FootnoteReference"/>
          <w:sz w:val="22"/>
          <w:szCs w:val="22"/>
        </w:rPr>
        <w:footnoteRef/>
      </w:r>
      <w:r w:rsidRPr="00A42549">
        <w:rPr>
          <w:sz w:val="22"/>
          <w:szCs w:val="22"/>
        </w:rPr>
        <w:t xml:space="preserve"> Cf. Barthélemy, </w:t>
      </w:r>
      <w:r w:rsidRPr="00A42549">
        <w:rPr>
          <w:i/>
          <w:sz w:val="22"/>
          <w:szCs w:val="22"/>
        </w:rPr>
        <w:t>Les devanciers d’Aquila</w:t>
      </w:r>
      <w:r w:rsidRPr="00A42549">
        <w:rPr>
          <w:sz w:val="22"/>
          <w:szCs w:val="22"/>
        </w:rPr>
        <w:t xml:space="preserve">; Schmitt, </w:t>
      </w:r>
      <w:r w:rsidRPr="00A42549">
        <w:rPr>
          <w:rStyle w:val="i"/>
          <w:color w:val="auto"/>
          <w:sz w:val="22"/>
          <w:szCs w:val="22"/>
        </w:rPr>
        <w:t>Stammt der sogenannte “</w:t>
      </w:r>
      <w:r w:rsidRPr="00A42549">
        <w:rPr>
          <w:rStyle w:val="grc"/>
          <w:color w:val="auto"/>
          <w:sz w:val="22"/>
          <w:szCs w:val="22"/>
        </w:rPr>
        <w:t>θ</w:t>
      </w:r>
      <w:r w:rsidRPr="00A42549">
        <w:rPr>
          <w:rStyle w:val="i"/>
          <w:color w:val="auto"/>
          <w:sz w:val="22"/>
          <w:szCs w:val="22"/>
        </w:rPr>
        <w:t>”-Text bei Daniel wirklich von Theodotion</w:t>
      </w:r>
      <w:r w:rsidRPr="00A42549">
        <w:rPr>
          <w:sz w:val="22"/>
          <w:szCs w:val="22"/>
        </w:rPr>
        <w:t xml:space="preserve">?; Schmitt, “Die griechischen Danieltexte (‘θ’ und o′) und das Theodotionproblem”; Jellicoe, “Some Reflections on the </w:t>
      </w:r>
      <w:r w:rsidRPr="00A42549">
        <w:rPr>
          <w:sz w:val="22"/>
          <w:szCs w:val="22"/>
          <w:lang w:val="el-GR"/>
        </w:rPr>
        <w:t>κ</w:t>
      </w:r>
      <w:r w:rsidRPr="00A42549">
        <w:rPr>
          <w:sz w:val="22"/>
          <w:szCs w:val="22"/>
        </w:rPr>
        <w:t>αι</w:t>
      </w:r>
      <w:r w:rsidRPr="00A42549">
        <w:rPr>
          <w:sz w:val="22"/>
          <w:szCs w:val="22"/>
          <w:lang w:val="el-GR"/>
        </w:rPr>
        <w:t>γ</w:t>
      </w:r>
      <w:r w:rsidRPr="00A42549">
        <w:rPr>
          <w:sz w:val="22"/>
          <w:szCs w:val="22"/>
        </w:rPr>
        <w:t xml:space="preserve">ε Recension”; Hartman, </w:t>
      </w:r>
      <w:r w:rsidRPr="00A42549">
        <w:rPr>
          <w:i/>
          <w:sz w:val="22"/>
          <w:szCs w:val="22"/>
        </w:rPr>
        <w:t xml:space="preserve">Prophecy Interpreted, </w:t>
      </w:r>
      <w:r w:rsidRPr="00A42549">
        <w:rPr>
          <w:sz w:val="22"/>
          <w:szCs w:val="22"/>
        </w:rPr>
        <w:t xml:space="preserve">76–83; McLay, “Daniel: To the Reader”; McLay, </w:t>
      </w:r>
      <w:r w:rsidRPr="00A42549">
        <w:rPr>
          <w:i/>
          <w:sz w:val="22"/>
          <w:szCs w:val="22"/>
        </w:rPr>
        <w:t>The OG and Th Versions of Daniel</w:t>
      </w:r>
      <w:r w:rsidRPr="00A42549">
        <w:rPr>
          <w:sz w:val="22"/>
          <w:szCs w:val="22"/>
        </w:rPr>
        <w:t>; ———</w:t>
      </w:r>
      <w:r w:rsidRPr="00A42549">
        <w:rPr>
          <w:bCs/>
          <w:sz w:val="22"/>
          <w:szCs w:val="22"/>
        </w:rPr>
        <w:t>, “It’s a Question of Influence: The Theodotion and OG Texts of Daniel”; Swart</w:t>
      </w:r>
      <w:r w:rsidRPr="00A42549">
        <w:rPr>
          <w:b/>
          <w:bCs/>
          <w:sz w:val="22"/>
          <w:szCs w:val="22"/>
        </w:rPr>
        <w:t xml:space="preserve">, </w:t>
      </w:r>
      <w:r w:rsidRPr="00A42549">
        <w:rPr>
          <w:bCs/>
          <w:sz w:val="22"/>
          <w:szCs w:val="22"/>
        </w:rPr>
        <w:t xml:space="preserve">“Divergences between the OG and Th Versions of Daniel 3”; Di Lella, “Textual History of Septuagint-Daniel and Theodotion-Daniel”; Bodenmann, </w:t>
      </w:r>
      <w:r w:rsidRPr="00A42549">
        <w:rPr>
          <w:bCs/>
          <w:i/>
          <w:sz w:val="22"/>
          <w:szCs w:val="22"/>
        </w:rPr>
        <w:t xml:space="preserve">Naissance </w:t>
      </w:r>
      <w:r w:rsidRPr="00A42549">
        <w:rPr>
          <w:bCs/>
          <w:i/>
          <w:iCs/>
          <w:sz w:val="22"/>
          <w:szCs w:val="22"/>
        </w:rPr>
        <w:t>d’une Exégèse</w:t>
      </w:r>
      <w:r w:rsidRPr="00A42549">
        <w:rPr>
          <w:bCs/>
          <w:iCs/>
          <w:sz w:val="22"/>
          <w:szCs w:val="22"/>
        </w:rPr>
        <w:t>, 10-106;</w:t>
      </w:r>
      <w:r w:rsidRPr="00A42549">
        <w:rPr>
          <w:bCs/>
          <w:sz w:val="22"/>
          <w:szCs w:val="22"/>
        </w:rPr>
        <w:t xml:space="preserve"> Tilly, “Die Rezeption des Danielbuches”; Koch, </w:t>
      </w:r>
      <w:r w:rsidRPr="00A42549">
        <w:rPr>
          <w:b/>
          <w:bCs/>
          <w:sz w:val="22"/>
          <w:szCs w:val="22"/>
        </w:rPr>
        <w:t>“</w:t>
      </w:r>
      <w:r w:rsidRPr="00A42549">
        <w:rPr>
          <w:bCs/>
          <w:sz w:val="22"/>
          <w:szCs w:val="22"/>
        </w:rPr>
        <w:t>Die Herkunft der Proto-Theodotion-Übersetzung des Danielbuches”; Kellenberger</w:t>
      </w:r>
      <w:r w:rsidRPr="00A42549">
        <w:rPr>
          <w:b/>
          <w:bCs/>
          <w:sz w:val="22"/>
          <w:szCs w:val="22"/>
        </w:rPr>
        <w:t xml:space="preserve">, </w:t>
      </w:r>
      <w:r w:rsidRPr="00A42549">
        <w:rPr>
          <w:bCs/>
          <w:sz w:val="22"/>
          <w:szCs w:val="22"/>
        </w:rPr>
        <w:t xml:space="preserve">“Textvarianten in den Daniel-Legenden.” See the exchange between Jobes, “Comparative Syntactic Analysis,” McLay, “Syntactic Profiles,” and Jobes, “Karen Jobes Responds to Tim McLay”; McLay, </w:t>
      </w:r>
      <w:r w:rsidRPr="00A42549">
        <w:rPr>
          <w:iCs/>
          <w:sz w:val="22"/>
          <w:szCs w:val="22"/>
        </w:rPr>
        <w:t xml:space="preserve">“The Relationship between the Greek Translations of Daniel 1—3”; </w:t>
      </w:r>
      <w:r w:rsidRPr="00A42549">
        <w:rPr>
          <w:bCs/>
          <w:sz w:val="22"/>
          <w:szCs w:val="22"/>
        </w:rPr>
        <w:t>and the survey in Bledsoe, “The Relationship of the Different Editions of Daniel.”</w:t>
      </w:r>
    </w:p>
  </w:footnote>
  <w:footnote w:id="50">
    <w:p w:rsidR="00786194" w:rsidRPr="00A42549" w:rsidRDefault="00786194" w:rsidP="00D3105A">
      <w:pPr>
        <w:pStyle w:val="FootnoteText"/>
        <w:rPr>
          <w:sz w:val="22"/>
          <w:szCs w:val="22"/>
        </w:rPr>
      </w:pPr>
      <w:r w:rsidRPr="00A42549">
        <w:rPr>
          <w:rStyle w:val="FootnoteReference"/>
          <w:sz w:val="22"/>
          <w:szCs w:val="22"/>
        </w:rPr>
        <w:footnoteRef/>
      </w:r>
      <w:r w:rsidRPr="00A42549">
        <w:rPr>
          <w:sz w:val="22"/>
          <w:szCs w:val="22"/>
        </w:rPr>
        <w:t xml:space="preserve"> Di Lella, “Textual History of Septuagint-Daniel and Theodotion-Daniel,” 604.</w:t>
      </w:r>
    </w:p>
  </w:footnote>
  <w:footnote w:id="5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All dates up to the modern period are approximate even if they look precise.</w:t>
      </w:r>
    </w:p>
  </w:footnote>
  <w:footnote w:id="52">
    <w:p w:rsidR="00786194" w:rsidRPr="00A42549" w:rsidRDefault="00786194" w:rsidP="00C74B41">
      <w:pPr>
        <w:pStyle w:val="FootnoteText"/>
        <w:rPr>
          <w:sz w:val="22"/>
          <w:szCs w:val="22"/>
        </w:rPr>
      </w:pPr>
      <w:r w:rsidRPr="00A42549">
        <w:rPr>
          <w:rStyle w:val="FootnoteReference"/>
          <w:sz w:val="22"/>
          <w:szCs w:val="22"/>
        </w:rPr>
        <w:footnoteRef/>
      </w:r>
      <w:r w:rsidRPr="00A42549">
        <w:rPr>
          <w:sz w:val="22"/>
          <w:szCs w:val="22"/>
        </w:rPr>
        <w:t xml:space="preserve"> See Busto Saiz, “ El texto teodociónico de Daniel y la traducción de Símaco.”</w:t>
      </w:r>
    </w:p>
  </w:footnote>
  <w:footnote w:id="5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Kallarakkal, </w:t>
      </w:r>
      <w:r w:rsidRPr="00A42549">
        <w:rPr>
          <w:i/>
          <w:sz w:val="22"/>
          <w:szCs w:val="22"/>
        </w:rPr>
        <w:t>The Peshitto Version of Daniel</w:t>
      </w:r>
      <w:r w:rsidRPr="00A42549">
        <w:rPr>
          <w:sz w:val="22"/>
          <w:szCs w:val="22"/>
        </w:rPr>
        <w:t xml:space="preserve">; </w:t>
      </w:r>
      <w:r w:rsidRPr="00A42549">
        <w:rPr>
          <w:bCs/>
          <w:sz w:val="22"/>
          <w:szCs w:val="22"/>
        </w:rPr>
        <w:t>Taylor</w:t>
      </w:r>
      <w:r w:rsidRPr="00A42549">
        <w:rPr>
          <w:b/>
          <w:bCs/>
          <w:sz w:val="22"/>
          <w:szCs w:val="22"/>
        </w:rPr>
        <w:t>, “</w:t>
      </w:r>
      <w:r w:rsidRPr="00A42549">
        <w:rPr>
          <w:bCs/>
          <w:sz w:val="22"/>
          <w:szCs w:val="22"/>
        </w:rPr>
        <w:t>The Book of Daniel in the Bible of Edessa”;</w:t>
      </w:r>
      <w:r w:rsidRPr="00A42549">
        <w:rPr>
          <w:sz w:val="22"/>
          <w:szCs w:val="22"/>
        </w:rPr>
        <w:t xml:space="preserve"> ———,</w:t>
      </w:r>
      <w:r w:rsidRPr="00A42549">
        <w:rPr>
          <w:i/>
          <w:sz w:val="22"/>
          <w:szCs w:val="22"/>
        </w:rPr>
        <w:t>The Peshiṭta of Daniel</w:t>
      </w:r>
      <w:r w:rsidRPr="00A42549">
        <w:rPr>
          <w:sz w:val="22"/>
          <w:szCs w:val="22"/>
        </w:rPr>
        <w:t xml:space="preserve">; contrast Wyngarden, </w:t>
      </w:r>
      <w:r w:rsidRPr="00A42549">
        <w:rPr>
          <w:i/>
          <w:sz w:val="22"/>
          <w:szCs w:val="22"/>
        </w:rPr>
        <w:t>Syriac</w:t>
      </w:r>
      <w:r w:rsidRPr="00A42549">
        <w:rPr>
          <w:sz w:val="22"/>
          <w:szCs w:val="22"/>
        </w:rPr>
        <w:t>. See the survey in Jenner, “Syriac Daniel”; he also notes the significance of the liturgical use of Daniel.</w:t>
      </w:r>
    </w:p>
  </w:footnote>
  <w:footnote w:id="54">
    <w:p w:rsidR="00786194" w:rsidRPr="00A42549" w:rsidRDefault="00786194">
      <w:pPr>
        <w:pStyle w:val="FootnoteText"/>
        <w:rPr>
          <w:bCs/>
          <w:sz w:val="22"/>
          <w:szCs w:val="22"/>
        </w:rPr>
      </w:pPr>
      <w:r w:rsidRPr="00A42549">
        <w:rPr>
          <w:rStyle w:val="FootnoteReference"/>
          <w:sz w:val="22"/>
          <w:szCs w:val="22"/>
        </w:rPr>
        <w:footnoteRef/>
      </w:r>
      <w:r w:rsidRPr="00A42549">
        <w:rPr>
          <w:sz w:val="22"/>
          <w:szCs w:val="22"/>
        </w:rPr>
        <w:t xml:space="preserve"> See </w:t>
      </w:r>
      <w:r w:rsidRPr="00A42549">
        <w:rPr>
          <w:bCs/>
          <w:sz w:val="22"/>
          <w:szCs w:val="22"/>
        </w:rPr>
        <w:t>Cowe</w:t>
      </w:r>
      <w:r w:rsidRPr="00A42549">
        <w:rPr>
          <w:b/>
          <w:bCs/>
          <w:sz w:val="22"/>
          <w:szCs w:val="22"/>
        </w:rPr>
        <w:t xml:space="preserve">, </w:t>
      </w:r>
      <w:r w:rsidRPr="00A42549">
        <w:rPr>
          <w:bCs/>
          <w:i/>
          <w:sz w:val="22"/>
          <w:szCs w:val="22"/>
        </w:rPr>
        <w:t>The Armenian Version of Daniel</w:t>
      </w:r>
      <w:r w:rsidRPr="00A42549">
        <w:rPr>
          <w:bCs/>
          <w:sz w:val="22"/>
          <w:szCs w:val="22"/>
        </w:rPr>
        <w:t>; ———</w:t>
      </w:r>
      <w:r w:rsidRPr="00A42549">
        <w:rPr>
          <w:b/>
          <w:bCs/>
          <w:sz w:val="22"/>
          <w:szCs w:val="22"/>
        </w:rPr>
        <w:t>,</w:t>
      </w:r>
      <w:r w:rsidRPr="00A42549">
        <w:rPr>
          <w:bCs/>
          <w:sz w:val="22"/>
          <w:szCs w:val="22"/>
        </w:rPr>
        <w:t>”The Reception of the Book of Daniel in Late Ancient and Medieval Armenian Society.”</w:t>
      </w:r>
    </w:p>
  </w:footnote>
  <w:footnote w:id="55">
    <w:p w:rsidR="00786194" w:rsidRPr="00A42549" w:rsidRDefault="00786194" w:rsidP="00740AB8">
      <w:r w:rsidRPr="00A42549">
        <w:rPr>
          <w:rStyle w:val="FootnoteReference"/>
        </w:rPr>
        <w:footnoteRef/>
      </w:r>
      <w:r w:rsidRPr="00A42549">
        <w:t xml:space="preserve"> See e.g., Black, “Aramaic barnāshā and the ‘Son of Man’”; Yarbro Collins, “The Influence of Daniel on the NT”; Dunn</w:t>
      </w:r>
      <w:r w:rsidRPr="00A42549">
        <w:rPr>
          <w:b/>
        </w:rPr>
        <w:t>,</w:t>
      </w:r>
      <w:r w:rsidRPr="00A42549">
        <w:t xml:space="preserve"> “The Danielic Son of Man in the NT”; </w:t>
      </w:r>
      <w:r w:rsidRPr="00A42549">
        <w:rPr>
          <w:bCs/>
          <w:iCs/>
        </w:rPr>
        <w:t>Koch</w:t>
      </w:r>
      <w:r w:rsidRPr="00A42549">
        <w:rPr>
          <w:b/>
          <w:bCs/>
          <w:iCs/>
        </w:rPr>
        <w:t>,</w:t>
      </w:r>
      <w:r w:rsidRPr="00A42549">
        <w:rPr>
          <w:bCs/>
          <w:iCs/>
        </w:rPr>
        <w:t xml:space="preserve"> “Der ‘Menschensohn’ in Daniel”; Shepherd,</w:t>
      </w:r>
      <w:r w:rsidRPr="00A42549">
        <w:rPr>
          <w:b/>
          <w:bCs/>
          <w:iCs/>
        </w:rPr>
        <w:t xml:space="preserve"> </w:t>
      </w:r>
      <w:r w:rsidRPr="00A42549">
        <w:rPr>
          <w:bCs/>
          <w:iCs/>
        </w:rPr>
        <w:t xml:space="preserve">“Daniel 7:13 and the NT Son of Man”; </w:t>
      </w:r>
      <w:r w:rsidRPr="00A42549">
        <w:t>Müller</w:t>
      </w:r>
      <w:r w:rsidRPr="00A42549">
        <w:rPr>
          <w:b/>
        </w:rPr>
        <w:t xml:space="preserve">, </w:t>
      </w:r>
      <w:r w:rsidRPr="00A42549">
        <w:rPr>
          <w:i/>
        </w:rPr>
        <w:t>The Expression “Son of Man”</w:t>
      </w:r>
      <w:r w:rsidRPr="00A42549">
        <w:rPr>
          <w:b/>
          <w:i/>
        </w:rPr>
        <w:t xml:space="preserve"> </w:t>
      </w:r>
      <w:r w:rsidRPr="00A42549">
        <w:rPr>
          <w:i/>
        </w:rPr>
        <w:t>and the Development of Christology</w:t>
      </w:r>
      <w:r w:rsidRPr="00A42549">
        <w:t>; Snow</w:t>
      </w:r>
      <w:r w:rsidRPr="00A42549">
        <w:rPr>
          <w:b/>
        </w:rPr>
        <w:t xml:space="preserve">, </w:t>
      </w:r>
      <w:r w:rsidRPr="00A42549">
        <w:t xml:space="preserve">“Daniel’s Son of Man in Mark”; </w:t>
      </w:r>
      <w:r w:rsidRPr="00A42549">
        <w:rPr>
          <w:bCs/>
          <w:iCs/>
        </w:rPr>
        <w:t>Hurtado and Owen</w:t>
      </w:r>
      <w:r w:rsidRPr="00A42549">
        <w:rPr>
          <w:b/>
          <w:bCs/>
          <w:iCs/>
        </w:rPr>
        <w:t xml:space="preserve"> </w:t>
      </w:r>
      <w:r w:rsidRPr="00A42549">
        <w:rPr>
          <w:bCs/>
          <w:iCs/>
        </w:rPr>
        <w:t xml:space="preserve">(eds.). </w:t>
      </w:r>
      <w:r w:rsidRPr="00A42549">
        <w:rPr>
          <w:bCs/>
          <w:i/>
          <w:iCs/>
        </w:rPr>
        <w:t xml:space="preserve">Who Is This Son of Man? </w:t>
      </w:r>
      <w:r w:rsidRPr="00A42549">
        <w:rPr>
          <w:bCs/>
          <w:iCs/>
        </w:rPr>
        <w:t>; Casey,</w:t>
      </w:r>
      <w:r w:rsidRPr="00A42549">
        <w:rPr>
          <w:bCs/>
          <w:i/>
          <w:iCs/>
        </w:rPr>
        <w:t xml:space="preserve"> Son of Man</w:t>
      </w:r>
      <w:r w:rsidRPr="00A42549">
        <w:rPr>
          <w:bCs/>
          <w:iCs/>
        </w:rPr>
        <w:t xml:space="preserve">; ———, </w:t>
      </w:r>
      <w:r w:rsidRPr="00A42549">
        <w:rPr>
          <w:bCs/>
          <w:i/>
          <w:iCs/>
        </w:rPr>
        <w:t>The Solution to the “Son of Man” Problem</w:t>
      </w:r>
      <w:r w:rsidRPr="00A42549">
        <w:rPr>
          <w:bCs/>
          <w:iCs/>
        </w:rPr>
        <w:t>; Angel</w:t>
      </w:r>
      <w:r w:rsidRPr="00A42549">
        <w:rPr>
          <w:b/>
          <w:bCs/>
          <w:iCs/>
        </w:rPr>
        <w:t xml:space="preserve">, </w:t>
      </w:r>
      <w:r w:rsidRPr="00A42549">
        <w:rPr>
          <w:bCs/>
          <w:i/>
          <w:iCs/>
        </w:rPr>
        <w:t>Chaos and the Son of Man</w:t>
      </w:r>
      <w:r w:rsidRPr="00A42549">
        <w:rPr>
          <w:bCs/>
          <w:iCs/>
        </w:rPr>
        <w:t>; Meadowcroft</w:t>
      </w:r>
      <w:r w:rsidRPr="00A42549">
        <w:rPr>
          <w:b/>
          <w:bCs/>
          <w:iCs/>
        </w:rPr>
        <w:t xml:space="preserve">, </w:t>
      </w:r>
      <w:r w:rsidRPr="00A42549">
        <w:rPr>
          <w:bCs/>
          <w:iCs/>
        </w:rPr>
        <w:t>“‘One Like a Son of Man’ in the Court of the Foreign King.”</w:t>
      </w:r>
    </w:p>
  </w:footnote>
  <w:footnote w:id="5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Farrer, </w:t>
      </w:r>
      <w:r w:rsidRPr="00A42549">
        <w:rPr>
          <w:i/>
          <w:sz w:val="22"/>
          <w:szCs w:val="22"/>
        </w:rPr>
        <w:t>Mark</w:t>
      </w:r>
      <w:r w:rsidRPr="00A42549">
        <w:rPr>
          <w:sz w:val="22"/>
          <w:szCs w:val="22"/>
        </w:rPr>
        <w:t>, 271–74.</w:t>
      </w:r>
    </w:p>
  </w:footnote>
  <w:footnote w:id="5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Perrin, “The Son of Man in Ancient Judaism and Primitive Christianity”; ———, “The Interpretation of a Biblical Symbol”; Bock, </w:t>
      </w:r>
      <w:r w:rsidRPr="00A42549">
        <w:rPr>
          <w:b/>
          <w:bCs/>
          <w:sz w:val="22"/>
          <w:szCs w:val="22"/>
        </w:rPr>
        <w:t>“</w:t>
      </w:r>
      <w:r w:rsidRPr="00A42549">
        <w:rPr>
          <w:bCs/>
          <w:iCs/>
          <w:sz w:val="22"/>
          <w:szCs w:val="22"/>
        </w:rPr>
        <w:t>Did Jesus Connect Son of Man to Daniel 7?”</w:t>
      </w:r>
      <w:r w:rsidRPr="00A42549">
        <w:rPr>
          <w:sz w:val="22"/>
          <w:szCs w:val="22"/>
        </w:rPr>
        <w:t>; Horbury, “The Messianic Associations of ‘the Son of Man.’”</w:t>
      </w:r>
    </w:p>
  </w:footnote>
  <w:footnote w:id="5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Stuckenbruck, “‘One Like a Son of Man’”; Zacharias, “</w:t>
      </w:r>
      <w:r w:rsidRPr="00A42549">
        <w:rPr>
          <w:bCs/>
          <w:iCs/>
          <w:sz w:val="22"/>
          <w:szCs w:val="22"/>
        </w:rPr>
        <w:t>Old Greek Daniel 7:13-14.”</w:t>
      </w:r>
    </w:p>
  </w:footnote>
  <w:footnote w:id="5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Segal, </w:t>
      </w:r>
      <w:r w:rsidRPr="00A42549">
        <w:rPr>
          <w:i/>
          <w:sz w:val="22"/>
          <w:szCs w:val="22"/>
        </w:rPr>
        <w:t>Two Powers in Heaven</w:t>
      </w:r>
      <w:r w:rsidRPr="00A42549">
        <w:rPr>
          <w:sz w:val="22"/>
          <w:szCs w:val="22"/>
        </w:rPr>
        <w:t xml:space="preserve">; </w:t>
      </w:r>
      <w:r w:rsidRPr="00A42549">
        <w:rPr>
          <w:bCs/>
          <w:sz w:val="22"/>
          <w:szCs w:val="22"/>
        </w:rPr>
        <w:t>Schäfer</w:t>
      </w:r>
      <w:r w:rsidRPr="00A42549">
        <w:rPr>
          <w:b/>
          <w:bCs/>
          <w:sz w:val="22"/>
          <w:szCs w:val="22"/>
        </w:rPr>
        <w:t xml:space="preserve">, </w:t>
      </w:r>
      <w:r w:rsidRPr="00A42549">
        <w:rPr>
          <w:bCs/>
          <w:i/>
          <w:sz w:val="22"/>
          <w:szCs w:val="22"/>
        </w:rPr>
        <w:t>The Jewish Jesus</w:t>
      </w:r>
      <w:r w:rsidRPr="00A42549">
        <w:rPr>
          <w:bCs/>
          <w:sz w:val="22"/>
          <w:szCs w:val="22"/>
        </w:rPr>
        <w:t>; Boyarin, “Beyond Judaisms.”</w:t>
      </w:r>
    </w:p>
  </w:footnote>
  <w:footnote w:id="6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Boyarin, </w:t>
      </w:r>
      <w:r w:rsidRPr="00A42549">
        <w:rPr>
          <w:b/>
          <w:sz w:val="22"/>
          <w:szCs w:val="22"/>
        </w:rPr>
        <w:t>“</w:t>
      </w:r>
      <w:r w:rsidRPr="00A42549">
        <w:rPr>
          <w:sz w:val="22"/>
          <w:szCs w:val="22"/>
        </w:rPr>
        <w:t>Daniel 7, Intertextuality, and the History of Israel’s Cult.”</w:t>
      </w:r>
    </w:p>
  </w:footnote>
  <w:footnote w:id="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Yarbro Collins, “The Influence of Daniel on the NT,” 90.</w:t>
      </w:r>
    </w:p>
  </w:footnote>
  <w:footnote w:id="6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Wright, </w:t>
      </w:r>
      <w:r w:rsidRPr="00A42549">
        <w:rPr>
          <w:i/>
          <w:sz w:val="22"/>
          <w:szCs w:val="22"/>
        </w:rPr>
        <w:t>Paul and the Faithfulness of God</w:t>
      </w:r>
      <w:r w:rsidRPr="00A42549">
        <w:rPr>
          <w:sz w:val="22"/>
          <w:szCs w:val="22"/>
        </w:rPr>
        <w:t>, 75-196.</w:t>
      </w:r>
    </w:p>
  </w:footnote>
  <w:footnote w:id="6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Käsemann, “Die Anfänge christlicher Theologie,” 180; Adler, “Introduction,” to VanderKam/Adler (eds.),</w:t>
      </w:r>
      <w:r w:rsidRPr="00A42549">
        <w:rPr>
          <w:b/>
          <w:sz w:val="22"/>
          <w:szCs w:val="22"/>
        </w:rPr>
        <w:t xml:space="preserve"> </w:t>
      </w:r>
      <w:r w:rsidRPr="00A42549">
        <w:rPr>
          <w:i/>
          <w:sz w:val="22"/>
          <w:szCs w:val="22"/>
        </w:rPr>
        <w:t>The Jewish Apocalyptic Heritage in Early Christianity</w:t>
      </w:r>
      <w:r w:rsidRPr="00A42549">
        <w:rPr>
          <w:sz w:val="22"/>
          <w:szCs w:val="22"/>
        </w:rPr>
        <w:t>, 1-7.</w:t>
      </w:r>
    </w:p>
  </w:footnote>
  <w:footnote w:id="64">
    <w:p w:rsidR="00786194" w:rsidRPr="00A42549" w:rsidRDefault="00786194" w:rsidP="00262907">
      <w:pPr>
        <w:pStyle w:val="FootnoteText"/>
        <w:rPr>
          <w:b/>
          <w:sz w:val="22"/>
          <w:szCs w:val="22"/>
        </w:rPr>
      </w:pPr>
      <w:r w:rsidRPr="00A42549">
        <w:rPr>
          <w:rStyle w:val="FootnoteReference"/>
          <w:sz w:val="22"/>
          <w:szCs w:val="22"/>
        </w:rPr>
        <w:footnoteRef/>
      </w:r>
      <w:r w:rsidRPr="00A42549">
        <w:rPr>
          <w:sz w:val="22"/>
          <w:szCs w:val="22"/>
        </w:rPr>
        <w:t xml:space="preserve"> P. W. Flint in Smith-Christopher</w:t>
      </w:r>
      <w:r w:rsidRPr="00A42549">
        <w:rPr>
          <w:b/>
          <w:sz w:val="22"/>
          <w:szCs w:val="22"/>
        </w:rPr>
        <w:t xml:space="preserve"> </w:t>
      </w:r>
      <w:r w:rsidRPr="00A42549">
        <w:rPr>
          <w:sz w:val="22"/>
          <w:szCs w:val="22"/>
        </w:rPr>
        <w:t>et al., “Daniel (Book and Person),” 99; cf. Wenham, “The Kingdom of God and Daniel”; Evans, “Daniel in the NT.”</w:t>
      </w:r>
    </w:p>
  </w:footnote>
  <w:footnote w:id="6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Laurentin, </w:t>
      </w:r>
      <w:r w:rsidRPr="00A42549">
        <w:rPr>
          <w:i/>
          <w:sz w:val="22"/>
          <w:szCs w:val="22"/>
        </w:rPr>
        <w:t>Luc</w:t>
      </w:r>
      <w:r w:rsidRPr="00A42549">
        <w:rPr>
          <w:sz w:val="22"/>
          <w:szCs w:val="22"/>
        </w:rPr>
        <w:t xml:space="preserve">, 45–63, following Burrows, </w:t>
      </w:r>
      <w:r w:rsidRPr="00A42549">
        <w:rPr>
          <w:i/>
          <w:sz w:val="22"/>
          <w:szCs w:val="22"/>
        </w:rPr>
        <w:t>Gospel of the Infancy</w:t>
      </w:r>
      <w:r w:rsidRPr="00A42549">
        <w:rPr>
          <w:sz w:val="22"/>
          <w:szCs w:val="22"/>
        </w:rPr>
        <w:t>, 41–42.</w:t>
      </w:r>
    </w:p>
  </w:footnote>
  <w:footnote w:id="6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Schreiner, “Peter the Rock.”</w:t>
      </w:r>
    </w:p>
  </w:footnote>
  <w:footnote w:id="6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Hartman, </w:t>
      </w:r>
      <w:r w:rsidRPr="00A42549">
        <w:rPr>
          <w:i/>
          <w:sz w:val="22"/>
          <w:szCs w:val="22"/>
        </w:rPr>
        <w:t>Prophecy Interpreted</w:t>
      </w:r>
      <w:r w:rsidRPr="00A42549">
        <w:rPr>
          <w:sz w:val="22"/>
          <w:szCs w:val="22"/>
        </w:rPr>
        <w:t xml:space="preserve">, 158; see table, 172–74; cf. Gundry, OT </w:t>
      </w:r>
      <w:r w:rsidRPr="00A42549">
        <w:rPr>
          <w:i/>
          <w:sz w:val="22"/>
          <w:szCs w:val="22"/>
        </w:rPr>
        <w:t>in Matthew</w:t>
      </w:r>
      <w:r w:rsidRPr="00A42549">
        <w:rPr>
          <w:sz w:val="22"/>
          <w:szCs w:val="22"/>
        </w:rPr>
        <w:t xml:space="preserve">; du Toit, “Die Danielrezeption in Markus 13.” </w:t>
      </w:r>
      <w:r w:rsidRPr="00A42549">
        <w:rPr>
          <w:bCs/>
          <w:sz w:val="22"/>
          <w:szCs w:val="22"/>
        </w:rPr>
        <w:t>Theophilos (</w:t>
      </w:r>
      <w:r w:rsidRPr="00A42549">
        <w:rPr>
          <w:bCs/>
          <w:i/>
          <w:iCs/>
          <w:sz w:val="22"/>
          <w:szCs w:val="22"/>
        </w:rPr>
        <w:t>The Abomination ofDesolation in Matthew 24</w:t>
      </w:r>
      <w:r w:rsidRPr="00A42549">
        <w:rPr>
          <w:bCs/>
          <w:iCs/>
          <w:sz w:val="22"/>
          <w:szCs w:val="22"/>
        </w:rPr>
        <w:t>) suggests that, ironically, the desolating sacrilege which originally referred to an Israelite abomination and then to the action of Antiochus now applies again to the action of the people of God.</w:t>
      </w:r>
    </w:p>
  </w:footnote>
  <w:footnote w:id="6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Grimm in Betz</w:t>
      </w:r>
      <w:r w:rsidRPr="00A42549">
        <w:rPr>
          <w:b/>
          <w:sz w:val="22"/>
          <w:szCs w:val="22"/>
        </w:rPr>
        <w:t>/</w:t>
      </w:r>
      <w:r w:rsidRPr="00A42549">
        <w:rPr>
          <w:sz w:val="22"/>
          <w:szCs w:val="22"/>
        </w:rPr>
        <w:t>Grimm</w:t>
      </w:r>
      <w:r w:rsidRPr="00A42549">
        <w:rPr>
          <w:b/>
          <w:sz w:val="22"/>
          <w:szCs w:val="22"/>
        </w:rPr>
        <w:t>,</w:t>
      </w:r>
      <w:r w:rsidRPr="00A42549">
        <w:rPr>
          <w:sz w:val="22"/>
          <w:szCs w:val="22"/>
        </w:rPr>
        <w:t xml:space="preserve"> </w:t>
      </w:r>
      <w:r w:rsidRPr="00A42549">
        <w:rPr>
          <w:i/>
          <w:sz w:val="22"/>
          <w:szCs w:val="22"/>
        </w:rPr>
        <w:t>Jesus und das Danielbuch.</w:t>
      </w:r>
    </w:p>
  </w:footnote>
  <w:footnote w:id="6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Betz in Betz</w:t>
      </w:r>
      <w:r w:rsidRPr="00A42549">
        <w:rPr>
          <w:b/>
          <w:sz w:val="22"/>
          <w:szCs w:val="22"/>
        </w:rPr>
        <w:t>/</w:t>
      </w:r>
      <w:r w:rsidRPr="00A42549">
        <w:rPr>
          <w:sz w:val="22"/>
          <w:szCs w:val="22"/>
        </w:rPr>
        <w:t>Grimm</w:t>
      </w:r>
      <w:r w:rsidRPr="00A42549">
        <w:rPr>
          <w:b/>
          <w:sz w:val="22"/>
          <w:szCs w:val="22"/>
        </w:rPr>
        <w:t>,</w:t>
      </w:r>
      <w:r w:rsidRPr="00A42549">
        <w:rPr>
          <w:sz w:val="22"/>
          <w:szCs w:val="22"/>
        </w:rPr>
        <w:t xml:space="preserve"> </w:t>
      </w:r>
      <w:r w:rsidRPr="00A42549">
        <w:rPr>
          <w:i/>
          <w:sz w:val="22"/>
          <w:szCs w:val="22"/>
        </w:rPr>
        <w:t>Jesus und das Danielbuch</w:t>
      </w:r>
      <w:r w:rsidRPr="00A42549">
        <w:rPr>
          <w:sz w:val="22"/>
          <w:szCs w:val="22"/>
        </w:rPr>
        <w:t>, 121–43.</w:t>
      </w:r>
    </w:p>
  </w:footnote>
  <w:footnote w:id="7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Beale, </w:t>
      </w:r>
      <w:r w:rsidRPr="00A42549">
        <w:rPr>
          <w:i/>
          <w:sz w:val="22"/>
          <w:szCs w:val="22"/>
        </w:rPr>
        <w:t>Use of Daniel</w:t>
      </w:r>
      <w:r w:rsidRPr="00A42549">
        <w:rPr>
          <w:sz w:val="22"/>
          <w:szCs w:val="22"/>
        </w:rPr>
        <w:t xml:space="preserve">, 154–305; </w:t>
      </w:r>
      <w:r w:rsidRPr="00A42549">
        <w:rPr>
          <w:bCs/>
          <w:sz w:val="22"/>
          <w:szCs w:val="22"/>
        </w:rPr>
        <w:t>Sims</w:t>
      </w:r>
      <w:r w:rsidRPr="00A42549">
        <w:rPr>
          <w:b/>
          <w:bCs/>
          <w:sz w:val="22"/>
          <w:szCs w:val="22"/>
        </w:rPr>
        <w:t xml:space="preserve">, </w:t>
      </w:r>
      <w:r w:rsidRPr="00A42549">
        <w:rPr>
          <w:bCs/>
          <w:i/>
          <w:sz w:val="22"/>
          <w:szCs w:val="22"/>
        </w:rPr>
        <w:t>Comparative Literary</w:t>
      </w:r>
      <w:r w:rsidRPr="00A42549">
        <w:rPr>
          <w:bCs/>
          <w:sz w:val="22"/>
          <w:szCs w:val="22"/>
        </w:rPr>
        <w:t xml:space="preserve"> </w:t>
      </w:r>
      <w:r w:rsidRPr="00A42549">
        <w:rPr>
          <w:bCs/>
          <w:i/>
          <w:sz w:val="22"/>
          <w:szCs w:val="22"/>
        </w:rPr>
        <w:t>Study of Daniel and Revelation</w:t>
      </w:r>
      <w:r w:rsidRPr="00A42549">
        <w:rPr>
          <w:bCs/>
          <w:sz w:val="22"/>
          <w:szCs w:val="22"/>
        </w:rPr>
        <w:t>.</w:t>
      </w:r>
    </w:p>
  </w:footnote>
  <w:footnote w:id="7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Hieke, “The Reception of Daniel 7 in the Revelation to John.”</w:t>
      </w:r>
    </w:p>
  </w:footnote>
  <w:footnote w:id="72">
    <w:p w:rsidR="00786194" w:rsidRPr="00A42549" w:rsidRDefault="00786194">
      <w:pPr>
        <w:pStyle w:val="FootnoteText"/>
        <w:rPr>
          <w:bCs/>
          <w:sz w:val="22"/>
          <w:szCs w:val="22"/>
        </w:rPr>
      </w:pPr>
      <w:r w:rsidRPr="00A42549">
        <w:rPr>
          <w:rStyle w:val="FootnoteReference"/>
          <w:sz w:val="22"/>
          <w:szCs w:val="22"/>
        </w:rPr>
        <w:footnoteRef/>
      </w:r>
      <w:r w:rsidRPr="00A42549">
        <w:rPr>
          <w:sz w:val="22"/>
          <w:szCs w:val="22"/>
        </w:rPr>
        <w:t xml:space="preserve"> </w:t>
      </w:r>
      <w:r w:rsidRPr="00A42549">
        <w:rPr>
          <w:bCs/>
          <w:sz w:val="22"/>
          <w:szCs w:val="22"/>
        </w:rPr>
        <w:t>Van Henten, “The Reception of Daniel 3 and 6 and the Maccabean Martyrdoms in Hebrews 11:33-38”; more broadly, van Henten ,</w:t>
      </w:r>
      <w:r w:rsidRPr="00A42549">
        <w:rPr>
          <w:b/>
          <w:bCs/>
          <w:sz w:val="22"/>
          <w:szCs w:val="22"/>
        </w:rPr>
        <w:t xml:space="preserve"> </w:t>
      </w:r>
      <w:r w:rsidRPr="00A42549">
        <w:rPr>
          <w:bCs/>
          <w:sz w:val="22"/>
          <w:szCs w:val="22"/>
        </w:rPr>
        <w:t xml:space="preserve">“Daniel 3 and 6 in Early Christian Literature,” in Collins/Flint (eds.), </w:t>
      </w:r>
      <w:r w:rsidRPr="00A42549">
        <w:rPr>
          <w:bCs/>
          <w:i/>
          <w:sz w:val="22"/>
          <w:szCs w:val="22"/>
        </w:rPr>
        <w:t>The Book of Daniel</w:t>
      </w:r>
      <w:r w:rsidRPr="00A42549">
        <w:rPr>
          <w:bCs/>
          <w:sz w:val="22"/>
          <w:szCs w:val="22"/>
        </w:rPr>
        <w:t xml:space="preserve"> 1:149-69.</w:t>
      </w:r>
    </w:p>
  </w:footnote>
  <w:footnote w:id="7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Beale</w:t>
      </w:r>
      <w:r w:rsidRPr="00A42549">
        <w:rPr>
          <w:b/>
          <w:sz w:val="22"/>
          <w:szCs w:val="22"/>
        </w:rPr>
        <w:t xml:space="preserve">, </w:t>
      </w:r>
      <w:r w:rsidRPr="00A42549">
        <w:rPr>
          <w:sz w:val="22"/>
          <w:szCs w:val="22"/>
        </w:rPr>
        <w:t>“The OT Background of the ‘Last Hour’ in 1 John2,18.”</w:t>
      </w:r>
    </w:p>
  </w:footnote>
  <w:footnote w:id="7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Munoa III,</w:t>
      </w:r>
      <w:r w:rsidRPr="00A42549">
        <w:rPr>
          <w:b/>
          <w:sz w:val="22"/>
          <w:szCs w:val="22"/>
        </w:rPr>
        <w:t xml:space="preserve"> </w:t>
      </w:r>
      <w:r w:rsidRPr="00A42549">
        <w:rPr>
          <w:i/>
          <w:sz w:val="22"/>
          <w:szCs w:val="22"/>
        </w:rPr>
        <w:t>Four Powers in Heaven</w:t>
      </w:r>
      <w:r w:rsidRPr="00A42549">
        <w:rPr>
          <w:sz w:val="22"/>
          <w:szCs w:val="22"/>
        </w:rPr>
        <w:t>.</w:t>
      </w:r>
    </w:p>
  </w:footnote>
  <w:footnote w:id="7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Kee, “‘The Man’ in Fourth Ezra,” 203; Lacocque, “The Vision of the Eagle in 4 Esdras,” 237.</w:t>
      </w:r>
    </w:p>
  </w:footnote>
  <w:footnote w:id="76">
    <w:p w:rsidR="00786194" w:rsidRPr="00A42549" w:rsidRDefault="00786194" w:rsidP="009D2ED0">
      <w:pPr>
        <w:pStyle w:val="FootnoteText"/>
        <w:rPr>
          <w:sz w:val="22"/>
          <w:szCs w:val="22"/>
        </w:rPr>
      </w:pPr>
      <w:r w:rsidRPr="00A42549">
        <w:rPr>
          <w:rStyle w:val="FootnoteReference"/>
          <w:sz w:val="22"/>
          <w:szCs w:val="22"/>
        </w:rPr>
        <w:footnoteRef/>
      </w:r>
      <w:r w:rsidRPr="00A42549">
        <w:rPr>
          <w:sz w:val="22"/>
          <w:szCs w:val="22"/>
        </w:rPr>
        <w:t xml:space="preserve"> See Koch, “Die jüdische und </w:t>
      </w:r>
      <w:r w:rsidRPr="00A42549">
        <w:rPr>
          <w:iCs/>
          <w:sz w:val="22"/>
          <w:szCs w:val="22"/>
        </w:rPr>
        <w:t>christliche Kanonisierung</w:t>
      </w:r>
      <w:r w:rsidRPr="00A42549">
        <w:rPr>
          <w:sz w:val="22"/>
          <w:szCs w:val="22"/>
        </w:rPr>
        <w:t xml:space="preserve"> des Danielbuchs als Rezeption unter verändertem geschichtlichen Horizont.”</w:t>
      </w:r>
    </w:p>
  </w:footnote>
  <w:footnote w:id="77">
    <w:p w:rsidR="00786194" w:rsidRPr="00A42549" w:rsidRDefault="00786194" w:rsidP="00544532">
      <w:pPr>
        <w:pStyle w:val="FootnoteText"/>
        <w:rPr>
          <w:sz w:val="22"/>
          <w:szCs w:val="22"/>
        </w:rPr>
      </w:pPr>
      <w:r w:rsidRPr="00A42549">
        <w:rPr>
          <w:rStyle w:val="FootnoteReference"/>
          <w:sz w:val="22"/>
          <w:szCs w:val="22"/>
        </w:rPr>
        <w:footnoteRef/>
      </w:r>
      <w:r w:rsidRPr="00A42549">
        <w:rPr>
          <w:sz w:val="22"/>
          <w:szCs w:val="22"/>
        </w:rPr>
        <w:t xml:space="preserve"> See Glessmer, “Die ‘Vier Reiche’ aus Daniel in der targumische Literatur.”</w:t>
      </w:r>
    </w:p>
  </w:footnote>
  <w:footnote w:id="7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Bietenhard, “Menschensohn.”</w:t>
      </w:r>
    </w:p>
  </w:footnote>
  <w:footnote w:id="7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Beale, </w:t>
      </w:r>
      <w:r w:rsidRPr="00A42549">
        <w:rPr>
          <w:i/>
          <w:sz w:val="22"/>
          <w:szCs w:val="22"/>
        </w:rPr>
        <w:t>Use of Daniel</w:t>
      </w:r>
      <w:r w:rsidRPr="00A42549">
        <w:rPr>
          <w:sz w:val="22"/>
          <w:szCs w:val="22"/>
        </w:rPr>
        <w:t>, 131–39. On interpretations of the stone, see Pfandl</w:t>
      </w:r>
      <w:r w:rsidRPr="00A42549">
        <w:rPr>
          <w:b/>
          <w:sz w:val="22"/>
          <w:szCs w:val="22"/>
        </w:rPr>
        <w:t>,</w:t>
      </w:r>
      <w:r w:rsidRPr="00A42549">
        <w:rPr>
          <w:b/>
          <w:i/>
          <w:sz w:val="22"/>
          <w:szCs w:val="22"/>
        </w:rPr>
        <w:t xml:space="preserve"> </w:t>
      </w:r>
      <w:r w:rsidRPr="00A42549">
        <w:rPr>
          <w:sz w:val="22"/>
          <w:szCs w:val="22"/>
        </w:rPr>
        <w:t>“Interpretations of the Kingdom of God in Dan 2:44.”</w:t>
      </w:r>
    </w:p>
  </w:footnote>
  <w:footnote w:id="8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Bruce, “Josephus and Daniel”; Daube, “Typology in Josephus,” 28–33; Satran, “Daniel,” 36–39; Vermes</w:t>
      </w:r>
      <w:r w:rsidRPr="00A42549">
        <w:rPr>
          <w:b/>
          <w:sz w:val="22"/>
          <w:szCs w:val="22"/>
        </w:rPr>
        <w:t xml:space="preserve">, </w:t>
      </w:r>
      <w:r w:rsidRPr="00A42549">
        <w:rPr>
          <w:sz w:val="22"/>
          <w:szCs w:val="22"/>
        </w:rPr>
        <w:t>“Josephus’ Treatment of the Book of Daniel”; Gnuse</w:t>
      </w:r>
      <w:r w:rsidRPr="00A42549">
        <w:rPr>
          <w:b/>
          <w:sz w:val="22"/>
          <w:szCs w:val="22"/>
        </w:rPr>
        <w:t xml:space="preserve">, </w:t>
      </w:r>
      <w:r w:rsidRPr="00A42549">
        <w:rPr>
          <w:sz w:val="22"/>
          <w:szCs w:val="22"/>
        </w:rPr>
        <w:t>“The Jewish Dream Interpreter in a Foreign Court”; Feldman</w:t>
      </w:r>
      <w:r w:rsidRPr="00A42549">
        <w:rPr>
          <w:b/>
          <w:sz w:val="22"/>
          <w:szCs w:val="22"/>
        </w:rPr>
        <w:t xml:space="preserve">, </w:t>
      </w:r>
      <w:r w:rsidRPr="00A42549">
        <w:rPr>
          <w:sz w:val="22"/>
          <w:szCs w:val="22"/>
        </w:rPr>
        <w:t>“Josephus' Portrait of Daniel”; Begg, “Daniel and Josephus”; Höffken</w:t>
      </w:r>
      <w:r w:rsidRPr="00A42549">
        <w:rPr>
          <w:b/>
          <w:sz w:val="22"/>
          <w:szCs w:val="22"/>
        </w:rPr>
        <w:t>,</w:t>
      </w:r>
      <w:r w:rsidRPr="00A42549">
        <w:rPr>
          <w:sz w:val="22"/>
          <w:szCs w:val="22"/>
        </w:rPr>
        <w:t xml:space="preserve"> “Eine Reichsteilung bei Josephus Flavius.”</w:t>
      </w:r>
    </w:p>
  </w:footnote>
  <w:footnote w:id="8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Mason, “Josephus, Daniel, and the Flavian House,” 190.</w:t>
      </w:r>
    </w:p>
  </w:footnote>
  <w:footnote w:id="8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this aspect of Josephus, see Fischer, </w:t>
      </w:r>
      <w:r w:rsidRPr="00A42549">
        <w:rPr>
          <w:i/>
          <w:sz w:val="22"/>
          <w:szCs w:val="22"/>
        </w:rPr>
        <w:t>Eschatologie und Jenseitserwartung im hellenistischen Diasporajudentum</w:t>
      </w:r>
      <w:r w:rsidRPr="00A42549">
        <w:rPr>
          <w:sz w:val="22"/>
          <w:szCs w:val="22"/>
        </w:rPr>
        <w:t>, 180–83; Dexinger, “Ein ‘messianisches Szenarium’ als Gemeingut des Judentums in nachherodianischer Zeit?” 265.</w:t>
      </w:r>
    </w:p>
  </w:footnote>
  <w:footnote w:id="8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Wilson, </w:t>
      </w:r>
      <w:r w:rsidRPr="00A42549">
        <w:rPr>
          <w:i/>
          <w:sz w:val="22"/>
          <w:szCs w:val="22"/>
        </w:rPr>
        <w:t xml:space="preserve">Studies in the Book of Daniel </w:t>
      </w:r>
      <w:r w:rsidRPr="00A42549">
        <w:rPr>
          <w:sz w:val="22"/>
          <w:szCs w:val="22"/>
        </w:rPr>
        <w:t xml:space="preserve">2:9–64; Audet, “A Hebrew-Aramaic List of Books of the OT in Greek Transcription,” 145–46; Koch, “Is Daniel Also among the Prophets?”; </w:t>
      </w:r>
      <w:r w:rsidRPr="00A42549">
        <w:rPr>
          <w:bCs/>
          <w:sz w:val="22"/>
          <w:szCs w:val="22"/>
        </w:rPr>
        <w:t>Finley, “The Book of Daniel in the Canon of Scripture”;</w:t>
      </w:r>
      <w:r w:rsidRPr="00A42549">
        <w:rPr>
          <w:sz w:val="22"/>
          <w:szCs w:val="22"/>
        </w:rPr>
        <w:t xml:space="preserve"> </w:t>
      </w:r>
      <w:r w:rsidRPr="00A42549">
        <w:rPr>
          <w:bCs/>
          <w:sz w:val="22"/>
          <w:szCs w:val="22"/>
        </w:rPr>
        <w:t>Warhurst</w:t>
      </w:r>
      <w:r w:rsidRPr="00A42549">
        <w:rPr>
          <w:b/>
          <w:bCs/>
          <w:sz w:val="22"/>
          <w:szCs w:val="22"/>
        </w:rPr>
        <w:t xml:space="preserve">, </w:t>
      </w:r>
      <w:r w:rsidRPr="00A42549">
        <w:rPr>
          <w:bCs/>
          <w:sz w:val="22"/>
          <w:szCs w:val="22"/>
        </w:rPr>
        <w:t xml:space="preserve">“The Associative Effects of Daniel in the Writings.” </w:t>
      </w:r>
    </w:p>
  </w:footnote>
  <w:footnote w:id="8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Milán, “</w:t>
      </w:r>
      <w:r w:rsidRPr="00A42549">
        <w:rPr>
          <w:rFonts w:eastAsia="ArialMT" w:cs="ArialMT"/>
          <w:sz w:val="22"/>
          <w:szCs w:val="22"/>
        </w:rPr>
        <w:t xml:space="preserve">¿Un Daniel </w:t>
      </w:r>
      <w:r w:rsidRPr="00A42549">
        <w:rPr>
          <w:rFonts w:eastAsia="ArialMT" w:cs="TimesNewRomanPS-ItalicMT"/>
          <w:i/>
          <w:iCs/>
          <w:sz w:val="22"/>
          <w:szCs w:val="22"/>
        </w:rPr>
        <w:t xml:space="preserve">polifónico?” </w:t>
      </w:r>
    </w:p>
  </w:footnote>
  <w:footnote w:id="8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It is the work of Samuel Masnuth, usually dated in the thirteenth century: see e.g., Ferch, </w:t>
      </w:r>
      <w:r w:rsidRPr="00A42549">
        <w:rPr>
          <w:i/>
          <w:iCs/>
          <w:sz w:val="22"/>
          <w:szCs w:val="22"/>
        </w:rPr>
        <w:t>The Apocalyptic “Son of Man</w:t>
      </w:r>
      <w:r w:rsidRPr="00A42549">
        <w:rPr>
          <w:iCs/>
          <w:sz w:val="22"/>
          <w:szCs w:val="22"/>
        </w:rPr>
        <w:t xml:space="preserve">,” 11. </w:t>
      </w:r>
    </w:p>
  </w:footnote>
  <w:footnote w:id="86">
    <w:p w:rsidR="00786194" w:rsidRPr="00A42549" w:rsidRDefault="00786194" w:rsidP="00731A5A">
      <w:pPr>
        <w:pStyle w:val="FootnoteText"/>
        <w:rPr>
          <w:sz w:val="22"/>
          <w:szCs w:val="22"/>
        </w:rPr>
      </w:pPr>
      <w:r w:rsidRPr="00A42549">
        <w:rPr>
          <w:rStyle w:val="FootnoteReference"/>
          <w:sz w:val="22"/>
          <w:szCs w:val="22"/>
        </w:rPr>
        <w:footnoteRef/>
      </w:r>
      <w:r w:rsidRPr="00A42549">
        <w:rPr>
          <w:sz w:val="22"/>
          <w:szCs w:val="22"/>
        </w:rPr>
        <w:t xml:space="preserve"> See Moskowitz, N.</w:t>
      </w:r>
      <w:r w:rsidRPr="00A42549">
        <w:rPr>
          <w:b/>
          <w:sz w:val="22"/>
          <w:szCs w:val="22"/>
        </w:rPr>
        <w:t xml:space="preserve"> </w:t>
      </w:r>
      <w:r w:rsidRPr="00A42549">
        <w:rPr>
          <w:sz w:val="22"/>
          <w:szCs w:val="22"/>
        </w:rPr>
        <w:t xml:space="preserve">“The Book of Daniel,” 175-82. The painting expressing the themes of Daniel, to which the article refers, is accessible at </w:t>
      </w:r>
      <w:hyperlink r:id="rId1" w:history="1">
        <w:r w:rsidRPr="00A42549">
          <w:rPr>
            <w:rStyle w:val="Hyperlink"/>
            <w:sz w:val="22"/>
            <w:szCs w:val="22"/>
          </w:rPr>
          <w:t>http://www.nahumhalevi.com/BookofDaniel.html</w:t>
        </w:r>
      </w:hyperlink>
      <w:r w:rsidRPr="00A42549">
        <w:rPr>
          <w:sz w:val="22"/>
          <w:szCs w:val="22"/>
        </w:rPr>
        <w:t xml:space="preserve">. </w:t>
      </w:r>
    </w:p>
  </w:footnote>
  <w:footnote w:id="87">
    <w:p w:rsidR="00786194" w:rsidRPr="00A42549" w:rsidRDefault="00786194" w:rsidP="008318A4">
      <w:pPr>
        <w:pStyle w:val="FootnoteText"/>
        <w:rPr>
          <w:sz w:val="22"/>
          <w:szCs w:val="22"/>
        </w:rPr>
      </w:pPr>
      <w:r w:rsidRPr="00A42549">
        <w:rPr>
          <w:rStyle w:val="FootnoteReference"/>
          <w:sz w:val="22"/>
          <w:szCs w:val="22"/>
        </w:rPr>
        <w:footnoteRef/>
      </w:r>
      <w:r w:rsidRPr="00A42549">
        <w:rPr>
          <w:sz w:val="22"/>
          <w:szCs w:val="22"/>
        </w:rPr>
        <w:t xml:space="preserve"> See Stemberger, “Die jüdische Daniel rezeption,” 140-49.</w:t>
      </w:r>
    </w:p>
  </w:footnote>
  <w:footnote w:id="88">
    <w:p w:rsidR="00786194" w:rsidRPr="00A42549" w:rsidRDefault="00786194" w:rsidP="00FE3EF1">
      <w:pPr>
        <w:pStyle w:val="FootnoteText"/>
        <w:rPr>
          <w:b/>
          <w:sz w:val="22"/>
          <w:szCs w:val="22"/>
        </w:rPr>
      </w:pPr>
      <w:r w:rsidRPr="00A42549">
        <w:rPr>
          <w:rStyle w:val="FootnoteReference"/>
          <w:sz w:val="22"/>
          <w:szCs w:val="22"/>
        </w:rPr>
        <w:footnoteRef/>
      </w:r>
      <w:r w:rsidRPr="00A42549">
        <w:rPr>
          <w:sz w:val="22"/>
          <w:szCs w:val="22"/>
        </w:rPr>
        <w:t xml:space="preserve"> For examples see G. Stemberger in Smith-Christopher</w:t>
      </w:r>
      <w:r w:rsidRPr="00A42549">
        <w:rPr>
          <w:b/>
          <w:sz w:val="22"/>
          <w:szCs w:val="22"/>
        </w:rPr>
        <w:t xml:space="preserve"> </w:t>
      </w:r>
      <w:r w:rsidRPr="00A42549">
        <w:rPr>
          <w:sz w:val="22"/>
          <w:szCs w:val="22"/>
        </w:rPr>
        <w:t>et al., “Daniel (Book and Person),” 100-2.</w:t>
      </w:r>
    </w:p>
  </w:footnote>
  <w:footnote w:id="89">
    <w:p w:rsidR="00786194" w:rsidRPr="00A42549" w:rsidRDefault="00786194" w:rsidP="00FC3307">
      <w:pPr>
        <w:pStyle w:val="FootnoteText"/>
        <w:rPr>
          <w:sz w:val="22"/>
          <w:szCs w:val="22"/>
        </w:rPr>
      </w:pPr>
      <w:r w:rsidRPr="00A42549">
        <w:rPr>
          <w:rStyle w:val="FootnoteReference"/>
          <w:sz w:val="22"/>
          <w:szCs w:val="22"/>
        </w:rPr>
        <w:footnoteRef/>
      </w:r>
      <w:r w:rsidRPr="00A42549">
        <w:rPr>
          <w:sz w:val="22"/>
          <w:szCs w:val="22"/>
        </w:rPr>
        <w:t xml:space="preserve"> Cf. Ego</w:t>
      </w:r>
      <w:r w:rsidRPr="00A42549">
        <w:rPr>
          <w:b/>
          <w:sz w:val="22"/>
          <w:szCs w:val="22"/>
        </w:rPr>
        <w:t xml:space="preserve">, </w:t>
      </w:r>
      <w:r w:rsidRPr="00A42549">
        <w:rPr>
          <w:sz w:val="22"/>
          <w:szCs w:val="22"/>
        </w:rPr>
        <w:t>“Daniel und die Rabbinen”; Breed, “History of Reception,” 53-54; Oegema</w:t>
      </w:r>
      <w:r w:rsidRPr="00A42549">
        <w:rPr>
          <w:b/>
          <w:sz w:val="22"/>
          <w:szCs w:val="22"/>
        </w:rPr>
        <w:t>, “</w:t>
      </w:r>
      <w:r w:rsidRPr="00A42549">
        <w:rPr>
          <w:sz w:val="22"/>
          <w:szCs w:val="22"/>
        </w:rPr>
        <w:t xml:space="preserve">Back to the Future in the Early Church.” </w:t>
      </w:r>
    </w:p>
  </w:footnote>
  <w:footnote w:id="90">
    <w:p w:rsidR="00786194" w:rsidRPr="00A42549" w:rsidRDefault="00786194" w:rsidP="003851AD">
      <w:pPr>
        <w:pStyle w:val="FootnoteText"/>
        <w:rPr>
          <w:sz w:val="22"/>
          <w:szCs w:val="22"/>
        </w:rPr>
      </w:pPr>
      <w:r w:rsidRPr="00A42549">
        <w:rPr>
          <w:rStyle w:val="FootnoteReference"/>
          <w:sz w:val="22"/>
          <w:szCs w:val="22"/>
        </w:rPr>
        <w:footnoteRef/>
      </w:r>
      <w:r w:rsidRPr="00A42549">
        <w:rPr>
          <w:sz w:val="22"/>
          <w:szCs w:val="22"/>
        </w:rPr>
        <w:t xml:space="preserve"> E.g., </w:t>
      </w:r>
      <w:r w:rsidRPr="00A42549">
        <w:rPr>
          <w:bCs/>
          <w:sz w:val="22"/>
          <w:szCs w:val="22"/>
        </w:rPr>
        <w:t>Chazan</w:t>
      </w:r>
      <w:r w:rsidRPr="00A42549">
        <w:rPr>
          <w:b/>
          <w:bCs/>
          <w:sz w:val="22"/>
          <w:szCs w:val="22"/>
        </w:rPr>
        <w:t>, “</w:t>
      </w:r>
      <w:r w:rsidRPr="00A42549">
        <w:rPr>
          <w:bCs/>
          <w:sz w:val="22"/>
          <w:szCs w:val="22"/>
        </w:rPr>
        <w:t xml:space="preserve">Daniel 9:24-27”; </w:t>
      </w:r>
      <w:r w:rsidRPr="00A42549">
        <w:rPr>
          <w:bCs/>
          <w:iCs/>
          <w:sz w:val="22"/>
          <w:szCs w:val="22"/>
        </w:rPr>
        <w:t>Dunn</w:t>
      </w:r>
      <w:r w:rsidRPr="00A42549">
        <w:rPr>
          <w:b/>
          <w:bCs/>
          <w:iCs/>
          <w:sz w:val="22"/>
          <w:szCs w:val="22"/>
        </w:rPr>
        <w:t xml:space="preserve">, </w:t>
      </w:r>
      <w:r w:rsidRPr="00A42549">
        <w:rPr>
          <w:bCs/>
          <w:iCs/>
          <w:sz w:val="22"/>
          <w:szCs w:val="22"/>
        </w:rPr>
        <w:t>“</w:t>
      </w:r>
      <w:r w:rsidRPr="00A42549">
        <w:rPr>
          <w:bCs/>
          <w:i/>
          <w:iCs/>
          <w:sz w:val="22"/>
          <w:szCs w:val="22"/>
        </w:rPr>
        <w:t>Probabimus venisse eum iam”</w:t>
      </w:r>
      <w:r w:rsidRPr="00A42549">
        <w:rPr>
          <w:bCs/>
          <w:iCs/>
          <w:sz w:val="22"/>
          <w:szCs w:val="22"/>
        </w:rPr>
        <w:t>;</w:t>
      </w:r>
      <w:r w:rsidRPr="00A42549">
        <w:rPr>
          <w:b/>
          <w:bCs/>
          <w:i/>
          <w:iCs/>
          <w:sz w:val="22"/>
          <w:szCs w:val="22"/>
        </w:rPr>
        <w:t xml:space="preserve"> ———</w:t>
      </w:r>
      <w:r w:rsidRPr="00A42549">
        <w:rPr>
          <w:b/>
          <w:bCs/>
          <w:iCs/>
          <w:sz w:val="22"/>
          <w:szCs w:val="22"/>
        </w:rPr>
        <w:t>, “</w:t>
      </w:r>
      <w:r w:rsidRPr="00A42549">
        <w:rPr>
          <w:bCs/>
          <w:sz w:val="22"/>
          <w:szCs w:val="22"/>
        </w:rPr>
        <w:t>Tertullian and Daniel 9:24-27.”</w:t>
      </w:r>
    </w:p>
  </w:footnote>
  <w:footnote w:id="9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w:t>
      </w:r>
      <w:r w:rsidRPr="00A42549">
        <w:rPr>
          <w:bCs/>
          <w:iCs/>
          <w:sz w:val="22"/>
          <w:szCs w:val="22"/>
        </w:rPr>
        <w:t>Dulaey</w:t>
      </w:r>
      <w:r w:rsidRPr="00A42549">
        <w:rPr>
          <w:b/>
          <w:bCs/>
          <w:iCs/>
          <w:sz w:val="22"/>
          <w:szCs w:val="22"/>
        </w:rPr>
        <w:t xml:space="preserve">, </w:t>
      </w:r>
      <w:r w:rsidRPr="00A42549">
        <w:rPr>
          <w:bCs/>
          <w:iCs/>
          <w:sz w:val="22"/>
          <w:szCs w:val="22"/>
        </w:rPr>
        <w:t>“Daniel dans la fosse aux lions”;</w:t>
      </w:r>
      <w:r w:rsidRPr="00A42549">
        <w:rPr>
          <w:b/>
          <w:bCs/>
          <w:iCs/>
          <w:sz w:val="22"/>
          <w:szCs w:val="22"/>
        </w:rPr>
        <w:t xml:space="preserve"> ———, </w:t>
      </w:r>
      <w:r w:rsidRPr="00A42549">
        <w:rPr>
          <w:bCs/>
          <w:iCs/>
          <w:sz w:val="22"/>
          <w:szCs w:val="22"/>
        </w:rPr>
        <w:t>“Les trois Hébreux</w:t>
      </w:r>
      <w:r w:rsidRPr="00A42549">
        <w:rPr>
          <w:b/>
          <w:bCs/>
          <w:iCs/>
          <w:sz w:val="22"/>
          <w:szCs w:val="22"/>
        </w:rPr>
        <w:t xml:space="preserve"> </w:t>
      </w:r>
      <w:r w:rsidRPr="00A42549">
        <w:rPr>
          <w:bCs/>
          <w:iCs/>
          <w:sz w:val="22"/>
          <w:szCs w:val="22"/>
        </w:rPr>
        <w:t>dans la fournaise.”</w:t>
      </w:r>
    </w:p>
  </w:footnote>
  <w:footnote w:id="92">
    <w:p w:rsidR="00786194" w:rsidRPr="00A42549" w:rsidRDefault="00786194" w:rsidP="009073BE">
      <w:pPr>
        <w:pStyle w:val="FootnoteText"/>
        <w:rPr>
          <w:sz w:val="22"/>
          <w:szCs w:val="22"/>
        </w:rPr>
      </w:pPr>
      <w:r w:rsidRPr="00A42549">
        <w:rPr>
          <w:rStyle w:val="FootnoteReference"/>
          <w:sz w:val="22"/>
          <w:szCs w:val="22"/>
        </w:rPr>
        <w:footnoteRef/>
      </w:r>
      <w:r w:rsidRPr="00A42549">
        <w:rPr>
          <w:sz w:val="22"/>
          <w:szCs w:val="22"/>
        </w:rPr>
        <w:t xml:space="preserve"> See Bodenmann, </w:t>
      </w:r>
      <w:r w:rsidRPr="00A42549">
        <w:rPr>
          <w:i/>
          <w:sz w:val="22"/>
          <w:szCs w:val="22"/>
        </w:rPr>
        <w:t>Naissance d’une exégèse</w:t>
      </w:r>
      <w:r w:rsidRPr="00A42549">
        <w:rPr>
          <w:sz w:val="22"/>
          <w:szCs w:val="22"/>
        </w:rPr>
        <w:t>; Endresz, “Daniel”; Graham</w:t>
      </w:r>
      <w:r w:rsidRPr="00A42549">
        <w:rPr>
          <w:b/>
          <w:sz w:val="22"/>
          <w:szCs w:val="22"/>
        </w:rPr>
        <w:t xml:space="preserve">, </w:t>
      </w:r>
      <w:r w:rsidRPr="00A42549">
        <w:rPr>
          <w:sz w:val="22"/>
          <w:szCs w:val="22"/>
        </w:rPr>
        <w:t>“Early Christian Understandings of the ‘Abomination that Causes Desolation’”; Oegema, “Danielrezeption in der Alten Kirche.”</w:t>
      </w:r>
    </w:p>
  </w:footnote>
  <w:footnote w:id="93">
    <w:p w:rsidR="00786194" w:rsidRPr="00A42549" w:rsidRDefault="00786194" w:rsidP="001402E3">
      <w:pPr>
        <w:pStyle w:val="FootnoteText"/>
        <w:rPr>
          <w:sz w:val="22"/>
          <w:szCs w:val="22"/>
        </w:rPr>
      </w:pPr>
      <w:r w:rsidRPr="00A42549">
        <w:rPr>
          <w:rStyle w:val="FootnoteReference"/>
          <w:sz w:val="22"/>
          <w:szCs w:val="22"/>
        </w:rPr>
        <w:footnoteRef/>
      </w:r>
      <w:r w:rsidRPr="00A42549">
        <w:rPr>
          <w:sz w:val="22"/>
          <w:szCs w:val="22"/>
        </w:rPr>
        <w:t xml:space="preserve"> See e.g., Dunbar</w:t>
      </w:r>
      <w:r w:rsidRPr="00A42549">
        <w:rPr>
          <w:b/>
          <w:sz w:val="22"/>
          <w:szCs w:val="22"/>
        </w:rPr>
        <w:t>,</w:t>
      </w:r>
      <w:r w:rsidRPr="00A42549">
        <w:rPr>
          <w:sz w:val="22"/>
          <w:szCs w:val="22"/>
        </w:rPr>
        <w:t xml:space="preserve"> “Hippolytus of Rome and the Eschatological Exegesis of the Early Church.”</w:t>
      </w:r>
    </w:p>
  </w:footnote>
  <w:footnote w:id="94">
    <w:p w:rsidR="00786194" w:rsidRPr="00A42549" w:rsidRDefault="00786194" w:rsidP="001402E3">
      <w:pPr>
        <w:pStyle w:val="FootnoteText"/>
        <w:rPr>
          <w:sz w:val="22"/>
          <w:szCs w:val="22"/>
        </w:rPr>
      </w:pPr>
      <w:r w:rsidRPr="00A42549">
        <w:rPr>
          <w:rStyle w:val="FootnoteReference"/>
          <w:sz w:val="22"/>
          <w:szCs w:val="22"/>
        </w:rPr>
        <w:footnoteRef/>
      </w:r>
      <w:r w:rsidRPr="00A42549">
        <w:rPr>
          <w:sz w:val="22"/>
          <w:szCs w:val="22"/>
        </w:rPr>
        <w:t xml:space="preserve"> Cf. Bodenmann, </w:t>
      </w:r>
      <w:r w:rsidRPr="00A42549">
        <w:rPr>
          <w:i/>
          <w:sz w:val="22"/>
          <w:szCs w:val="22"/>
        </w:rPr>
        <w:t xml:space="preserve">Naissance </w:t>
      </w:r>
      <w:r w:rsidRPr="00A42549">
        <w:rPr>
          <w:i/>
          <w:iCs/>
          <w:sz w:val="22"/>
          <w:szCs w:val="22"/>
        </w:rPr>
        <w:t>d’une Exégèse</w:t>
      </w:r>
      <w:r w:rsidRPr="00A42549">
        <w:rPr>
          <w:iCs/>
          <w:sz w:val="22"/>
          <w:szCs w:val="22"/>
        </w:rPr>
        <w:t>, 273-307.</w:t>
      </w:r>
    </w:p>
  </w:footnote>
  <w:footnote w:id="95">
    <w:p w:rsidR="00786194" w:rsidRPr="00A42549" w:rsidRDefault="00786194" w:rsidP="001402E3">
      <w:pPr>
        <w:pStyle w:val="FootnoteText"/>
        <w:rPr>
          <w:sz w:val="22"/>
          <w:szCs w:val="22"/>
        </w:rPr>
      </w:pPr>
      <w:r w:rsidRPr="00A42549">
        <w:rPr>
          <w:rStyle w:val="FootnoteReference"/>
          <w:sz w:val="22"/>
          <w:szCs w:val="22"/>
        </w:rPr>
        <w:footnoteRef/>
      </w:r>
      <w:r w:rsidRPr="00A42549">
        <w:rPr>
          <w:sz w:val="22"/>
          <w:szCs w:val="22"/>
        </w:rPr>
        <w:t xml:space="preserve"> Augustine, </w:t>
      </w:r>
      <w:r w:rsidRPr="00A42549">
        <w:rPr>
          <w:i/>
          <w:sz w:val="22"/>
          <w:szCs w:val="22"/>
        </w:rPr>
        <w:t>City of God</w:t>
      </w:r>
      <w:r w:rsidRPr="00A42549">
        <w:rPr>
          <w:sz w:val="22"/>
          <w:szCs w:val="22"/>
        </w:rPr>
        <w:t xml:space="preserve"> 20:23.</w:t>
      </w:r>
    </w:p>
  </w:footnote>
  <w:footnote w:id="96">
    <w:p w:rsidR="00786194" w:rsidRPr="00A42549" w:rsidRDefault="00786194" w:rsidP="00056A2C">
      <w:pPr>
        <w:pStyle w:val="FootnoteText"/>
        <w:rPr>
          <w:sz w:val="22"/>
          <w:szCs w:val="22"/>
        </w:rPr>
      </w:pPr>
      <w:r w:rsidRPr="00A42549">
        <w:rPr>
          <w:rStyle w:val="FootnoteReference"/>
          <w:sz w:val="22"/>
          <w:szCs w:val="22"/>
        </w:rPr>
        <w:footnoteRef/>
      </w:r>
      <w:r w:rsidRPr="00A42549">
        <w:rPr>
          <w:sz w:val="22"/>
          <w:szCs w:val="22"/>
        </w:rPr>
        <w:t xml:space="preserve"> Cf. Casey, </w:t>
      </w:r>
      <w:r w:rsidRPr="00A42549">
        <w:rPr>
          <w:i/>
          <w:sz w:val="22"/>
          <w:szCs w:val="22"/>
        </w:rPr>
        <w:t>Son of Man</w:t>
      </w:r>
      <w:r w:rsidRPr="00A42549">
        <w:rPr>
          <w:sz w:val="22"/>
          <w:szCs w:val="22"/>
        </w:rPr>
        <w:t>, 55–59; van der Kooij</w:t>
      </w:r>
      <w:r w:rsidRPr="00A42549">
        <w:rPr>
          <w:b/>
          <w:sz w:val="22"/>
          <w:szCs w:val="22"/>
        </w:rPr>
        <w:t xml:space="preserve">, </w:t>
      </w:r>
      <w:r w:rsidRPr="00A42549">
        <w:rPr>
          <w:sz w:val="22"/>
          <w:szCs w:val="22"/>
        </w:rPr>
        <w:t>“The Four Kingdoms in Peshitta Daniel 7”; van Peursen,</w:t>
      </w:r>
      <w:r w:rsidRPr="00A42549">
        <w:rPr>
          <w:b/>
          <w:sz w:val="22"/>
          <w:szCs w:val="22"/>
        </w:rPr>
        <w:t xml:space="preserve"> </w:t>
      </w:r>
      <w:r w:rsidRPr="00A42549">
        <w:rPr>
          <w:sz w:val="22"/>
          <w:szCs w:val="22"/>
        </w:rPr>
        <w:t xml:space="preserve">“Daniel’s Four Kingdoms in the Syriac Tradition.” </w:t>
      </w:r>
    </w:p>
  </w:footnote>
  <w:footnote w:id="9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Daniel</w:t>
      </w:r>
      <w:r w:rsidRPr="00A42549">
        <w:rPr>
          <w:sz w:val="22"/>
          <w:szCs w:val="22"/>
        </w:rPr>
        <w:t>, 200-3.</w:t>
      </w:r>
    </w:p>
  </w:footnote>
  <w:footnote w:id="98">
    <w:p w:rsidR="00786194" w:rsidRPr="00A42549" w:rsidRDefault="00786194" w:rsidP="00830F49">
      <w:pPr>
        <w:pStyle w:val="FootnoteText"/>
        <w:rPr>
          <w:sz w:val="22"/>
          <w:szCs w:val="22"/>
        </w:rPr>
      </w:pPr>
      <w:r w:rsidRPr="00A42549">
        <w:rPr>
          <w:rStyle w:val="FootnoteReference"/>
          <w:sz w:val="22"/>
          <w:szCs w:val="22"/>
        </w:rPr>
        <w:footnoteRef/>
      </w:r>
      <w:r w:rsidRPr="00A42549">
        <w:rPr>
          <w:sz w:val="22"/>
          <w:szCs w:val="22"/>
        </w:rPr>
        <w:t xml:space="preserve"> See Jerome, </w:t>
      </w:r>
      <w:r w:rsidRPr="00A42549">
        <w:rPr>
          <w:i/>
          <w:sz w:val="22"/>
          <w:szCs w:val="22"/>
        </w:rPr>
        <w:t>Daniel</w:t>
      </w:r>
      <w:r w:rsidRPr="00A42549">
        <w:rPr>
          <w:sz w:val="22"/>
          <w:szCs w:val="22"/>
        </w:rPr>
        <w:t xml:space="preserve">, 139; cf. e.g., Mayer, </w:t>
      </w:r>
      <w:r w:rsidRPr="00A42549">
        <w:rPr>
          <w:i/>
          <w:iCs/>
          <w:sz w:val="22"/>
          <w:szCs w:val="22"/>
        </w:rPr>
        <w:t>Commentary upon All the Prophets</w:t>
      </w:r>
      <w:r w:rsidRPr="00A42549">
        <w:rPr>
          <w:iCs/>
          <w:sz w:val="22"/>
          <w:szCs w:val="22"/>
        </w:rPr>
        <w:t>, 579-82.</w:t>
      </w:r>
    </w:p>
  </w:footnote>
  <w:footnote w:id="99">
    <w:p w:rsidR="00786194" w:rsidRPr="00A42549" w:rsidRDefault="00786194" w:rsidP="00056A2C">
      <w:pPr>
        <w:pStyle w:val="FootnoteText"/>
        <w:rPr>
          <w:sz w:val="22"/>
          <w:szCs w:val="22"/>
        </w:rPr>
      </w:pPr>
      <w:r w:rsidRPr="00A42549">
        <w:rPr>
          <w:rStyle w:val="FootnoteReference"/>
          <w:sz w:val="22"/>
          <w:szCs w:val="22"/>
        </w:rPr>
        <w:footnoteRef/>
      </w:r>
      <w:r w:rsidRPr="00A42549">
        <w:rPr>
          <w:sz w:val="22"/>
          <w:szCs w:val="22"/>
        </w:rPr>
        <w:t xml:space="preserve"> Cf. Casey, “Porphyry”; and on the relationship between Christian writers and Porphyry’s thinking, see Magny, “Porphyre, Hipplyte, et Origène commentent sur </w:t>
      </w:r>
      <w:r w:rsidRPr="00A42549">
        <w:rPr>
          <w:i/>
          <w:sz w:val="22"/>
          <w:szCs w:val="22"/>
        </w:rPr>
        <w:t>Daniel</w:t>
      </w:r>
      <w:r w:rsidRPr="00A42549">
        <w:rPr>
          <w:sz w:val="22"/>
          <w:szCs w:val="22"/>
        </w:rPr>
        <w:t xml:space="preserve">”; </w:t>
      </w:r>
      <w:r w:rsidRPr="00A42549">
        <w:rPr>
          <w:b/>
          <w:bCs/>
          <w:iCs/>
          <w:sz w:val="22"/>
          <w:szCs w:val="22"/>
        </w:rPr>
        <w:t>———,</w:t>
      </w:r>
      <w:r w:rsidRPr="00A42549">
        <w:rPr>
          <w:sz w:val="22"/>
          <w:szCs w:val="22"/>
        </w:rPr>
        <w:t xml:space="preserve"> “Porphyry against the Christians”; Reaburn, “St Jerome and Porphyry Interpret the Book of Daniel.”</w:t>
      </w:r>
    </w:p>
  </w:footnote>
  <w:footnote w:id="100">
    <w:p w:rsidR="00786194" w:rsidRPr="00A42549" w:rsidRDefault="00786194" w:rsidP="00A95B7D">
      <w:pPr>
        <w:pStyle w:val="FootnoteText"/>
        <w:rPr>
          <w:sz w:val="22"/>
          <w:szCs w:val="22"/>
        </w:rPr>
      </w:pPr>
      <w:r w:rsidRPr="00A42549">
        <w:rPr>
          <w:rStyle w:val="FootnoteReference"/>
          <w:sz w:val="22"/>
          <w:szCs w:val="22"/>
        </w:rPr>
        <w:footnoteRef/>
      </w:r>
      <w:r w:rsidRPr="00A42549">
        <w:rPr>
          <w:sz w:val="22"/>
          <w:szCs w:val="22"/>
        </w:rPr>
        <w:t xml:space="preserve"> Letter 93, to Vincent (</w:t>
      </w:r>
      <w:r w:rsidRPr="00A42549">
        <w:rPr>
          <w:i/>
          <w:sz w:val="22"/>
          <w:szCs w:val="22"/>
        </w:rPr>
        <w:t xml:space="preserve">Letters </w:t>
      </w:r>
      <w:r w:rsidRPr="00A42549">
        <w:rPr>
          <w:sz w:val="22"/>
          <w:szCs w:val="22"/>
        </w:rPr>
        <w:t>2:56-106 [95]).</w:t>
      </w:r>
    </w:p>
  </w:footnote>
  <w:footnote w:id="10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the survey in Koch, </w:t>
      </w:r>
      <w:r w:rsidRPr="00A42549">
        <w:rPr>
          <w:i/>
          <w:sz w:val="22"/>
          <w:szCs w:val="22"/>
        </w:rPr>
        <w:t>Europa, Rom und der Kaiser</w:t>
      </w:r>
      <w:r w:rsidRPr="00A42549">
        <w:rPr>
          <w:sz w:val="22"/>
          <w:szCs w:val="22"/>
        </w:rPr>
        <w:t>, 37-78; and Breed, “History of Reception,” 85-97.</w:t>
      </w:r>
    </w:p>
  </w:footnote>
  <w:footnote w:id="102">
    <w:p w:rsidR="00786194" w:rsidRPr="00A42549" w:rsidRDefault="00786194" w:rsidP="00A95B7D">
      <w:pPr>
        <w:pStyle w:val="FootnoteText"/>
        <w:rPr>
          <w:sz w:val="22"/>
          <w:szCs w:val="22"/>
        </w:rPr>
      </w:pPr>
      <w:r w:rsidRPr="00A42549">
        <w:rPr>
          <w:rStyle w:val="FootnoteReference"/>
          <w:sz w:val="22"/>
          <w:szCs w:val="22"/>
        </w:rPr>
        <w:footnoteRef/>
      </w:r>
      <w:r w:rsidRPr="00A42549">
        <w:rPr>
          <w:sz w:val="22"/>
          <w:szCs w:val="22"/>
        </w:rPr>
        <w:t xml:space="preserve"> Markus, </w:t>
      </w:r>
      <w:r w:rsidRPr="00A42549">
        <w:rPr>
          <w:i/>
          <w:sz w:val="22"/>
          <w:szCs w:val="22"/>
        </w:rPr>
        <w:t>Saeculum</w:t>
      </w:r>
      <w:r w:rsidRPr="00A42549">
        <w:rPr>
          <w:sz w:val="22"/>
          <w:szCs w:val="22"/>
        </w:rPr>
        <w:t>, 54-55.</w:t>
      </w:r>
    </w:p>
  </w:footnote>
  <w:footnote w:id="103">
    <w:p w:rsidR="00786194" w:rsidRPr="00A42549" w:rsidRDefault="00786194" w:rsidP="007F3043">
      <w:pPr>
        <w:pStyle w:val="FootnoteText"/>
        <w:rPr>
          <w:sz w:val="22"/>
          <w:szCs w:val="22"/>
        </w:rPr>
      </w:pPr>
      <w:r w:rsidRPr="00A42549">
        <w:rPr>
          <w:rStyle w:val="FootnoteReference"/>
          <w:sz w:val="22"/>
          <w:szCs w:val="22"/>
        </w:rPr>
        <w:footnoteRef/>
      </w:r>
      <w:r w:rsidRPr="00A42549">
        <w:rPr>
          <w:sz w:val="22"/>
          <w:szCs w:val="22"/>
        </w:rPr>
        <w:t xml:space="preserve"> Fraidl, </w:t>
      </w:r>
      <w:r w:rsidRPr="00A42549">
        <w:rPr>
          <w:i/>
          <w:sz w:val="22"/>
          <w:szCs w:val="22"/>
        </w:rPr>
        <w:t>Exegese</w:t>
      </w:r>
      <w:r w:rsidRPr="00A42549">
        <w:rPr>
          <w:sz w:val="22"/>
          <w:szCs w:val="22"/>
        </w:rPr>
        <w:t>, 30–98.</w:t>
      </w:r>
    </w:p>
  </w:footnote>
  <w:footnote w:id="104">
    <w:p w:rsidR="00786194" w:rsidRPr="00A42549" w:rsidRDefault="00786194" w:rsidP="00056A2C">
      <w:pPr>
        <w:pStyle w:val="FootnoteText"/>
        <w:rPr>
          <w:sz w:val="22"/>
          <w:szCs w:val="22"/>
        </w:rPr>
      </w:pPr>
      <w:r w:rsidRPr="00A42549">
        <w:rPr>
          <w:rStyle w:val="FootnoteReference"/>
          <w:sz w:val="22"/>
          <w:szCs w:val="22"/>
        </w:rPr>
        <w:footnoteRef/>
      </w:r>
      <w:r w:rsidRPr="00A42549">
        <w:rPr>
          <w:sz w:val="22"/>
          <w:szCs w:val="22"/>
        </w:rPr>
        <w:t xml:space="preserve"> McGinn, </w:t>
      </w:r>
      <w:r w:rsidRPr="00A42549">
        <w:rPr>
          <w:i/>
          <w:sz w:val="22"/>
          <w:szCs w:val="22"/>
        </w:rPr>
        <w:t>Apocalyptic Spirituality</w:t>
      </w:r>
      <w:r w:rsidRPr="00A42549">
        <w:rPr>
          <w:sz w:val="22"/>
          <w:szCs w:val="22"/>
        </w:rPr>
        <w:t>, 100.</w:t>
      </w:r>
    </w:p>
  </w:footnote>
  <w:footnote w:id="105">
    <w:p w:rsidR="00786194" w:rsidRPr="00A42549" w:rsidRDefault="00786194" w:rsidP="0039705D">
      <w:pPr>
        <w:pStyle w:val="FootnoteText"/>
        <w:rPr>
          <w:sz w:val="22"/>
          <w:szCs w:val="22"/>
        </w:rPr>
      </w:pPr>
      <w:r w:rsidRPr="00A42549">
        <w:rPr>
          <w:rStyle w:val="FootnoteReference"/>
          <w:sz w:val="22"/>
          <w:szCs w:val="22"/>
        </w:rPr>
        <w:footnoteRef/>
      </w:r>
      <w:r w:rsidRPr="00A42549">
        <w:rPr>
          <w:sz w:val="22"/>
          <w:szCs w:val="22"/>
        </w:rPr>
        <w:t xml:space="preserve"> Volp, </w:t>
      </w:r>
      <w:r w:rsidRPr="00A42549">
        <w:rPr>
          <w:bCs/>
          <w:sz w:val="22"/>
          <w:szCs w:val="22"/>
        </w:rPr>
        <w:t>“Hippolytus of Rome,” 150.</w:t>
      </w:r>
    </w:p>
  </w:footnote>
  <w:footnote w:id="106">
    <w:p w:rsidR="00786194" w:rsidRPr="00A42549" w:rsidRDefault="00786194" w:rsidP="00A95B7D">
      <w:pPr>
        <w:pStyle w:val="FootnoteText"/>
        <w:rPr>
          <w:sz w:val="22"/>
          <w:szCs w:val="22"/>
        </w:rPr>
      </w:pPr>
      <w:r w:rsidRPr="00A42549">
        <w:rPr>
          <w:rStyle w:val="FootnoteReference"/>
          <w:sz w:val="22"/>
          <w:szCs w:val="22"/>
        </w:rPr>
        <w:footnoteRef/>
      </w:r>
      <w:r w:rsidRPr="00A42549">
        <w:rPr>
          <w:sz w:val="22"/>
          <w:szCs w:val="22"/>
        </w:rPr>
        <w:t xml:space="preserve"> Bardy, “Introduction”; Bracht</w:t>
      </w:r>
      <w:r w:rsidRPr="00A42549">
        <w:rPr>
          <w:b/>
          <w:sz w:val="22"/>
          <w:szCs w:val="22"/>
        </w:rPr>
        <w:t xml:space="preserve">, </w:t>
      </w:r>
      <w:r w:rsidRPr="00A42549">
        <w:rPr>
          <w:i/>
          <w:sz w:val="22"/>
          <w:szCs w:val="22"/>
        </w:rPr>
        <w:t xml:space="preserve">Hippolyts Schrift </w:t>
      </w:r>
      <w:r w:rsidRPr="00A42549">
        <w:rPr>
          <w:sz w:val="22"/>
          <w:szCs w:val="22"/>
        </w:rPr>
        <w:t xml:space="preserve">In Danielem. </w:t>
      </w:r>
    </w:p>
  </w:footnote>
  <w:footnote w:id="107">
    <w:p w:rsidR="00786194" w:rsidRPr="00A42549" w:rsidRDefault="00786194" w:rsidP="00A95B7D">
      <w:pPr>
        <w:pStyle w:val="FootnoteText"/>
        <w:rPr>
          <w:sz w:val="22"/>
          <w:szCs w:val="22"/>
        </w:rPr>
      </w:pPr>
      <w:r w:rsidRPr="00A42549">
        <w:rPr>
          <w:rStyle w:val="FootnoteReference"/>
          <w:sz w:val="22"/>
          <w:szCs w:val="22"/>
        </w:rPr>
        <w:footnoteRef/>
      </w:r>
      <w:r w:rsidRPr="00A42549">
        <w:rPr>
          <w:sz w:val="22"/>
          <w:szCs w:val="22"/>
        </w:rPr>
        <w:t xml:space="preserve"> See Royer, “The Ancient of Days.”</w:t>
      </w:r>
    </w:p>
  </w:footnote>
  <w:footnote w:id="1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Trakatallis</w:t>
      </w:r>
      <w:r w:rsidRPr="00A42549">
        <w:rPr>
          <w:b/>
          <w:sz w:val="22"/>
          <w:szCs w:val="22"/>
        </w:rPr>
        <w:t xml:space="preserve">, </w:t>
      </w:r>
      <w:r w:rsidRPr="00A42549">
        <w:rPr>
          <w:sz w:val="22"/>
          <w:szCs w:val="22"/>
        </w:rPr>
        <w:t>“</w:t>
      </w:r>
      <w:r w:rsidRPr="00A42549">
        <w:rPr>
          <w:sz w:val="22"/>
          <w:szCs w:val="22"/>
          <w:lang w:val="el-GR"/>
        </w:rPr>
        <w:t>Λογος</w:t>
      </w:r>
      <w:r w:rsidRPr="00A42549">
        <w:rPr>
          <w:sz w:val="22"/>
          <w:szCs w:val="22"/>
        </w:rPr>
        <w:t xml:space="preserve">  </w:t>
      </w:r>
      <w:r w:rsidRPr="00A42549">
        <w:rPr>
          <w:sz w:val="22"/>
          <w:szCs w:val="22"/>
          <w:lang w:val="el-GR"/>
        </w:rPr>
        <w:t>Αγωνιστικος</w:t>
      </w:r>
      <w:r w:rsidRPr="00A42549">
        <w:rPr>
          <w:sz w:val="22"/>
          <w:szCs w:val="22"/>
        </w:rPr>
        <w:t>: Hippolytus’ Commentary on Daniel.”</w:t>
      </w:r>
    </w:p>
  </w:footnote>
  <w:footnote w:id="109">
    <w:p w:rsidR="00786194" w:rsidRPr="00A42549" w:rsidRDefault="00786194" w:rsidP="00A03B3E">
      <w:pPr>
        <w:pStyle w:val="FootnoteText"/>
        <w:rPr>
          <w:sz w:val="22"/>
          <w:szCs w:val="22"/>
        </w:rPr>
      </w:pPr>
      <w:r w:rsidRPr="00A42549">
        <w:rPr>
          <w:rStyle w:val="FootnoteReference"/>
          <w:sz w:val="22"/>
          <w:szCs w:val="22"/>
        </w:rPr>
        <w:footnoteRef/>
      </w:r>
      <w:r w:rsidRPr="00A42549">
        <w:rPr>
          <w:sz w:val="22"/>
          <w:szCs w:val="22"/>
        </w:rPr>
        <w:t xml:space="preserve"> See Valenti, </w:t>
      </w:r>
      <w:r w:rsidRPr="00A42549">
        <w:rPr>
          <w:i/>
          <w:sz w:val="22"/>
          <w:szCs w:val="22"/>
        </w:rPr>
        <w:t>Similes</w:t>
      </w:r>
      <w:r w:rsidRPr="00A42549">
        <w:rPr>
          <w:sz w:val="22"/>
          <w:szCs w:val="22"/>
        </w:rPr>
        <w:t>; Tucker</w:t>
      </w:r>
      <w:r w:rsidRPr="00A42549">
        <w:rPr>
          <w:b/>
          <w:sz w:val="22"/>
          <w:szCs w:val="22"/>
        </w:rPr>
        <w:t>, “</w:t>
      </w:r>
      <w:r w:rsidRPr="00A42549">
        <w:rPr>
          <w:bCs/>
          <w:iCs/>
          <w:sz w:val="22"/>
          <w:szCs w:val="22"/>
        </w:rPr>
        <w:t xml:space="preserve">Early </w:t>
      </w:r>
      <w:r w:rsidRPr="00A42549">
        <w:rPr>
          <w:bCs/>
          <w:sz w:val="22"/>
          <w:szCs w:val="22"/>
        </w:rPr>
        <w:t xml:space="preserve">Wirkungsgeschichte </w:t>
      </w:r>
      <w:r w:rsidRPr="00A42549">
        <w:rPr>
          <w:bCs/>
          <w:iCs/>
          <w:sz w:val="22"/>
          <w:szCs w:val="22"/>
        </w:rPr>
        <w:t>of Daniel 3.”</w:t>
      </w:r>
    </w:p>
  </w:footnote>
  <w:footnote w:id="11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Tucker, </w:t>
      </w:r>
      <w:r w:rsidRPr="00A42549">
        <w:rPr>
          <w:b/>
          <w:sz w:val="22"/>
          <w:szCs w:val="22"/>
        </w:rPr>
        <w:t>“</w:t>
      </w:r>
      <w:r w:rsidRPr="00A42549">
        <w:rPr>
          <w:bCs/>
          <w:iCs/>
          <w:sz w:val="22"/>
          <w:szCs w:val="22"/>
        </w:rPr>
        <w:t xml:space="preserve">Early </w:t>
      </w:r>
      <w:r w:rsidRPr="00A42549">
        <w:rPr>
          <w:bCs/>
          <w:sz w:val="22"/>
          <w:szCs w:val="22"/>
        </w:rPr>
        <w:t xml:space="preserve">Wirkungsgeschichte </w:t>
      </w:r>
      <w:r w:rsidRPr="00A42549">
        <w:rPr>
          <w:bCs/>
          <w:iCs/>
          <w:sz w:val="22"/>
          <w:szCs w:val="22"/>
        </w:rPr>
        <w:t>of Daniel 3</w:t>
      </w:r>
      <w:r w:rsidRPr="00A42549">
        <w:rPr>
          <w:bCs/>
          <w:i/>
          <w:iCs/>
          <w:sz w:val="22"/>
          <w:szCs w:val="22"/>
        </w:rPr>
        <w:t>,”</w:t>
      </w:r>
      <w:r w:rsidRPr="00A42549">
        <w:rPr>
          <w:sz w:val="22"/>
          <w:szCs w:val="22"/>
        </w:rPr>
        <w:t xml:space="preserve"> 297; cf. Bracht, </w:t>
      </w:r>
      <w:r w:rsidRPr="00A42549">
        <w:rPr>
          <w:rFonts w:eastAsiaTheme="minorHAnsi" w:cs="TimesNewRomanPS-BoldMT"/>
          <w:bCs/>
          <w:sz w:val="22"/>
          <w:szCs w:val="22"/>
        </w:rPr>
        <w:t>“</w:t>
      </w:r>
      <w:r w:rsidRPr="00A42549">
        <w:rPr>
          <w:rFonts w:eastAsiaTheme="minorHAnsi" w:cs="TimesNewRomanPS-BoldMT"/>
          <w:bCs/>
          <w:i/>
          <w:sz w:val="22"/>
          <w:szCs w:val="22"/>
        </w:rPr>
        <w:t xml:space="preserve">Logos parainetikos: </w:t>
      </w:r>
      <w:r w:rsidRPr="00A42549">
        <w:rPr>
          <w:rFonts w:eastAsiaTheme="minorHAnsi" w:cs="TimesNewRomanPS-BoldMT"/>
          <w:bCs/>
          <w:sz w:val="22"/>
          <w:szCs w:val="22"/>
        </w:rPr>
        <w:t>Der Danielkommentar des Hippolyt.”</w:t>
      </w:r>
    </w:p>
  </w:footnote>
  <w:footnote w:id="111">
    <w:p w:rsidR="00786194" w:rsidRPr="00A42549" w:rsidRDefault="00786194" w:rsidP="001402E3">
      <w:pPr>
        <w:pStyle w:val="FootnoteText"/>
        <w:rPr>
          <w:bCs/>
          <w:sz w:val="22"/>
          <w:szCs w:val="22"/>
        </w:rPr>
      </w:pPr>
      <w:r w:rsidRPr="00A42549">
        <w:rPr>
          <w:rStyle w:val="FootnoteReference"/>
          <w:sz w:val="22"/>
          <w:szCs w:val="22"/>
        </w:rPr>
        <w:footnoteRef/>
      </w:r>
      <w:r w:rsidRPr="00A42549">
        <w:rPr>
          <w:sz w:val="22"/>
          <w:szCs w:val="22"/>
        </w:rPr>
        <w:t xml:space="preserve"> </w:t>
      </w:r>
      <w:r w:rsidRPr="00A42549">
        <w:rPr>
          <w:bCs/>
          <w:i/>
          <w:iCs/>
          <w:sz w:val="22"/>
          <w:szCs w:val="22"/>
        </w:rPr>
        <w:t>Exhortatio</w:t>
      </w:r>
      <w:r w:rsidRPr="00A42549">
        <w:rPr>
          <w:bCs/>
          <w:iCs/>
          <w:sz w:val="22"/>
          <w:szCs w:val="22"/>
        </w:rPr>
        <w:t xml:space="preserve"> </w:t>
      </w:r>
      <w:r w:rsidRPr="00A42549">
        <w:rPr>
          <w:bCs/>
          <w:i/>
          <w:iCs/>
          <w:sz w:val="22"/>
          <w:szCs w:val="22"/>
        </w:rPr>
        <w:t xml:space="preserve">ad martyrium </w:t>
      </w:r>
      <w:r w:rsidRPr="00A42549">
        <w:rPr>
          <w:bCs/>
          <w:sz w:val="22"/>
          <w:szCs w:val="22"/>
        </w:rPr>
        <w:t>33 (</w:t>
      </w:r>
      <w:r w:rsidRPr="00A42549">
        <w:rPr>
          <w:bCs/>
          <w:i/>
          <w:sz w:val="22"/>
          <w:szCs w:val="22"/>
        </w:rPr>
        <w:t xml:space="preserve">PG </w:t>
      </w:r>
      <w:r w:rsidRPr="00A42549">
        <w:rPr>
          <w:bCs/>
          <w:sz w:val="22"/>
          <w:szCs w:val="22"/>
        </w:rPr>
        <w:t xml:space="preserve">11:603-6); ET in </w:t>
      </w:r>
      <w:r w:rsidRPr="00A42549">
        <w:rPr>
          <w:bCs/>
          <w:i/>
          <w:sz w:val="22"/>
          <w:szCs w:val="22"/>
        </w:rPr>
        <w:t xml:space="preserve">Prayer; </w:t>
      </w:r>
      <w:r w:rsidRPr="00A42549">
        <w:rPr>
          <w:bCs/>
          <w:i/>
          <w:iCs/>
          <w:sz w:val="22"/>
          <w:szCs w:val="22"/>
        </w:rPr>
        <w:t>An Exhortation to Martyrdom</w:t>
      </w:r>
      <w:r w:rsidRPr="00A42549">
        <w:rPr>
          <w:bCs/>
          <w:iCs/>
          <w:sz w:val="22"/>
          <w:szCs w:val="22"/>
        </w:rPr>
        <w:t>.</w:t>
      </w:r>
    </w:p>
  </w:footnote>
  <w:footnote w:id="11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Goez, “Die Danielrezeption im Abendland,” 185. See further Courtray, “Der Danielkommentar des Hieronymus</w:t>
      </w:r>
      <w:r w:rsidRPr="00A42549">
        <w:rPr>
          <w:bCs/>
          <w:iCs/>
          <w:sz w:val="22"/>
          <w:szCs w:val="22"/>
        </w:rPr>
        <w:t xml:space="preserve">”; </w:t>
      </w:r>
      <w:r w:rsidRPr="00A42549">
        <w:rPr>
          <w:b/>
          <w:bCs/>
          <w:i/>
          <w:iCs/>
          <w:sz w:val="22"/>
          <w:szCs w:val="22"/>
        </w:rPr>
        <w:t xml:space="preserve">———, </w:t>
      </w:r>
      <w:r w:rsidRPr="00A42549">
        <w:rPr>
          <w:bCs/>
          <w:i/>
          <w:iCs/>
          <w:sz w:val="22"/>
          <w:szCs w:val="22"/>
        </w:rPr>
        <w:t>Prophète des temps derniers</w:t>
      </w:r>
      <w:r w:rsidRPr="00A42549">
        <w:rPr>
          <w:bCs/>
          <w:iCs/>
          <w:sz w:val="22"/>
          <w:szCs w:val="22"/>
        </w:rPr>
        <w:t>; Larriba</w:t>
      </w:r>
      <w:r w:rsidRPr="00A42549">
        <w:rPr>
          <w:b/>
          <w:bCs/>
          <w:iCs/>
          <w:sz w:val="22"/>
          <w:szCs w:val="22"/>
        </w:rPr>
        <w:t>, “</w:t>
      </w:r>
      <w:r w:rsidRPr="00A42549">
        <w:rPr>
          <w:bCs/>
          <w:iCs/>
          <w:sz w:val="22"/>
          <w:szCs w:val="22"/>
        </w:rPr>
        <w:t xml:space="preserve">Comentario de San Jerónimo al libro de Daniel.” </w:t>
      </w:r>
    </w:p>
  </w:footnote>
  <w:footnote w:id="11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Daniel</w:t>
      </w:r>
      <w:r w:rsidRPr="00A42549">
        <w:rPr>
          <w:sz w:val="22"/>
          <w:szCs w:val="22"/>
        </w:rPr>
        <w:t>, 15.</w:t>
      </w:r>
    </w:p>
  </w:footnote>
  <w:footnote w:id="11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Braverman, </w:t>
      </w:r>
      <w:r w:rsidRPr="00A42549">
        <w:rPr>
          <w:i/>
          <w:sz w:val="22"/>
          <w:szCs w:val="22"/>
        </w:rPr>
        <w:t>Jerome’s Commentary on Daniel</w:t>
      </w:r>
      <w:r w:rsidRPr="00A42549">
        <w:rPr>
          <w:sz w:val="22"/>
          <w:szCs w:val="22"/>
        </w:rPr>
        <w:t>; Kritzinger</w:t>
      </w:r>
      <w:r w:rsidRPr="00A42549">
        <w:rPr>
          <w:b/>
          <w:sz w:val="22"/>
          <w:szCs w:val="22"/>
        </w:rPr>
        <w:t xml:space="preserve">, </w:t>
      </w:r>
      <w:r w:rsidRPr="00A42549">
        <w:rPr>
          <w:sz w:val="22"/>
          <w:szCs w:val="22"/>
        </w:rPr>
        <w:t>“St Jerome’s Commentary on Daniel 3.”</w:t>
      </w:r>
    </w:p>
  </w:footnote>
  <w:footnote w:id="115">
    <w:p w:rsidR="00786194" w:rsidRPr="00A42549" w:rsidRDefault="00786194" w:rsidP="001402E3">
      <w:pPr>
        <w:pStyle w:val="FootnoteText"/>
        <w:rPr>
          <w:sz w:val="22"/>
          <w:szCs w:val="22"/>
        </w:rPr>
      </w:pPr>
      <w:r w:rsidRPr="00A42549">
        <w:rPr>
          <w:rStyle w:val="FootnoteReference"/>
          <w:sz w:val="22"/>
          <w:szCs w:val="22"/>
        </w:rPr>
        <w:footnoteRef/>
      </w:r>
      <w:r w:rsidRPr="00A42549">
        <w:rPr>
          <w:sz w:val="22"/>
          <w:szCs w:val="22"/>
        </w:rPr>
        <w:t xml:space="preserve"> See Stander</w:t>
      </w:r>
      <w:r w:rsidRPr="00A42549">
        <w:rPr>
          <w:b/>
          <w:sz w:val="22"/>
          <w:szCs w:val="22"/>
        </w:rPr>
        <w:t xml:space="preserve">, </w:t>
      </w:r>
      <w:r w:rsidRPr="00A42549">
        <w:rPr>
          <w:sz w:val="22"/>
          <w:szCs w:val="22"/>
        </w:rPr>
        <w:t>“Chrysostom’s Interpretation of the Narrative of the Three Confessors.”</w:t>
      </w:r>
    </w:p>
  </w:footnote>
  <w:footnote w:id="116">
    <w:p w:rsidR="00786194" w:rsidRPr="00A42549" w:rsidRDefault="00786194" w:rsidP="001402E3">
      <w:pPr>
        <w:pStyle w:val="FootnoteText"/>
        <w:rPr>
          <w:sz w:val="22"/>
          <w:szCs w:val="22"/>
        </w:rPr>
      </w:pPr>
      <w:r w:rsidRPr="00A42549">
        <w:rPr>
          <w:rStyle w:val="FootnoteReference"/>
          <w:sz w:val="22"/>
          <w:szCs w:val="22"/>
        </w:rPr>
        <w:footnoteRef/>
      </w:r>
      <w:r w:rsidRPr="00A42549">
        <w:rPr>
          <w:sz w:val="22"/>
          <w:szCs w:val="22"/>
        </w:rPr>
        <w:t xml:space="preserve"> See Botha, “The Interpretation of Daniel 3 in the Syriac Commentary Ascribed to Ephrem the Syrian”; </w:t>
      </w:r>
      <w:r w:rsidRPr="00A42549">
        <w:rPr>
          <w:b/>
          <w:bCs/>
          <w:i/>
          <w:iCs/>
          <w:sz w:val="22"/>
          <w:szCs w:val="22"/>
        </w:rPr>
        <w:t xml:space="preserve">———, </w:t>
      </w:r>
      <w:r w:rsidRPr="00A42549">
        <w:rPr>
          <w:sz w:val="22"/>
          <w:szCs w:val="22"/>
        </w:rPr>
        <w:t>“The Relevance of the Book of Daniel for Fourth-Century Christianity According to the Commentary Ascribed to Ephrem the Syrian</w:t>
      </w:r>
      <w:r w:rsidRPr="00A42549">
        <w:rPr>
          <w:bCs/>
          <w:iCs/>
          <w:sz w:val="22"/>
          <w:szCs w:val="22"/>
        </w:rPr>
        <w:t>.”</w:t>
      </w:r>
    </w:p>
  </w:footnote>
  <w:footnote w:id="117">
    <w:p w:rsidR="00786194" w:rsidRPr="00A42549" w:rsidRDefault="00786194" w:rsidP="001B0FC6">
      <w:pPr>
        <w:pStyle w:val="FootnoteText"/>
        <w:rPr>
          <w:sz w:val="22"/>
          <w:szCs w:val="22"/>
        </w:rPr>
      </w:pPr>
      <w:r w:rsidRPr="00A42549">
        <w:rPr>
          <w:rStyle w:val="FootnoteReference"/>
          <w:sz w:val="22"/>
          <w:szCs w:val="22"/>
        </w:rPr>
        <w:footnoteRef/>
      </w:r>
      <w:r w:rsidRPr="00A42549">
        <w:rPr>
          <w:sz w:val="22"/>
          <w:szCs w:val="22"/>
        </w:rPr>
        <w:t xml:space="preserve"> Morrison</w:t>
      </w:r>
      <w:r w:rsidRPr="00A42549">
        <w:rPr>
          <w:b/>
          <w:sz w:val="22"/>
          <w:szCs w:val="22"/>
        </w:rPr>
        <w:t xml:space="preserve">, </w:t>
      </w:r>
      <w:r w:rsidRPr="00A42549">
        <w:rPr>
          <w:sz w:val="22"/>
          <w:szCs w:val="22"/>
        </w:rPr>
        <w:t>“The Reception of the Book of Daniel in Aphrahat’s Fifth Demonstration,” 79. See further Tübach</w:t>
      </w:r>
      <w:r w:rsidRPr="00A42549">
        <w:rPr>
          <w:b/>
          <w:sz w:val="22"/>
          <w:szCs w:val="22"/>
        </w:rPr>
        <w:t>,</w:t>
      </w:r>
      <w:r w:rsidRPr="00A42549">
        <w:rPr>
          <w:sz w:val="22"/>
          <w:szCs w:val="22"/>
        </w:rPr>
        <w:t xml:space="preserve"> “Die syrische Danielrezeption,” with substantial bibliography.</w:t>
      </w:r>
    </w:p>
  </w:footnote>
  <w:footnote w:id="118">
    <w:p w:rsidR="00786194" w:rsidRPr="00A42549" w:rsidRDefault="00786194" w:rsidP="001B0FC6">
      <w:pPr>
        <w:pStyle w:val="FootnoteText"/>
        <w:rPr>
          <w:sz w:val="22"/>
          <w:szCs w:val="22"/>
        </w:rPr>
      </w:pPr>
      <w:r w:rsidRPr="00A42549">
        <w:rPr>
          <w:rStyle w:val="FootnoteReference"/>
          <w:sz w:val="22"/>
          <w:szCs w:val="22"/>
        </w:rPr>
        <w:footnoteRef/>
      </w:r>
      <w:r w:rsidRPr="00A42549">
        <w:rPr>
          <w:sz w:val="22"/>
          <w:szCs w:val="22"/>
        </w:rPr>
        <w:t xml:space="preserve"> Cf, Goez, “Die Danielrezeption im Abendland,” 190. </w:t>
      </w:r>
    </w:p>
  </w:footnote>
  <w:footnote w:id="119">
    <w:p w:rsidR="00786194" w:rsidRPr="00A42549" w:rsidRDefault="00786194" w:rsidP="001B0FC6">
      <w:pPr>
        <w:pStyle w:val="FootnoteText"/>
        <w:rPr>
          <w:sz w:val="22"/>
          <w:szCs w:val="22"/>
        </w:rPr>
      </w:pPr>
      <w:r w:rsidRPr="00A42549">
        <w:rPr>
          <w:rStyle w:val="FootnoteReference"/>
          <w:sz w:val="22"/>
          <w:szCs w:val="22"/>
        </w:rPr>
        <w:footnoteRef/>
      </w:r>
      <w:r w:rsidRPr="00A42549">
        <w:rPr>
          <w:sz w:val="22"/>
          <w:szCs w:val="22"/>
        </w:rPr>
        <w:t xml:space="preserve"> See Henze</w:t>
      </w:r>
      <w:r w:rsidRPr="00A42549">
        <w:rPr>
          <w:b/>
          <w:sz w:val="22"/>
          <w:szCs w:val="22"/>
        </w:rPr>
        <w:t xml:space="preserve">, </w:t>
      </w:r>
      <w:r w:rsidRPr="00A42549">
        <w:rPr>
          <w:sz w:val="22"/>
          <w:szCs w:val="22"/>
        </w:rPr>
        <w:t>“Nebuchadnezzar’s Madness (Daniel 4) in Syriac Literature.”</w:t>
      </w:r>
    </w:p>
  </w:footnote>
  <w:footnote w:id="120">
    <w:p w:rsidR="00786194" w:rsidRPr="00A42549" w:rsidRDefault="00786194" w:rsidP="001402E3">
      <w:pPr>
        <w:pStyle w:val="FootnoteText"/>
        <w:rPr>
          <w:sz w:val="22"/>
          <w:szCs w:val="22"/>
        </w:rPr>
      </w:pPr>
      <w:r w:rsidRPr="00A42549">
        <w:rPr>
          <w:rStyle w:val="FootnoteReference"/>
          <w:sz w:val="22"/>
          <w:szCs w:val="22"/>
        </w:rPr>
        <w:footnoteRef/>
      </w:r>
      <w:r w:rsidRPr="00A42549">
        <w:rPr>
          <w:sz w:val="22"/>
          <w:szCs w:val="22"/>
        </w:rPr>
        <w:t xml:space="preserve"> See Hill, “The Commentary on Daniel by Theodoret of Cyrus</w:t>
      </w:r>
      <w:r w:rsidRPr="00A42549">
        <w:rPr>
          <w:bCs/>
          <w:iCs/>
          <w:sz w:val="22"/>
          <w:szCs w:val="22"/>
        </w:rPr>
        <w:t xml:space="preserve">; </w:t>
      </w:r>
      <w:r w:rsidRPr="00A42549">
        <w:rPr>
          <w:b/>
          <w:bCs/>
          <w:i/>
          <w:iCs/>
          <w:sz w:val="22"/>
          <w:szCs w:val="22"/>
        </w:rPr>
        <w:t xml:space="preserve">———, </w:t>
      </w:r>
      <w:r w:rsidRPr="00A42549">
        <w:rPr>
          <w:bCs/>
          <w:i/>
          <w:iCs/>
          <w:sz w:val="22"/>
          <w:szCs w:val="22"/>
        </w:rPr>
        <w:t>Reading the OT in Antioch</w:t>
      </w:r>
      <w:r w:rsidRPr="00A42549">
        <w:rPr>
          <w:bCs/>
          <w:iCs/>
          <w:sz w:val="22"/>
          <w:szCs w:val="22"/>
        </w:rPr>
        <w:t>.</w:t>
      </w:r>
    </w:p>
  </w:footnote>
  <w:footnote w:id="12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Daniel</w:t>
      </w:r>
      <w:r w:rsidRPr="00A42549">
        <w:rPr>
          <w:sz w:val="22"/>
          <w:szCs w:val="22"/>
        </w:rPr>
        <w:t>, 6-7; see his commentary on 9:24-27 (</w:t>
      </w:r>
      <w:r w:rsidRPr="00A42549">
        <w:rPr>
          <w:i/>
          <w:sz w:val="22"/>
          <w:szCs w:val="22"/>
        </w:rPr>
        <w:t>Daniel</w:t>
      </w:r>
      <w:r w:rsidRPr="00A42549">
        <w:rPr>
          <w:sz w:val="22"/>
          <w:szCs w:val="22"/>
        </w:rPr>
        <w:t>, 238-61).</w:t>
      </w:r>
    </w:p>
  </w:footnote>
  <w:footnote w:id="122">
    <w:p w:rsidR="00786194" w:rsidRPr="00A42549" w:rsidRDefault="00786194" w:rsidP="001B0FC6">
      <w:pPr>
        <w:pStyle w:val="FootnoteText"/>
        <w:rPr>
          <w:b/>
          <w:sz w:val="22"/>
          <w:szCs w:val="22"/>
        </w:rPr>
      </w:pPr>
      <w:r w:rsidRPr="00A42549">
        <w:rPr>
          <w:rStyle w:val="FootnoteReference"/>
          <w:sz w:val="22"/>
          <w:szCs w:val="22"/>
        </w:rPr>
        <w:footnoteRef/>
      </w:r>
      <w:r w:rsidRPr="00A42549">
        <w:rPr>
          <w:sz w:val="22"/>
          <w:szCs w:val="22"/>
        </w:rPr>
        <w:t xml:space="preserve"> See K. Bracht in Smith-Christopher et al., “Daniel (Book and Person),” 112-13.</w:t>
      </w:r>
    </w:p>
  </w:footnote>
  <w:footnote w:id="12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Denis, </w:t>
      </w:r>
      <w:r w:rsidRPr="00A42549">
        <w:rPr>
          <w:i/>
          <w:sz w:val="22"/>
          <w:szCs w:val="22"/>
        </w:rPr>
        <w:t>Introduction aux Pseudépigraphes grecs d’AT</w:t>
      </w:r>
      <w:r w:rsidRPr="00A42549">
        <w:rPr>
          <w:sz w:val="22"/>
          <w:szCs w:val="22"/>
        </w:rPr>
        <w:t>, 309–14.</w:t>
      </w:r>
    </w:p>
  </w:footnote>
  <w:footnote w:id="124">
    <w:p w:rsidR="00786194" w:rsidRPr="00A42549" w:rsidRDefault="00786194" w:rsidP="00C3287E">
      <w:pPr>
        <w:pStyle w:val="FootnoteText"/>
        <w:rPr>
          <w:sz w:val="22"/>
          <w:szCs w:val="22"/>
        </w:rPr>
      </w:pPr>
      <w:r w:rsidRPr="00A42549">
        <w:rPr>
          <w:rStyle w:val="FootnoteReference"/>
          <w:sz w:val="22"/>
          <w:szCs w:val="22"/>
        </w:rPr>
        <w:footnoteRef/>
      </w:r>
      <w:r w:rsidRPr="00A42549">
        <w:rPr>
          <w:sz w:val="22"/>
          <w:szCs w:val="22"/>
        </w:rPr>
        <w:t xml:space="preserve"> See Barkhuizen, “Romanos Melodos.”</w:t>
      </w:r>
    </w:p>
  </w:footnote>
  <w:footnote w:id="12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Schmoldt, “Die Schrift ‘Vom jungen Daniel’ und ‘Daniels letzte Vision’”; Brock</w:t>
      </w:r>
      <w:r w:rsidRPr="00A42549">
        <w:rPr>
          <w:b/>
          <w:sz w:val="22"/>
          <w:szCs w:val="22"/>
        </w:rPr>
        <w:t xml:space="preserve">, </w:t>
      </w:r>
      <w:r w:rsidRPr="00A42549">
        <w:rPr>
          <w:sz w:val="22"/>
          <w:szCs w:val="22"/>
        </w:rPr>
        <w:t>“'The Young Daniel'“; Henze</w:t>
      </w:r>
      <w:r w:rsidRPr="00A42549">
        <w:rPr>
          <w:b/>
          <w:sz w:val="22"/>
          <w:szCs w:val="22"/>
        </w:rPr>
        <w:t xml:space="preserve">, </w:t>
      </w:r>
      <w:r w:rsidRPr="00A42549">
        <w:rPr>
          <w:i/>
          <w:sz w:val="22"/>
          <w:szCs w:val="22"/>
        </w:rPr>
        <w:t>Syriac Apocalypse of Daniel</w:t>
      </w:r>
      <w:r w:rsidRPr="00A42549">
        <w:rPr>
          <w:sz w:val="22"/>
          <w:szCs w:val="22"/>
        </w:rPr>
        <w:t>.</w:t>
      </w:r>
    </w:p>
  </w:footnote>
  <w:footnote w:id="12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
          <w:sz w:val="22"/>
          <w:szCs w:val="22"/>
        </w:rPr>
        <w:t>OTP</w:t>
      </w:r>
      <w:r w:rsidRPr="00A42549">
        <w:rPr>
          <w:sz w:val="22"/>
          <w:szCs w:val="22"/>
        </w:rPr>
        <w:t xml:space="preserve"> 1:755–70; Berger, </w:t>
      </w:r>
      <w:r w:rsidRPr="00A42549">
        <w:rPr>
          <w:i/>
          <w:sz w:val="22"/>
          <w:szCs w:val="22"/>
        </w:rPr>
        <w:t>Die griechische Daniel-Diegese</w:t>
      </w:r>
      <w:r w:rsidRPr="00A42549">
        <w:rPr>
          <w:sz w:val="22"/>
          <w:szCs w:val="22"/>
        </w:rPr>
        <w:t xml:space="preserve">. </w:t>
      </w:r>
    </w:p>
  </w:footnote>
  <w:footnote w:id="12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Casey, “Porphyry and the Origin of the Book of Daniel,” 25; </w:t>
      </w:r>
      <w:r w:rsidRPr="00A42549">
        <w:rPr>
          <w:iCs/>
          <w:sz w:val="22"/>
          <w:szCs w:val="22"/>
        </w:rPr>
        <w:t>Van der Kooij</w:t>
      </w:r>
      <w:r w:rsidRPr="00A42549">
        <w:rPr>
          <w:sz w:val="22"/>
          <w:szCs w:val="22"/>
        </w:rPr>
        <w:t xml:space="preserve">,“The Four Kingdoms in Peshitta Daniel 7”; Taylor, </w:t>
      </w:r>
      <w:r w:rsidRPr="00A42549">
        <w:rPr>
          <w:i/>
          <w:sz w:val="22"/>
          <w:szCs w:val="22"/>
        </w:rPr>
        <w:t xml:space="preserve">The Peshiṭta of Daniel, </w:t>
      </w:r>
      <w:r w:rsidRPr="00A42549">
        <w:rPr>
          <w:sz w:val="22"/>
          <w:szCs w:val="22"/>
        </w:rPr>
        <w:t xml:space="preserve">200-1. </w:t>
      </w:r>
    </w:p>
  </w:footnote>
  <w:footnote w:id="12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Koch, “Spätisraelitische Geschichtsdenken am Beispiel des Buches Daniel,” 1–2; cf. Marsch, </w:t>
      </w:r>
      <w:r w:rsidRPr="00A42549">
        <w:rPr>
          <w:i/>
          <w:sz w:val="22"/>
          <w:szCs w:val="22"/>
        </w:rPr>
        <w:t>Prophetie</w:t>
      </w:r>
      <w:r w:rsidRPr="00A42549">
        <w:rPr>
          <w:sz w:val="22"/>
          <w:szCs w:val="22"/>
        </w:rPr>
        <w:t xml:space="preserve">; </w:t>
      </w:r>
      <w:r w:rsidRPr="00A42549">
        <w:rPr>
          <w:b/>
          <w:sz w:val="22"/>
          <w:szCs w:val="22"/>
        </w:rPr>
        <w:t xml:space="preserve">———, </w:t>
      </w:r>
      <w:r w:rsidRPr="00A42549">
        <w:rPr>
          <w:sz w:val="22"/>
          <w:szCs w:val="22"/>
        </w:rPr>
        <w:t>Gellinek, “Daniel’s Vision of Four Beasts in Twelfth-Century German Literature”).</w:t>
      </w:r>
    </w:p>
  </w:footnote>
  <w:footnote w:id="129">
    <w:p w:rsidR="00786194" w:rsidRPr="00A42549" w:rsidRDefault="00786194" w:rsidP="00C3287E">
      <w:pPr>
        <w:pStyle w:val="FootnoteText"/>
        <w:rPr>
          <w:sz w:val="22"/>
          <w:szCs w:val="22"/>
        </w:rPr>
      </w:pPr>
      <w:r w:rsidRPr="00A42549">
        <w:rPr>
          <w:rStyle w:val="FootnoteReference"/>
          <w:sz w:val="22"/>
          <w:szCs w:val="22"/>
        </w:rPr>
        <w:footnoteRef/>
      </w:r>
      <w:r w:rsidRPr="00A42549">
        <w:rPr>
          <w:sz w:val="22"/>
          <w:szCs w:val="22"/>
        </w:rPr>
        <w:t xml:space="preserve"> See van Peursen</w:t>
      </w:r>
      <w:r w:rsidRPr="00A42549">
        <w:rPr>
          <w:b/>
          <w:sz w:val="22"/>
          <w:szCs w:val="22"/>
        </w:rPr>
        <w:t xml:space="preserve">, </w:t>
      </w:r>
      <w:r w:rsidRPr="00A42549">
        <w:rPr>
          <w:sz w:val="22"/>
          <w:szCs w:val="22"/>
        </w:rPr>
        <w:t>“Daniel’s Four Kingdoms in the Syriac Tradition.”</w:t>
      </w:r>
    </w:p>
  </w:footnote>
  <w:footnote w:id="130">
    <w:p w:rsidR="00786194" w:rsidRPr="00A42549" w:rsidRDefault="00786194" w:rsidP="00C3287E">
      <w:pPr>
        <w:pStyle w:val="FootnoteText"/>
        <w:rPr>
          <w:sz w:val="22"/>
          <w:szCs w:val="22"/>
        </w:rPr>
      </w:pPr>
      <w:r w:rsidRPr="00A42549">
        <w:rPr>
          <w:rStyle w:val="FootnoteReference"/>
          <w:sz w:val="22"/>
          <w:szCs w:val="22"/>
        </w:rPr>
        <w:footnoteRef/>
      </w:r>
      <w:r w:rsidRPr="00A42549">
        <w:rPr>
          <w:sz w:val="22"/>
          <w:szCs w:val="22"/>
        </w:rPr>
        <w:t xml:space="preserve"> See M. Sel, “Daniel—In Arabic Literature,” </w:t>
      </w:r>
      <w:r w:rsidRPr="00A42549">
        <w:rPr>
          <w:i/>
          <w:sz w:val="22"/>
          <w:szCs w:val="22"/>
        </w:rPr>
        <w:t>The Jewish Encyclopedia</w:t>
      </w:r>
      <w:r w:rsidRPr="00A42549">
        <w:rPr>
          <w:sz w:val="22"/>
          <w:szCs w:val="22"/>
        </w:rPr>
        <w:t xml:space="preserve"> 4:429; Bobzin, “Bemerkungen zu Daniel in der islamischen Tradition”; </w:t>
      </w:r>
      <w:r w:rsidRPr="00A42549">
        <w:rPr>
          <w:b/>
          <w:sz w:val="22"/>
          <w:szCs w:val="22"/>
        </w:rPr>
        <w:t xml:space="preserve">———, </w:t>
      </w:r>
      <w:r w:rsidRPr="00A42549">
        <w:rPr>
          <w:sz w:val="22"/>
          <w:szCs w:val="22"/>
        </w:rPr>
        <w:t xml:space="preserve">“Die islamischen Danielrezeption”; Wheeler, </w:t>
      </w:r>
      <w:r w:rsidRPr="00A42549">
        <w:rPr>
          <w:i/>
          <w:sz w:val="22"/>
          <w:szCs w:val="22"/>
        </w:rPr>
        <w:t>Prophets in the Quran</w:t>
      </w:r>
      <w:r w:rsidRPr="00A42549">
        <w:rPr>
          <w:sz w:val="22"/>
          <w:szCs w:val="22"/>
        </w:rPr>
        <w:t>, 280-83; J. Hämeen-Anttila in Smith-Christopher</w:t>
      </w:r>
      <w:r w:rsidRPr="00A42549">
        <w:rPr>
          <w:b/>
          <w:sz w:val="22"/>
          <w:szCs w:val="22"/>
        </w:rPr>
        <w:t xml:space="preserve"> </w:t>
      </w:r>
      <w:r w:rsidRPr="00A42549">
        <w:rPr>
          <w:sz w:val="22"/>
          <w:szCs w:val="22"/>
        </w:rPr>
        <w:t>et al., “Daniel (Book and Person),” 121-24.</w:t>
      </w:r>
    </w:p>
  </w:footnote>
  <w:footnote w:id="13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w:t>
      </w:r>
      <w:r w:rsidRPr="00A42549">
        <w:rPr>
          <w:bCs/>
          <w:sz w:val="22"/>
          <w:szCs w:val="22"/>
        </w:rPr>
        <w:t>Farrell</w:t>
      </w:r>
      <w:r w:rsidRPr="00A42549">
        <w:rPr>
          <w:b/>
          <w:bCs/>
          <w:sz w:val="22"/>
          <w:szCs w:val="22"/>
        </w:rPr>
        <w:t xml:space="preserve">, </w:t>
      </w:r>
      <w:r w:rsidRPr="00A42549">
        <w:rPr>
          <w:bCs/>
          <w:i/>
          <w:sz w:val="22"/>
          <w:szCs w:val="22"/>
        </w:rPr>
        <w:t>Daniel and Azarias</w:t>
      </w:r>
      <w:r w:rsidRPr="00A42549">
        <w:rPr>
          <w:b/>
          <w:bCs/>
          <w:sz w:val="22"/>
          <w:szCs w:val="22"/>
        </w:rPr>
        <w:t xml:space="preserve">; </w:t>
      </w:r>
      <w:r w:rsidRPr="00A42549">
        <w:rPr>
          <w:bCs/>
          <w:sz w:val="22"/>
          <w:szCs w:val="22"/>
        </w:rPr>
        <w:t>Portnoy, “</w:t>
      </w:r>
      <w:r w:rsidRPr="00A42549">
        <w:rPr>
          <w:bCs/>
          <w:i/>
          <w:sz w:val="22"/>
          <w:szCs w:val="22"/>
        </w:rPr>
        <w:t xml:space="preserve">Daniel </w:t>
      </w:r>
      <w:r w:rsidRPr="00A42549">
        <w:rPr>
          <w:bCs/>
          <w:sz w:val="22"/>
          <w:szCs w:val="22"/>
        </w:rPr>
        <w:t>and the Dew-Laden Wind”; George</w:t>
      </w:r>
      <w:r w:rsidRPr="00A42549">
        <w:rPr>
          <w:b/>
          <w:bCs/>
          <w:sz w:val="22"/>
          <w:szCs w:val="22"/>
        </w:rPr>
        <w:t xml:space="preserve">, </w:t>
      </w:r>
      <w:r w:rsidRPr="00A42549">
        <w:rPr>
          <w:bCs/>
          <w:sz w:val="22"/>
          <w:szCs w:val="22"/>
        </w:rPr>
        <w:t>“Repentance and Retribution.”</w:t>
      </w:r>
    </w:p>
  </w:footnote>
  <w:footnote w:id="132">
    <w:p w:rsidR="00786194" w:rsidRPr="00A42549" w:rsidRDefault="00786194" w:rsidP="006908BB">
      <w:pPr>
        <w:pStyle w:val="FootnoteText"/>
        <w:rPr>
          <w:sz w:val="22"/>
          <w:szCs w:val="22"/>
        </w:rPr>
      </w:pPr>
      <w:r w:rsidRPr="00A42549">
        <w:rPr>
          <w:rStyle w:val="FootnoteReference"/>
          <w:sz w:val="22"/>
          <w:szCs w:val="22"/>
        </w:rPr>
        <w:footnoteRef/>
      </w:r>
      <w:r w:rsidRPr="00A42549">
        <w:rPr>
          <w:sz w:val="22"/>
          <w:szCs w:val="22"/>
        </w:rPr>
        <w:t xml:space="preserve"> Hill</w:t>
      </w:r>
      <w:r w:rsidRPr="00A42549">
        <w:rPr>
          <w:b/>
          <w:sz w:val="22"/>
          <w:szCs w:val="22"/>
        </w:rPr>
        <w:t xml:space="preserve">, </w:t>
      </w:r>
      <w:r w:rsidRPr="00A42549">
        <w:rPr>
          <w:sz w:val="22"/>
          <w:szCs w:val="22"/>
        </w:rPr>
        <w:t xml:space="preserve">“Apocalyptic Lollards?” 7, referring to Gradon/Hudson (eds.), </w:t>
      </w:r>
      <w:r w:rsidRPr="00A42549">
        <w:rPr>
          <w:i/>
          <w:iCs/>
          <w:sz w:val="22"/>
          <w:szCs w:val="22"/>
        </w:rPr>
        <w:t>English Wycliffite Sermons</w:t>
      </w:r>
      <w:r w:rsidRPr="00A42549">
        <w:rPr>
          <w:iCs/>
          <w:sz w:val="22"/>
          <w:szCs w:val="22"/>
        </w:rPr>
        <w:t>. On Daniel in the visual arts, see B. Kress in Smith-Christopher</w:t>
      </w:r>
      <w:r w:rsidRPr="00A42549">
        <w:rPr>
          <w:b/>
          <w:iCs/>
          <w:sz w:val="22"/>
          <w:szCs w:val="22"/>
        </w:rPr>
        <w:t xml:space="preserve"> </w:t>
      </w:r>
      <w:r w:rsidRPr="00A42549">
        <w:rPr>
          <w:iCs/>
          <w:sz w:val="22"/>
          <w:szCs w:val="22"/>
        </w:rPr>
        <w:t>et al., “Daniel (Book and Person),” 128-31.</w:t>
      </w:r>
    </w:p>
  </w:footnote>
  <w:footnote w:id="133">
    <w:p w:rsidR="00786194" w:rsidRPr="00A42549" w:rsidRDefault="00786194" w:rsidP="009F17D5">
      <w:pPr>
        <w:pStyle w:val="FootnoteText"/>
        <w:rPr>
          <w:bCs/>
          <w:sz w:val="22"/>
          <w:szCs w:val="22"/>
        </w:rPr>
      </w:pPr>
      <w:r w:rsidRPr="00A42549">
        <w:rPr>
          <w:rStyle w:val="FootnoteReference"/>
          <w:sz w:val="22"/>
          <w:szCs w:val="22"/>
        </w:rPr>
        <w:footnoteRef/>
      </w:r>
      <w:r w:rsidRPr="00A42549">
        <w:rPr>
          <w:sz w:val="22"/>
          <w:szCs w:val="22"/>
        </w:rPr>
        <w:t xml:space="preserve"> See </w:t>
      </w:r>
      <w:r w:rsidRPr="00A42549">
        <w:rPr>
          <w:bCs/>
          <w:sz w:val="22"/>
          <w:szCs w:val="22"/>
        </w:rPr>
        <w:t>Webb</w:t>
      </w:r>
      <w:r w:rsidRPr="00A42549">
        <w:rPr>
          <w:b/>
          <w:bCs/>
          <w:sz w:val="22"/>
          <w:szCs w:val="22"/>
        </w:rPr>
        <w:t>,</w:t>
      </w:r>
      <w:r w:rsidRPr="00A42549">
        <w:rPr>
          <w:bCs/>
          <w:sz w:val="22"/>
          <w:szCs w:val="22"/>
        </w:rPr>
        <w:t xml:space="preserve"> “Knowledge Will Be Manifold.”</w:t>
      </w:r>
    </w:p>
  </w:footnote>
  <w:footnote w:id="134">
    <w:p w:rsidR="00786194" w:rsidRPr="00A42549" w:rsidRDefault="00786194" w:rsidP="009F17D5">
      <w:pPr>
        <w:pStyle w:val="FootnoteText"/>
        <w:rPr>
          <w:sz w:val="22"/>
          <w:szCs w:val="22"/>
        </w:rPr>
      </w:pPr>
      <w:r w:rsidRPr="00A42549">
        <w:rPr>
          <w:rStyle w:val="FootnoteReference"/>
          <w:sz w:val="22"/>
          <w:szCs w:val="22"/>
        </w:rPr>
        <w:footnoteRef/>
      </w:r>
      <w:r w:rsidRPr="00A42549">
        <w:rPr>
          <w:sz w:val="22"/>
          <w:szCs w:val="22"/>
        </w:rPr>
        <w:t xml:space="preserve"> </w:t>
      </w:r>
      <w:r w:rsidRPr="00A42549">
        <w:rPr>
          <w:bCs/>
          <w:iCs/>
          <w:sz w:val="22"/>
          <w:szCs w:val="22"/>
        </w:rPr>
        <w:t>See Krey</w:t>
      </w:r>
      <w:r w:rsidRPr="00A42549">
        <w:rPr>
          <w:b/>
          <w:bCs/>
          <w:iCs/>
          <w:sz w:val="22"/>
          <w:szCs w:val="22"/>
        </w:rPr>
        <w:t>,</w:t>
      </w:r>
      <w:r w:rsidRPr="00A42549">
        <w:rPr>
          <w:bCs/>
          <w:iCs/>
          <w:sz w:val="22"/>
          <w:szCs w:val="22"/>
        </w:rPr>
        <w:t xml:space="preserve"> “Nicholas of Lyra’s Commentary on Daniel”; Zier, “Nicholas of Lyra on the Book of Daniel.”</w:t>
      </w:r>
    </w:p>
  </w:footnote>
  <w:footnote w:id="13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Chazan, </w:t>
      </w:r>
      <w:r w:rsidRPr="00A42549">
        <w:rPr>
          <w:i/>
          <w:sz w:val="22"/>
          <w:szCs w:val="22"/>
        </w:rPr>
        <w:t>God, Humanity, and History</w:t>
      </w:r>
      <w:r w:rsidRPr="00A42549">
        <w:rPr>
          <w:sz w:val="22"/>
          <w:szCs w:val="22"/>
        </w:rPr>
        <w:t>, 176-85.</w:t>
      </w:r>
    </w:p>
  </w:footnote>
  <w:footnote w:id="136">
    <w:p w:rsidR="00786194" w:rsidRPr="00A42549" w:rsidRDefault="00786194" w:rsidP="00BB3911">
      <w:pPr>
        <w:pStyle w:val="FootnoteText"/>
        <w:rPr>
          <w:b/>
          <w:sz w:val="22"/>
          <w:szCs w:val="22"/>
        </w:rPr>
      </w:pPr>
      <w:r w:rsidRPr="00A42549">
        <w:rPr>
          <w:rStyle w:val="FootnoteReference"/>
          <w:sz w:val="22"/>
          <w:szCs w:val="22"/>
        </w:rPr>
        <w:footnoteRef/>
      </w:r>
      <w:r w:rsidRPr="00A42549">
        <w:rPr>
          <w:sz w:val="22"/>
          <w:szCs w:val="22"/>
        </w:rPr>
        <w:t xml:space="preserve"> See Smith-Christopher</w:t>
      </w:r>
      <w:r w:rsidRPr="00A42549">
        <w:rPr>
          <w:b/>
          <w:sz w:val="22"/>
          <w:szCs w:val="22"/>
        </w:rPr>
        <w:t xml:space="preserve"> </w:t>
      </w:r>
      <w:r w:rsidRPr="00A42549">
        <w:rPr>
          <w:sz w:val="22"/>
          <w:szCs w:val="22"/>
        </w:rPr>
        <w:t>et al., “Daniel (Book and Person),” 104-7.</w:t>
      </w:r>
    </w:p>
  </w:footnote>
  <w:footnote w:id="13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Morrow/Clarke, “The </w:t>
      </w:r>
      <w:r w:rsidRPr="00A42549">
        <w:rPr>
          <w:i/>
          <w:sz w:val="22"/>
          <w:szCs w:val="22"/>
        </w:rPr>
        <w:t>Ketib/Qere</w:t>
      </w:r>
      <w:r w:rsidRPr="00A42549">
        <w:rPr>
          <w:sz w:val="22"/>
          <w:szCs w:val="22"/>
        </w:rPr>
        <w:t xml:space="preserve"> in the Aramaic Portions of Ezra and Daniel.”</w:t>
      </w:r>
    </w:p>
  </w:footnote>
  <w:footnote w:id="13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the comments in Tov, </w:t>
      </w:r>
      <w:r w:rsidRPr="00A42549">
        <w:rPr>
          <w:i/>
          <w:sz w:val="22"/>
          <w:szCs w:val="22"/>
        </w:rPr>
        <w:t>Textual Criticism of the Hebrew Bible</w:t>
      </w:r>
      <w:r w:rsidRPr="00A42549">
        <w:rPr>
          <w:sz w:val="22"/>
          <w:szCs w:val="22"/>
        </w:rPr>
        <w:t>, 18.</w:t>
      </w:r>
    </w:p>
  </w:footnote>
  <w:footnote w:id="13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Mann, “Early Ḳaraite Bible Commentaries”; Shaked, “Fragments of Two Karaite Commentaries on Daniel”; Wieder, “Dead Sea Scrolls Type of Biblical Exegesis among the Karaites.”</w:t>
      </w:r>
    </w:p>
  </w:footnote>
  <w:footnote w:id="14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Rosenthal, “Don Isaac Abravanel.”</w:t>
      </w:r>
    </w:p>
  </w:footnote>
  <w:footnote w:id="14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Silver, </w:t>
      </w:r>
      <w:r w:rsidRPr="00A42549">
        <w:rPr>
          <w:i/>
          <w:sz w:val="22"/>
          <w:szCs w:val="22"/>
        </w:rPr>
        <w:t>History of Messianic Speculation in Israel</w:t>
      </w:r>
      <w:r w:rsidRPr="00A42549">
        <w:rPr>
          <w:sz w:val="22"/>
          <w:szCs w:val="22"/>
        </w:rPr>
        <w:t>, 3.</w:t>
      </w:r>
    </w:p>
  </w:footnote>
  <w:footnote w:id="142">
    <w:p w:rsidR="00786194" w:rsidRPr="00A42549" w:rsidRDefault="00786194" w:rsidP="00BD560C">
      <w:pPr>
        <w:pStyle w:val="FootnoteText"/>
        <w:rPr>
          <w:sz w:val="22"/>
          <w:szCs w:val="22"/>
        </w:rPr>
      </w:pPr>
      <w:r w:rsidRPr="00A42549">
        <w:rPr>
          <w:rStyle w:val="FootnoteReference"/>
          <w:sz w:val="22"/>
          <w:szCs w:val="22"/>
        </w:rPr>
        <w:footnoteRef/>
      </w:r>
      <w:r w:rsidRPr="00A42549">
        <w:rPr>
          <w:sz w:val="22"/>
          <w:szCs w:val="22"/>
        </w:rPr>
        <w:t xml:space="preserve"> See Lawee</w:t>
      </w:r>
      <w:r w:rsidRPr="00A42549">
        <w:rPr>
          <w:b/>
          <w:sz w:val="22"/>
          <w:szCs w:val="22"/>
        </w:rPr>
        <w:t xml:space="preserve">, </w:t>
      </w:r>
      <w:r w:rsidRPr="00A42549">
        <w:rPr>
          <w:sz w:val="22"/>
          <w:szCs w:val="22"/>
        </w:rPr>
        <w:t>“On the Threshold of the Renaissance,” 310-11; Schorch, “Die Auslegung des Danielbuches in der Schrift ‘Die Quellen der Erlösung’ des Don Isaak Abravanel,” 183-85.</w:t>
      </w:r>
    </w:p>
  </w:footnote>
  <w:footnote w:id="143">
    <w:p w:rsidR="00786194" w:rsidRPr="00A42549" w:rsidRDefault="00786194" w:rsidP="00BD560C">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102.</w:t>
      </w:r>
    </w:p>
  </w:footnote>
  <w:footnote w:id="14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Stemberger, “Die jüdische Danielrezeption,” 150-56.</w:t>
      </w:r>
    </w:p>
  </w:footnote>
  <w:footnote w:id="14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Cohen, </w:t>
      </w:r>
      <w:r w:rsidRPr="00A42549">
        <w:rPr>
          <w:i/>
          <w:sz w:val="22"/>
          <w:szCs w:val="22"/>
        </w:rPr>
        <w:t>The Book of Tradition</w:t>
      </w:r>
      <w:r w:rsidRPr="00A42549">
        <w:rPr>
          <w:sz w:val="22"/>
          <w:szCs w:val="22"/>
        </w:rPr>
        <w:t>, 235.</w:t>
      </w:r>
    </w:p>
  </w:footnote>
  <w:footnote w:id="14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Silver, </w:t>
      </w:r>
      <w:r w:rsidRPr="00A42549">
        <w:rPr>
          <w:i/>
          <w:sz w:val="22"/>
          <w:szCs w:val="22"/>
        </w:rPr>
        <w:t>History of Messianic Speculation in Israel.</w:t>
      </w:r>
    </w:p>
  </w:footnote>
  <w:footnote w:id="14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Casey, “Porphyry and the Origin of the Book of Daniel,” 25, 28.</w:t>
      </w:r>
    </w:p>
  </w:footnote>
  <w:footnote w:id="14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Miegge</w:t>
      </w:r>
      <w:r w:rsidRPr="00A42549">
        <w:rPr>
          <w:b/>
          <w:sz w:val="22"/>
          <w:szCs w:val="22"/>
        </w:rPr>
        <w:t xml:space="preserve">, </w:t>
      </w:r>
      <w:r w:rsidRPr="00A42549">
        <w:rPr>
          <w:sz w:val="22"/>
          <w:szCs w:val="22"/>
        </w:rPr>
        <w:t>“‘Regnum quartum ferreum’ und ‘lapis de monte”; Pitkin, “Prophecy and History in Calvin’s Lectures on Daniel.”</w:t>
      </w:r>
    </w:p>
  </w:footnote>
  <w:footnote w:id="14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Parry, “Desolation of the Temple,” 526</w:t>
      </w:r>
    </w:p>
  </w:footnote>
  <w:footnote w:id="15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Backus, “The Beast.”</w:t>
      </w:r>
    </w:p>
  </w:footnote>
  <w:footnote w:id="15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Pitkin, “Prophecy and History in Calvin’s Lectures on Daniel.”</w:t>
      </w:r>
    </w:p>
  </w:footnote>
  <w:footnote w:id="15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Lloyd Jones, </w:t>
      </w:r>
      <w:r w:rsidRPr="00A42549">
        <w:rPr>
          <w:i/>
          <w:sz w:val="22"/>
          <w:szCs w:val="22"/>
        </w:rPr>
        <w:t>The</w:t>
      </w:r>
      <w:r w:rsidRPr="00A42549">
        <w:rPr>
          <w:sz w:val="22"/>
          <w:szCs w:val="22"/>
        </w:rPr>
        <w:t xml:space="preserve"> </w:t>
      </w:r>
      <w:r w:rsidRPr="00A42549">
        <w:rPr>
          <w:i/>
          <w:sz w:val="22"/>
          <w:szCs w:val="22"/>
        </w:rPr>
        <w:t>Influence of Mediaeval Jewish Exegetes on Biblical Scholarship</w:t>
      </w:r>
      <w:r w:rsidRPr="00A42549">
        <w:rPr>
          <w:sz w:val="22"/>
          <w:szCs w:val="22"/>
        </w:rPr>
        <w:t>.</w:t>
      </w:r>
    </w:p>
  </w:footnote>
  <w:footnote w:id="15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Cohn, </w:t>
      </w:r>
      <w:r w:rsidRPr="00A42549">
        <w:rPr>
          <w:i/>
          <w:sz w:val="22"/>
          <w:szCs w:val="22"/>
        </w:rPr>
        <w:t>The Pursuit of the Millennium</w:t>
      </w:r>
      <w:r w:rsidRPr="00A42549">
        <w:rPr>
          <w:sz w:val="22"/>
          <w:szCs w:val="22"/>
        </w:rPr>
        <w:t>, 124</w:t>
      </w:r>
    </w:p>
  </w:footnote>
  <w:footnote w:id="15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Bauckham, </w:t>
      </w:r>
      <w:r w:rsidRPr="00A42549">
        <w:rPr>
          <w:i/>
          <w:sz w:val="22"/>
          <w:szCs w:val="22"/>
        </w:rPr>
        <w:t>Apocalypse</w:t>
      </w:r>
      <w:r w:rsidRPr="00A42549">
        <w:rPr>
          <w:sz w:val="22"/>
          <w:szCs w:val="22"/>
        </w:rPr>
        <w:t>, 91–94</w:t>
      </w:r>
    </w:p>
  </w:footnote>
  <w:footnote w:id="155">
    <w:p w:rsidR="00786194" w:rsidRPr="00A42549" w:rsidRDefault="00786194" w:rsidP="00DB393F">
      <w:pPr>
        <w:pStyle w:val="FootnoteText"/>
        <w:rPr>
          <w:sz w:val="22"/>
          <w:szCs w:val="22"/>
        </w:rPr>
      </w:pPr>
      <w:r w:rsidRPr="00A42549">
        <w:rPr>
          <w:rStyle w:val="FootnoteReference"/>
          <w:sz w:val="22"/>
          <w:szCs w:val="22"/>
        </w:rPr>
        <w:footnoteRef/>
      </w:r>
      <w:r w:rsidRPr="00A42549">
        <w:rPr>
          <w:sz w:val="22"/>
          <w:szCs w:val="22"/>
        </w:rPr>
        <w:t xml:space="preserve"> Müntzer, </w:t>
      </w:r>
      <w:r w:rsidRPr="00A42549">
        <w:rPr>
          <w:i/>
          <w:sz w:val="22"/>
          <w:szCs w:val="22"/>
        </w:rPr>
        <w:t>Collected Works</w:t>
      </w:r>
      <w:r w:rsidRPr="00A42549">
        <w:rPr>
          <w:sz w:val="22"/>
          <w:szCs w:val="22"/>
        </w:rPr>
        <w:t>, 230-52; cf. Rowland</w:t>
      </w:r>
      <w:r w:rsidRPr="00A42549">
        <w:rPr>
          <w:b/>
          <w:sz w:val="22"/>
          <w:szCs w:val="22"/>
        </w:rPr>
        <w:t>,</w:t>
      </w:r>
      <w:r w:rsidRPr="00A42549">
        <w:rPr>
          <w:sz w:val="22"/>
          <w:szCs w:val="22"/>
        </w:rPr>
        <w:t xml:space="preserve"> “Daniel and the Radical Critique of Empire,” 448-53.</w:t>
      </w:r>
    </w:p>
  </w:footnote>
  <w:footnote w:id="15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Cohn, </w:t>
      </w:r>
      <w:r w:rsidRPr="00A42549">
        <w:rPr>
          <w:i/>
          <w:sz w:val="22"/>
          <w:szCs w:val="22"/>
        </w:rPr>
        <w:t>The Pursuit of the Millennium</w:t>
      </w:r>
      <w:r w:rsidRPr="00A42549">
        <w:rPr>
          <w:sz w:val="22"/>
          <w:szCs w:val="22"/>
        </w:rPr>
        <w:t>, 234–50; and see Röcke, “Die Danielprophetie als reflexionsmodus revoltionärer Phantasien im Spätmittelalter.”</w:t>
      </w:r>
    </w:p>
  </w:footnote>
  <w:footnote w:id="15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Luther, </w:t>
      </w:r>
      <w:r w:rsidRPr="00A42549">
        <w:rPr>
          <w:i/>
          <w:sz w:val="22"/>
          <w:szCs w:val="22"/>
        </w:rPr>
        <w:t>Heerpredigt wider dem Türken</w:t>
      </w:r>
      <w:r w:rsidRPr="00A42549">
        <w:rPr>
          <w:sz w:val="22"/>
          <w:szCs w:val="22"/>
        </w:rPr>
        <w:t>, 160-79; cf. Buchanan, “Luther and the Turks 1519–1529,” 157–59.</w:t>
      </w:r>
    </w:p>
  </w:footnote>
  <w:footnote w:id="15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Wengert, “The </w:t>
      </w:r>
      <w:r w:rsidRPr="00A42549">
        <w:rPr>
          <w:bCs/>
          <w:sz w:val="22"/>
          <w:szCs w:val="22"/>
        </w:rPr>
        <w:t>Biblical Commentaries of Philip Melanchthon,” 57-59; cf. Scheible, “Melanchthons Verständnis des Danielsbuch.”</w:t>
      </w:r>
    </w:p>
  </w:footnote>
  <w:footnote w:id="15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Strohm, “Luthers Vorrede zum Propheten Daniel”; Vogel, “The Eschatological Theology of Martin Luther.”</w:t>
      </w:r>
    </w:p>
  </w:footnote>
  <w:footnote w:id="16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Barnes, </w:t>
      </w:r>
      <w:r w:rsidRPr="00A42549">
        <w:rPr>
          <w:i/>
          <w:sz w:val="22"/>
          <w:szCs w:val="22"/>
        </w:rPr>
        <w:t>Prophecy and Gnosis</w:t>
      </w:r>
      <w:r w:rsidRPr="00A42549">
        <w:rPr>
          <w:sz w:val="22"/>
          <w:szCs w:val="22"/>
        </w:rPr>
        <w:t>, 3.</w:t>
      </w:r>
    </w:p>
  </w:footnote>
  <w:footnote w:id="1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also his earlier treatment in “That Jesus Christ Was Born a Jew,” 221-28.</w:t>
      </w:r>
    </w:p>
  </w:footnote>
  <w:footnote w:id="16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Rashi in </w:t>
      </w:r>
      <w:r w:rsidRPr="00A42549">
        <w:rPr>
          <w:rFonts w:ascii="Arial" w:hAnsi="Arial" w:cs="Arial"/>
          <w:sz w:val="22"/>
          <w:szCs w:val="22"/>
        </w:rPr>
        <w:t>גדולות</w:t>
      </w:r>
      <w:r w:rsidRPr="00A42549">
        <w:rPr>
          <w:sz w:val="22"/>
          <w:szCs w:val="22"/>
        </w:rPr>
        <w:t xml:space="preserve"> </w:t>
      </w:r>
      <w:r w:rsidRPr="00A42549">
        <w:rPr>
          <w:rFonts w:ascii="Arial" w:hAnsi="Arial" w:cs="Arial"/>
          <w:sz w:val="22"/>
          <w:szCs w:val="22"/>
        </w:rPr>
        <w:t>מקראות</w:t>
      </w:r>
      <w:r w:rsidRPr="00A42549">
        <w:rPr>
          <w:sz w:val="22"/>
          <w:szCs w:val="22"/>
        </w:rPr>
        <w:t xml:space="preserve"> on the passage.</w:t>
      </w:r>
    </w:p>
  </w:footnote>
  <w:footnote w:id="16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also Koch, “Daniel in der Ikonografie des Reformationszeitalters.”</w:t>
      </w:r>
    </w:p>
  </w:footnote>
  <w:footnote w:id="164">
    <w:p w:rsidR="00786194" w:rsidRPr="00A42549" w:rsidRDefault="00786194" w:rsidP="00AE4C02">
      <w:pPr>
        <w:pStyle w:val="FootnoteText"/>
        <w:rPr>
          <w:sz w:val="22"/>
          <w:szCs w:val="22"/>
        </w:rPr>
      </w:pPr>
      <w:r w:rsidRPr="00A42549">
        <w:rPr>
          <w:rStyle w:val="FootnoteReference"/>
          <w:sz w:val="22"/>
          <w:szCs w:val="22"/>
        </w:rPr>
        <w:footnoteRef/>
      </w:r>
      <w:r w:rsidRPr="00A42549">
        <w:rPr>
          <w:sz w:val="22"/>
          <w:szCs w:val="22"/>
        </w:rPr>
        <w:t xml:space="preserve"> See Bullinger, </w:t>
      </w:r>
      <w:r w:rsidRPr="00A42549">
        <w:rPr>
          <w:i/>
          <w:sz w:val="22"/>
          <w:szCs w:val="22"/>
        </w:rPr>
        <w:t>Daniel sapientissimus Dei propheta</w:t>
      </w:r>
      <w:r w:rsidRPr="00A42549">
        <w:rPr>
          <w:sz w:val="22"/>
          <w:szCs w:val="22"/>
        </w:rPr>
        <w:t>. On his writings on Daniel, see Goeing</w:t>
      </w:r>
      <w:r w:rsidRPr="00A42549">
        <w:rPr>
          <w:b/>
          <w:sz w:val="22"/>
          <w:szCs w:val="22"/>
        </w:rPr>
        <w:t xml:space="preserve">, </w:t>
      </w:r>
      <w:r w:rsidRPr="00A42549">
        <w:rPr>
          <w:i/>
          <w:sz w:val="22"/>
          <w:szCs w:val="22"/>
        </w:rPr>
        <w:t>Storing, Archiving, Organizing</w:t>
      </w:r>
      <w:r w:rsidRPr="00A42549">
        <w:rPr>
          <w:sz w:val="22"/>
          <w:szCs w:val="22"/>
        </w:rPr>
        <w:t>, 86; Krüger</w:t>
      </w:r>
      <w:r w:rsidRPr="00A42549">
        <w:rPr>
          <w:b/>
          <w:sz w:val="22"/>
          <w:szCs w:val="22"/>
        </w:rPr>
        <w:t xml:space="preserve">, </w:t>
      </w:r>
      <w:r w:rsidRPr="00A42549">
        <w:rPr>
          <w:sz w:val="22"/>
          <w:szCs w:val="22"/>
        </w:rPr>
        <w:t>“</w:t>
      </w:r>
      <w:r w:rsidRPr="00A42549">
        <w:rPr>
          <w:bCs/>
          <w:sz w:val="22"/>
          <w:szCs w:val="22"/>
        </w:rPr>
        <w:t>Heinrich Bullinger als Ausleger des ATs am Beispiel seiner Predigten Daniel 1 und 2”; Campi</w:t>
      </w:r>
      <w:r w:rsidRPr="00A42549">
        <w:rPr>
          <w:b/>
          <w:bCs/>
          <w:sz w:val="22"/>
          <w:szCs w:val="22"/>
        </w:rPr>
        <w:t>,</w:t>
      </w:r>
      <w:r w:rsidRPr="00A42549">
        <w:rPr>
          <w:bCs/>
          <w:sz w:val="22"/>
          <w:szCs w:val="22"/>
        </w:rPr>
        <w:t xml:space="preserve"> “Über das Ende des Weltzeitalters.”</w:t>
      </w:r>
    </w:p>
  </w:footnote>
  <w:footnote w:id="165">
    <w:p w:rsidR="00786194" w:rsidRPr="00A42549" w:rsidRDefault="00786194" w:rsidP="006908BB">
      <w:pPr>
        <w:pStyle w:val="FootnoteText"/>
        <w:rPr>
          <w:sz w:val="22"/>
          <w:szCs w:val="22"/>
        </w:rPr>
      </w:pPr>
      <w:r w:rsidRPr="00A42549">
        <w:rPr>
          <w:rStyle w:val="FootnoteReference"/>
          <w:sz w:val="22"/>
          <w:szCs w:val="22"/>
        </w:rPr>
        <w:footnoteRef/>
      </w:r>
      <w:r w:rsidRPr="00A42549">
        <w:rPr>
          <w:sz w:val="22"/>
          <w:szCs w:val="22"/>
        </w:rPr>
        <w:t xml:space="preserve"> Butterworth/Chester, </w:t>
      </w:r>
      <w:r w:rsidRPr="00A42549">
        <w:rPr>
          <w:i/>
          <w:sz w:val="22"/>
          <w:szCs w:val="22"/>
        </w:rPr>
        <w:t>Joye</w:t>
      </w:r>
      <w:r w:rsidRPr="00A42549">
        <w:rPr>
          <w:sz w:val="22"/>
          <w:szCs w:val="22"/>
        </w:rPr>
        <w:t>, 235–44.</w:t>
      </w:r>
    </w:p>
  </w:footnote>
  <w:footnote w:id="166">
    <w:p w:rsidR="00786194" w:rsidRPr="00A42549" w:rsidRDefault="00786194" w:rsidP="00E949EB">
      <w:pPr>
        <w:pStyle w:val="FootnoteText"/>
        <w:rPr>
          <w:sz w:val="22"/>
          <w:szCs w:val="22"/>
        </w:rPr>
      </w:pPr>
      <w:r w:rsidRPr="00A42549">
        <w:rPr>
          <w:rStyle w:val="FootnoteReference"/>
          <w:sz w:val="22"/>
          <w:szCs w:val="22"/>
        </w:rPr>
        <w:footnoteRef/>
      </w:r>
      <w:r w:rsidRPr="00A42549">
        <w:rPr>
          <w:sz w:val="22"/>
          <w:szCs w:val="22"/>
        </w:rPr>
        <w:t xml:space="preserve"> Bauckham, </w:t>
      </w:r>
      <w:r w:rsidRPr="00A42549">
        <w:rPr>
          <w:i/>
          <w:sz w:val="22"/>
          <w:szCs w:val="22"/>
        </w:rPr>
        <w:t>Apocalypse</w:t>
      </w:r>
      <w:r w:rsidRPr="00A42549">
        <w:rPr>
          <w:sz w:val="22"/>
          <w:szCs w:val="22"/>
        </w:rPr>
        <w:t>, 13.</w:t>
      </w:r>
    </w:p>
  </w:footnote>
  <w:footnote w:id="167">
    <w:p w:rsidR="00786194" w:rsidRPr="00A42549" w:rsidRDefault="00786194" w:rsidP="006908BB">
      <w:pPr>
        <w:pStyle w:val="FootnoteText"/>
        <w:rPr>
          <w:sz w:val="22"/>
          <w:szCs w:val="22"/>
        </w:rPr>
      </w:pPr>
      <w:r w:rsidRPr="00A42549">
        <w:rPr>
          <w:rStyle w:val="FootnoteReference"/>
          <w:sz w:val="22"/>
          <w:szCs w:val="22"/>
        </w:rPr>
        <w:footnoteRef/>
      </w:r>
      <w:r w:rsidRPr="00A42549">
        <w:rPr>
          <w:sz w:val="22"/>
          <w:szCs w:val="22"/>
        </w:rPr>
        <w:t xml:space="preserve"> See Knox, </w:t>
      </w:r>
      <w:r w:rsidRPr="00A42549">
        <w:rPr>
          <w:i/>
          <w:sz w:val="22"/>
          <w:szCs w:val="22"/>
        </w:rPr>
        <w:t>History of the Reformation in Scotland</w:t>
      </w:r>
      <w:r w:rsidRPr="00A42549">
        <w:rPr>
          <w:sz w:val="22"/>
          <w:szCs w:val="22"/>
        </w:rPr>
        <w:t xml:space="preserve"> 1:84-86.</w:t>
      </w:r>
    </w:p>
  </w:footnote>
  <w:footnote w:id="168">
    <w:p w:rsidR="00786194" w:rsidRPr="00A42549" w:rsidRDefault="00786194" w:rsidP="006D1EE2">
      <w:pPr>
        <w:pStyle w:val="FootnoteText"/>
        <w:rPr>
          <w:sz w:val="22"/>
          <w:szCs w:val="22"/>
        </w:rPr>
      </w:pPr>
      <w:r w:rsidRPr="00A42549">
        <w:rPr>
          <w:rStyle w:val="FootnoteReference"/>
          <w:sz w:val="22"/>
          <w:szCs w:val="22"/>
        </w:rPr>
        <w:footnoteRef/>
      </w:r>
      <w:r w:rsidRPr="00A42549">
        <w:rPr>
          <w:sz w:val="22"/>
          <w:szCs w:val="22"/>
        </w:rPr>
        <w:t xml:space="preserve"> See Rosenthal, ‘Edward Lively,” </w:t>
      </w:r>
      <w:r w:rsidRPr="00A42549">
        <w:rPr>
          <w:i/>
          <w:sz w:val="22"/>
          <w:szCs w:val="22"/>
        </w:rPr>
        <w:t xml:space="preserve">Studia Semitica </w:t>
      </w:r>
      <w:r w:rsidRPr="00A42549">
        <w:rPr>
          <w:sz w:val="22"/>
          <w:szCs w:val="22"/>
        </w:rPr>
        <w:t>1:152–54.</w:t>
      </w:r>
    </w:p>
  </w:footnote>
  <w:footnote w:id="169">
    <w:p w:rsidR="00786194" w:rsidRPr="00A42549" w:rsidRDefault="00786194" w:rsidP="003F5ABF">
      <w:pPr>
        <w:pStyle w:val="FootnoteText"/>
        <w:rPr>
          <w:sz w:val="22"/>
          <w:szCs w:val="22"/>
        </w:rPr>
      </w:pPr>
      <w:r w:rsidRPr="00A42549">
        <w:rPr>
          <w:rStyle w:val="FootnoteReference"/>
          <w:sz w:val="22"/>
          <w:szCs w:val="22"/>
        </w:rPr>
        <w:footnoteRef/>
      </w:r>
      <w:r w:rsidRPr="00A42549">
        <w:rPr>
          <w:sz w:val="22"/>
          <w:szCs w:val="22"/>
        </w:rPr>
        <w:t xml:space="preserve"> On Brightman, see </w:t>
      </w:r>
      <w:r w:rsidRPr="00A42549">
        <w:rPr>
          <w:bCs/>
          <w:sz w:val="22"/>
          <w:szCs w:val="22"/>
        </w:rPr>
        <w:t>Gribben</w:t>
      </w:r>
      <w:r w:rsidRPr="00A42549">
        <w:rPr>
          <w:b/>
          <w:bCs/>
          <w:sz w:val="22"/>
          <w:szCs w:val="22"/>
        </w:rPr>
        <w:t xml:space="preserve">, </w:t>
      </w:r>
      <w:r w:rsidRPr="00A42549">
        <w:rPr>
          <w:bCs/>
          <w:i/>
          <w:sz w:val="22"/>
          <w:szCs w:val="22"/>
        </w:rPr>
        <w:t>The Puritan Milllennium</w:t>
      </w:r>
      <w:r w:rsidRPr="00A42549">
        <w:rPr>
          <w:bCs/>
          <w:sz w:val="22"/>
          <w:szCs w:val="22"/>
        </w:rPr>
        <w:t>.</w:t>
      </w:r>
    </w:p>
  </w:footnote>
  <w:footnote w:id="17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Capp. “The Fifth Monarchists”; </w:t>
      </w:r>
      <w:r w:rsidRPr="00A42549">
        <w:rPr>
          <w:i/>
          <w:sz w:val="22"/>
          <w:szCs w:val="22"/>
        </w:rPr>
        <w:t>The Fifth Monarchy Men</w:t>
      </w:r>
      <w:r w:rsidRPr="00A42549">
        <w:rPr>
          <w:sz w:val="22"/>
          <w:szCs w:val="22"/>
        </w:rPr>
        <w:t xml:space="preserve">; </w:t>
      </w:r>
      <w:r w:rsidRPr="00A42549">
        <w:rPr>
          <w:bCs/>
          <w:sz w:val="22"/>
          <w:szCs w:val="22"/>
        </w:rPr>
        <w:t>Reventlow</w:t>
      </w:r>
      <w:r w:rsidRPr="00A42549">
        <w:rPr>
          <w:b/>
          <w:bCs/>
          <w:sz w:val="22"/>
          <w:szCs w:val="22"/>
        </w:rPr>
        <w:t>,</w:t>
      </w:r>
      <w:r w:rsidRPr="00A42549">
        <w:rPr>
          <w:bCs/>
          <w:sz w:val="22"/>
          <w:szCs w:val="22"/>
        </w:rPr>
        <w:t>”The Saints of the Most High und die Rätsel der Chronologie,” and on parallel developments in Germany and France,  extending into the nineteenth century, Koch, “Europabewusstsein und Danielrezeption.”</w:t>
      </w:r>
    </w:p>
  </w:footnote>
  <w:footnote w:id="17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 S. Capp, “Extreme Millenarianism,” in Toon, </w:t>
      </w:r>
      <w:r w:rsidRPr="00A42549">
        <w:rPr>
          <w:i/>
          <w:sz w:val="22"/>
          <w:szCs w:val="22"/>
        </w:rPr>
        <w:t>Puritans</w:t>
      </w:r>
      <w:r w:rsidRPr="00A42549">
        <w:rPr>
          <w:sz w:val="22"/>
          <w:szCs w:val="22"/>
        </w:rPr>
        <w:t>, 68, 69.</w:t>
      </w:r>
    </w:p>
  </w:footnote>
  <w:footnote w:id="17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Hill, </w:t>
      </w:r>
      <w:r w:rsidRPr="00A42549">
        <w:rPr>
          <w:i/>
          <w:sz w:val="22"/>
          <w:szCs w:val="22"/>
        </w:rPr>
        <w:t>Antichrist</w:t>
      </w:r>
      <w:r w:rsidRPr="00A42549">
        <w:rPr>
          <w:sz w:val="22"/>
          <w:szCs w:val="22"/>
        </w:rPr>
        <w:t>, 123.</w:t>
      </w:r>
    </w:p>
  </w:footnote>
  <w:footnote w:id="17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Rowland</w:t>
      </w:r>
      <w:r w:rsidRPr="00A42549">
        <w:rPr>
          <w:b/>
          <w:sz w:val="22"/>
          <w:szCs w:val="22"/>
        </w:rPr>
        <w:t>,</w:t>
      </w:r>
      <w:r w:rsidRPr="00A42549">
        <w:rPr>
          <w:sz w:val="22"/>
          <w:szCs w:val="22"/>
        </w:rPr>
        <w:t xml:space="preserve"> “Daniel and the Radical Critique of Empire,” 453-59.</w:t>
      </w:r>
    </w:p>
  </w:footnote>
  <w:footnote w:id="17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his </w:t>
      </w:r>
      <w:r w:rsidRPr="00A42549">
        <w:rPr>
          <w:i/>
          <w:sz w:val="22"/>
          <w:szCs w:val="22"/>
        </w:rPr>
        <w:t>The Whole Prophecie of Daniel Explained</w:t>
      </w:r>
      <w:r w:rsidRPr="00A42549">
        <w:rPr>
          <w:sz w:val="22"/>
          <w:szCs w:val="22"/>
        </w:rPr>
        <w:t>.</w:t>
      </w:r>
    </w:p>
  </w:footnote>
  <w:footnote w:id="17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Murray, </w:t>
      </w:r>
      <w:r w:rsidRPr="00A42549">
        <w:rPr>
          <w:i/>
          <w:sz w:val="22"/>
          <w:szCs w:val="22"/>
        </w:rPr>
        <w:t>The Puritan Hope</w:t>
      </w:r>
      <w:r w:rsidRPr="00A42549">
        <w:rPr>
          <w:sz w:val="22"/>
          <w:szCs w:val="22"/>
        </w:rPr>
        <w:t>, with the quotation from John Howe (1630-1705), 247.</w:t>
      </w:r>
    </w:p>
  </w:footnote>
  <w:footnote w:id="176">
    <w:p w:rsidR="00786194" w:rsidRPr="00A42549" w:rsidRDefault="00786194" w:rsidP="00DB10B0">
      <w:pPr>
        <w:pStyle w:val="FootnoteText"/>
        <w:rPr>
          <w:sz w:val="22"/>
          <w:szCs w:val="22"/>
        </w:rPr>
      </w:pPr>
      <w:r w:rsidRPr="00A42549">
        <w:rPr>
          <w:rStyle w:val="FootnoteReference"/>
          <w:sz w:val="22"/>
          <w:szCs w:val="22"/>
        </w:rPr>
        <w:footnoteRef/>
      </w:r>
      <w:r w:rsidRPr="00A42549">
        <w:rPr>
          <w:sz w:val="22"/>
          <w:szCs w:val="22"/>
        </w:rPr>
        <w:t xml:space="preserve"> So Méchoulan, “Révélation, rationalité et prophétie”; cf. Spinoza, </w:t>
      </w:r>
      <w:r w:rsidRPr="00A42549">
        <w:rPr>
          <w:i/>
          <w:sz w:val="22"/>
          <w:szCs w:val="22"/>
        </w:rPr>
        <w:t>Theological-Poltical Treatise</w:t>
      </w:r>
      <w:r w:rsidRPr="00A42549">
        <w:rPr>
          <w:sz w:val="22"/>
          <w:szCs w:val="22"/>
        </w:rPr>
        <w:t>, chaps. 2 and 10.</w:t>
      </w:r>
    </w:p>
  </w:footnote>
  <w:footnote w:id="177">
    <w:p w:rsidR="00786194" w:rsidRPr="00A42549" w:rsidRDefault="00786194" w:rsidP="006D5921">
      <w:pPr>
        <w:pStyle w:val="FootnoteText"/>
        <w:rPr>
          <w:sz w:val="22"/>
          <w:szCs w:val="22"/>
        </w:rPr>
      </w:pPr>
      <w:r w:rsidRPr="00A42549">
        <w:rPr>
          <w:rStyle w:val="FootnoteReference"/>
          <w:sz w:val="22"/>
          <w:szCs w:val="22"/>
        </w:rPr>
        <w:footnoteRef/>
      </w:r>
      <w:r w:rsidRPr="00A42549">
        <w:rPr>
          <w:sz w:val="22"/>
          <w:szCs w:val="22"/>
        </w:rPr>
        <w:t xml:space="preserve"> See Valdez</w:t>
      </w:r>
      <w:r w:rsidRPr="00A42549">
        <w:rPr>
          <w:b/>
          <w:sz w:val="22"/>
          <w:szCs w:val="22"/>
        </w:rPr>
        <w:t xml:space="preserve">, </w:t>
      </w:r>
      <w:r w:rsidRPr="00A42549">
        <w:rPr>
          <w:i/>
          <w:sz w:val="22"/>
          <w:szCs w:val="22"/>
        </w:rPr>
        <w:t>Historical Interpretations of the Fifth Empire</w:t>
      </w:r>
      <w:r w:rsidRPr="00A42549">
        <w:rPr>
          <w:b/>
          <w:sz w:val="22"/>
          <w:szCs w:val="22"/>
        </w:rPr>
        <w:t xml:space="preserve">; </w:t>
      </w:r>
      <w:r w:rsidRPr="00A42549">
        <w:rPr>
          <w:b/>
          <w:i/>
          <w:sz w:val="22"/>
          <w:szCs w:val="22"/>
        </w:rPr>
        <w:t xml:space="preserve">———, </w:t>
      </w:r>
      <w:r w:rsidRPr="00A42549">
        <w:rPr>
          <w:sz w:val="22"/>
          <w:szCs w:val="22"/>
        </w:rPr>
        <w:t>“Rethinking the Fifth Empire”; and on Iberian interpretation of the four empires generally, Delgado, “</w:t>
      </w:r>
      <w:r w:rsidRPr="00A42549">
        <w:rPr>
          <w:rFonts w:eastAsiaTheme="minorHAnsi" w:cs="MPNLIB+TimesNewRoman"/>
          <w:color w:val="000000"/>
          <w:sz w:val="22"/>
          <w:szCs w:val="22"/>
        </w:rPr>
        <w:t>Der Traum von der Universalmonarchie: Zur Danielrezeption in den iberischen Kulturen nach 1492.”</w:t>
      </w:r>
    </w:p>
  </w:footnote>
  <w:footnote w:id="17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Oliver, </w:t>
      </w:r>
      <w:r w:rsidRPr="00A42549">
        <w:rPr>
          <w:i/>
          <w:sz w:val="22"/>
          <w:szCs w:val="22"/>
        </w:rPr>
        <w:t>Prophets and Millennialists</w:t>
      </w:r>
      <w:r w:rsidRPr="00A42549">
        <w:rPr>
          <w:sz w:val="22"/>
          <w:szCs w:val="22"/>
        </w:rPr>
        <w:t>, 11.</w:t>
      </w:r>
    </w:p>
  </w:footnote>
  <w:footnote w:id="17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bCs/>
          <w:sz w:val="22"/>
          <w:szCs w:val="22"/>
        </w:rPr>
        <w:t>Newton</w:t>
      </w:r>
      <w:r w:rsidRPr="00A42549">
        <w:rPr>
          <w:b/>
          <w:bCs/>
          <w:sz w:val="22"/>
          <w:szCs w:val="22"/>
        </w:rPr>
        <w:t xml:space="preserve">, </w:t>
      </w:r>
      <w:r w:rsidRPr="00A42549">
        <w:rPr>
          <w:bCs/>
          <w:i/>
          <w:sz w:val="22"/>
          <w:szCs w:val="22"/>
        </w:rPr>
        <w:t>Observations on the Prophecies of Daniel and the Apocalypse of St. John</w:t>
      </w:r>
      <w:r w:rsidRPr="00A42549">
        <w:rPr>
          <w:bCs/>
          <w:sz w:val="22"/>
          <w:szCs w:val="22"/>
        </w:rPr>
        <w:t xml:space="preserve">; </w:t>
      </w:r>
      <w:r w:rsidRPr="00A42549">
        <w:rPr>
          <w:bCs/>
          <w:iCs/>
          <w:sz w:val="22"/>
          <w:szCs w:val="22"/>
        </w:rPr>
        <w:t>Mandelbrote</w:t>
      </w:r>
      <w:r w:rsidRPr="00A42549">
        <w:rPr>
          <w:b/>
          <w:bCs/>
          <w:iCs/>
          <w:sz w:val="22"/>
          <w:szCs w:val="22"/>
        </w:rPr>
        <w:t>,</w:t>
      </w:r>
      <w:r w:rsidRPr="00A42549">
        <w:rPr>
          <w:bCs/>
          <w:iCs/>
          <w:sz w:val="22"/>
          <w:szCs w:val="22"/>
        </w:rPr>
        <w:t xml:space="preserve"> “Isaac Newton and the Exegesis of the Book of Daniel”; and for a more sympathetic account, Snobelen</w:t>
      </w:r>
      <w:r w:rsidRPr="00A42549">
        <w:rPr>
          <w:b/>
          <w:bCs/>
          <w:iCs/>
          <w:sz w:val="22"/>
          <w:szCs w:val="22"/>
        </w:rPr>
        <w:t xml:space="preserve">, </w:t>
      </w:r>
      <w:r w:rsidRPr="00A42549">
        <w:rPr>
          <w:bCs/>
          <w:iCs/>
          <w:sz w:val="22"/>
          <w:szCs w:val="22"/>
        </w:rPr>
        <w:t>“‘A Time and Times and the Dividing of Time’: Isaac Newton, the Apocalypse, and 2060 A.D.”</w:t>
      </w:r>
    </w:p>
  </w:footnote>
  <w:footnote w:id="180">
    <w:p w:rsidR="00786194" w:rsidRPr="00A42549" w:rsidRDefault="00786194" w:rsidP="00D37874">
      <w:pPr>
        <w:pStyle w:val="FootnoteText"/>
        <w:rPr>
          <w:b/>
          <w:bCs/>
          <w:i/>
          <w:sz w:val="22"/>
          <w:szCs w:val="22"/>
        </w:rPr>
      </w:pPr>
      <w:r w:rsidRPr="00A42549">
        <w:rPr>
          <w:rStyle w:val="FootnoteReference"/>
          <w:sz w:val="22"/>
          <w:szCs w:val="22"/>
        </w:rPr>
        <w:footnoteRef/>
      </w:r>
      <w:r w:rsidRPr="00A42549">
        <w:rPr>
          <w:sz w:val="22"/>
          <w:szCs w:val="22"/>
        </w:rPr>
        <w:t xml:space="preserve"> See </w:t>
      </w:r>
      <w:r w:rsidRPr="00A42549">
        <w:rPr>
          <w:bCs/>
          <w:sz w:val="22"/>
          <w:szCs w:val="22"/>
        </w:rPr>
        <w:t>Newport</w:t>
      </w:r>
      <w:r w:rsidRPr="00A42549">
        <w:rPr>
          <w:b/>
          <w:bCs/>
          <w:sz w:val="22"/>
          <w:szCs w:val="22"/>
        </w:rPr>
        <w:t xml:space="preserve">, </w:t>
      </w:r>
      <w:r w:rsidRPr="00A42549">
        <w:rPr>
          <w:bCs/>
          <w:sz w:val="22"/>
          <w:szCs w:val="22"/>
        </w:rPr>
        <w:t xml:space="preserve">“Charles Wesley’s Interpretation of Some Biblical Prophecies”; </w:t>
      </w:r>
      <w:r w:rsidRPr="00A42549">
        <w:rPr>
          <w:b/>
          <w:bCs/>
          <w:i/>
          <w:sz w:val="22"/>
          <w:szCs w:val="22"/>
        </w:rPr>
        <w:t xml:space="preserve">———, </w:t>
      </w:r>
      <w:r w:rsidRPr="00A42549">
        <w:rPr>
          <w:bCs/>
          <w:i/>
          <w:sz w:val="22"/>
          <w:szCs w:val="22"/>
        </w:rPr>
        <w:t>Apocalypse and Millennium</w:t>
      </w:r>
      <w:r w:rsidRPr="00A42549">
        <w:rPr>
          <w:bCs/>
          <w:sz w:val="22"/>
          <w:szCs w:val="22"/>
        </w:rPr>
        <w:t>, 119-49.</w:t>
      </w:r>
    </w:p>
  </w:footnote>
  <w:footnote w:id="18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Newman, </w:t>
      </w:r>
      <w:r w:rsidRPr="00A42549">
        <w:rPr>
          <w:i/>
          <w:sz w:val="22"/>
          <w:szCs w:val="22"/>
        </w:rPr>
        <w:t>Discussions and Arguments</w:t>
      </w:r>
      <w:r w:rsidRPr="00A42549">
        <w:rPr>
          <w:sz w:val="22"/>
          <w:szCs w:val="22"/>
        </w:rPr>
        <w:t xml:space="preserve">, 46-108; cf. Miceli, </w:t>
      </w:r>
      <w:r w:rsidRPr="00A42549">
        <w:rPr>
          <w:i/>
          <w:sz w:val="22"/>
          <w:szCs w:val="22"/>
        </w:rPr>
        <w:t>The Antichrist</w:t>
      </w:r>
      <w:r w:rsidRPr="00A42549">
        <w:rPr>
          <w:sz w:val="22"/>
          <w:szCs w:val="22"/>
        </w:rPr>
        <w:t>, 102-24.</w:t>
      </w:r>
    </w:p>
  </w:footnote>
  <w:footnote w:id="18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Carey, </w:t>
      </w:r>
      <w:r w:rsidRPr="00A42549">
        <w:rPr>
          <w:i/>
          <w:sz w:val="22"/>
          <w:szCs w:val="22"/>
        </w:rPr>
        <w:t>Bullinger</w:t>
      </w:r>
      <w:r w:rsidRPr="00A42549">
        <w:rPr>
          <w:sz w:val="22"/>
          <w:szCs w:val="22"/>
        </w:rPr>
        <w:t>, 38.</w:t>
      </w:r>
    </w:p>
  </w:footnote>
  <w:footnote w:id="183">
    <w:p w:rsidR="00786194" w:rsidRPr="00A42549" w:rsidRDefault="00786194" w:rsidP="008C06B6">
      <w:pPr>
        <w:pStyle w:val="FootnoteText"/>
        <w:rPr>
          <w:sz w:val="22"/>
          <w:szCs w:val="22"/>
        </w:rPr>
      </w:pPr>
      <w:r w:rsidRPr="00A42549">
        <w:rPr>
          <w:rStyle w:val="FootnoteReference"/>
          <w:sz w:val="22"/>
          <w:szCs w:val="22"/>
        </w:rPr>
        <w:footnoteRef/>
      </w:r>
      <w:r w:rsidRPr="00A42549">
        <w:rPr>
          <w:sz w:val="22"/>
          <w:szCs w:val="22"/>
        </w:rPr>
        <w:t xml:space="preserve"> Seeley in </w:t>
      </w:r>
      <w:r w:rsidRPr="00A42549">
        <w:rPr>
          <w:i/>
          <w:sz w:val="22"/>
          <w:szCs w:val="22"/>
        </w:rPr>
        <w:t>The Atlas of Prophecy</w:t>
      </w:r>
      <w:r w:rsidRPr="00A42549">
        <w:rPr>
          <w:sz w:val="22"/>
          <w:szCs w:val="22"/>
        </w:rPr>
        <w:t xml:space="preserve"> (1849).</w:t>
      </w:r>
    </w:p>
  </w:footnote>
  <w:footnote w:id="184">
    <w:p w:rsidR="00786194" w:rsidRPr="00A42549" w:rsidRDefault="00786194" w:rsidP="008C06B6">
      <w:pPr>
        <w:pStyle w:val="FootnoteText"/>
        <w:rPr>
          <w:sz w:val="22"/>
          <w:szCs w:val="22"/>
        </w:rPr>
      </w:pPr>
      <w:r w:rsidRPr="00A42549">
        <w:rPr>
          <w:rStyle w:val="FootnoteReference"/>
          <w:sz w:val="22"/>
          <w:szCs w:val="22"/>
        </w:rPr>
        <w:footnoteRef/>
      </w:r>
      <w:r w:rsidRPr="00A42549">
        <w:rPr>
          <w:sz w:val="22"/>
          <w:szCs w:val="22"/>
        </w:rPr>
        <w:t xml:space="preserve"> Smith, </w:t>
      </w:r>
      <w:r w:rsidRPr="00A42549">
        <w:rPr>
          <w:i/>
          <w:sz w:val="22"/>
          <w:szCs w:val="22"/>
        </w:rPr>
        <w:t>Daniel and the Revelation</w:t>
      </w:r>
      <w:r w:rsidRPr="00A42549">
        <w:rPr>
          <w:sz w:val="22"/>
          <w:szCs w:val="22"/>
        </w:rPr>
        <w:t xml:space="preserve"> (1897). On Daniel and the French revolution, see further Koch, </w:t>
      </w:r>
      <w:r w:rsidRPr="00A42549">
        <w:rPr>
          <w:i/>
          <w:sz w:val="22"/>
          <w:szCs w:val="22"/>
        </w:rPr>
        <w:t>Europa, Rom und der Kaiser</w:t>
      </w:r>
      <w:r w:rsidRPr="00A42549">
        <w:rPr>
          <w:sz w:val="22"/>
          <w:szCs w:val="22"/>
        </w:rPr>
        <w:t>, 147-56.</w:t>
      </w:r>
    </w:p>
  </w:footnote>
  <w:footnote w:id="185">
    <w:p w:rsidR="00786194" w:rsidRPr="00A42549" w:rsidRDefault="00786194" w:rsidP="008C06B6">
      <w:pPr>
        <w:pStyle w:val="FootnoteText"/>
        <w:rPr>
          <w:sz w:val="22"/>
          <w:szCs w:val="22"/>
        </w:rPr>
      </w:pPr>
      <w:r w:rsidRPr="00A42549">
        <w:rPr>
          <w:rStyle w:val="FootnoteReference"/>
          <w:sz w:val="22"/>
          <w:szCs w:val="22"/>
        </w:rPr>
        <w:footnoteRef/>
      </w:r>
      <w:r w:rsidRPr="00A42549">
        <w:rPr>
          <w:sz w:val="22"/>
          <w:szCs w:val="22"/>
        </w:rPr>
        <w:t xml:space="preserve"> Murphy, </w:t>
      </w:r>
      <w:r w:rsidRPr="00A42549">
        <w:rPr>
          <w:i/>
          <w:sz w:val="22"/>
          <w:szCs w:val="22"/>
        </w:rPr>
        <w:t>The Book of Daniel</w:t>
      </w:r>
      <w:r w:rsidRPr="00A42549">
        <w:rPr>
          <w:sz w:val="22"/>
          <w:szCs w:val="22"/>
        </w:rPr>
        <w:t xml:space="preserve"> (1885).</w:t>
      </w:r>
    </w:p>
  </w:footnote>
  <w:footnote w:id="186">
    <w:p w:rsidR="00786194" w:rsidRPr="00A42549" w:rsidRDefault="00786194" w:rsidP="008C06B6">
      <w:pPr>
        <w:pStyle w:val="FootnoteText"/>
        <w:rPr>
          <w:sz w:val="22"/>
          <w:szCs w:val="22"/>
        </w:rPr>
      </w:pPr>
      <w:r w:rsidRPr="00A42549">
        <w:rPr>
          <w:rStyle w:val="FootnoteReference"/>
          <w:sz w:val="22"/>
          <w:szCs w:val="22"/>
        </w:rPr>
        <w:footnoteRef/>
      </w:r>
      <w:r w:rsidRPr="00A42549">
        <w:rPr>
          <w:sz w:val="22"/>
          <w:szCs w:val="22"/>
        </w:rPr>
        <w:t xml:space="preserve"> Graves,</w:t>
      </w:r>
      <w:r w:rsidRPr="00A42549">
        <w:rPr>
          <w:b/>
          <w:sz w:val="22"/>
          <w:szCs w:val="22"/>
        </w:rPr>
        <w:t xml:space="preserve"> </w:t>
      </w:r>
      <w:r w:rsidRPr="00A42549">
        <w:rPr>
          <w:i/>
          <w:sz w:val="22"/>
          <w:szCs w:val="22"/>
        </w:rPr>
        <w:t>Daniel’s Great Period of “Two Thousand and Three Hundred Days</w:t>
      </w:r>
      <w:r w:rsidRPr="00A42549">
        <w:rPr>
          <w:sz w:val="22"/>
          <w:szCs w:val="22"/>
        </w:rPr>
        <w:t>” (1854),</w:t>
      </w:r>
    </w:p>
  </w:footnote>
  <w:footnote w:id="18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Guinness, </w:t>
      </w:r>
      <w:r w:rsidRPr="00A42549">
        <w:rPr>
          <w:i/>
          <w:sz w:val="22"/>
          <w:szCs w:val="22"/>
        </w:rPr>
        <w:t>The Approaching End of the Age</w:t>
      </w:r>
      <w:r w:rsidRPr="00A42549">
        <w:rPr>
          <w:sz w:val="22"/>
          <w:szCs w:val="22"/>
        </w:rPr>
        <w:t xml:space="preserve"> (cf. Walters</w:t>
      </w:r>
      <w:r w:rsidRPr="00A42549">
        <w:rPr>
          <w:b/>
          <w:sz w:val="22"/>
          <w:szCs w:val="22"/>
        </w:rPr>
        <w:t xml:space="preserve">, </w:t>
      </w:r>
      <w:r w:rsidRPr="00A42549">
        <w:rPr>
          <w:sz w:val="22"/>
          <w:szCs w:val="22"/>
        </w:rPr>
        <w:t xml:space="preserve">“The World Will End in 1919”); Horne, </w:t>
      </w:r>
      <w:r w:rsidRPr="00A42549">
        <w:rPr>
          <w:i/>
          <w:sz w:val="22"/>
          <w:szCs w:val="22"/>
        </w:rPr>
        <w:t>Divine Clues to Sacred Prophecy</w:t>
      </w:r>
      <w:r w:rsidRPr="00A42549">
        <w:rPr>
          <w:sz w:val="22"/>
          <w:szCs w:val="22"/>
        </w:rPr>
        <w:t>.</w:t>
      </w:r>
    </w:p>
  </w:footnote>
  <w:footnote w:id="188">
    <w:p w:rsidR="00786194" w:rsidRPr="00A42549" w:rsidRDefault="00786194" w:rsidP="002F51D6">
      <w:pPr>
        <w:pStyle w:val="FootnoteText"/>
        <w:rPr>
          <w:sz w:val="22"/>
          <w:szCs w:val="22"/>
        </w:rPr>
      </w:pPr>
      <w:r w:rsidRPr="00A42549">
        <w:rPr>
          <w:rStyle w:val="FootnoteReference"/>
          <w:sz w:val="22"/>
          <w:szCs w:val="22"/>
        </w:rPr>
        <w:footnoteRef/>
      </w:r>
      <w:r w:rsidRPr="00A42549">
        <w:rPr>
          <w:sz w:val="22"/>
          <w:szCs w:val="22"/>
        </w:rPr>
        <w:t xml:space="preserve"> </w:t>
      </w:r>
      <w:r w:rsidRPr="00A42549">
        <w:rPr>
          <w:iCs/>
          <w:sz w:val="22"/>
          <w:szCs w:val="22"/>
        </w:rPr>
        <w:t>Miller</w:t>
      </w:r>
      <w:r w:rsidRPr="00A42549">
        <w:rPr>
          <w:b/>
          <w:iCs/>
          <w:sz w:val="22"/>
          <w:szCs w:val="22"/>
        </w:rPr>
        <w:t>,</w:t>
      </w:r>
      <w:r w:rsidRPr="00A42549">
        <w:rPr>
          <w:iCs/>
          <w:sz w:val="22"/>
          <w:szCs w:val="22"/>
        </w:rPr>
        <w:t xml:space="preserve"> </w:t>
      </w:r>
      <w:r w:rsidRPr="00A42549">
        <w:rPr>
          <w:i/>
          <w:iCs/>
          <w:sz w:val="22"/>
          <w:szCs w:val="22"/>
        </w:rPr>
        <w:t xml:space="preserve">Evidence from Scripture and History of the Second Coming of Christ, about the Year 1843; </w:t>
      </w:r>
      <w:r w:rsidRPr="00A42549">
        <w:rPr>
          <w:iCs/>
          <w:sz w:val="22"/>
          <w:szCs w:val="22"/>
        </w:rPr>
        <w:t xml:space="preserve">cf. Newport, </w:t>
      </w:r>
      <w:r w:rsidRPr="00A42549">
        <w:rPr>
          <w:i/>
          <w:iCs/>
          <w:sz w:val="22"/>
          <w:szCs w:val="22"/>
        </w:rPr>
        <w:t>Apocalypse and Millennium</w:t>
      </w:r>
      <w:r w:rsidRPr="00A42549">
        <w:rPr>
          <w:iCs/>
          <w:sz w:val="22"/>
          <w:szCs w:val="22"/>
        </w:rPr>
        <w:t>, 150-71.</w:t>
      </w:r>
    </w:p>
  </w:footnote>
  <w:footnote w:id="189">
    <w:p w:rsidR="00786194" w:rsidRPr="00A42549" w:rsidRDefault="00786194" w:rsidP="002F51D6">
      <w:pPr>
        <w:pStyle w:val="FootnoteText"/>
        <w:rPr>
          <w:sz w:val="22"/>
          <w:szCs w:val="22"/>
        </w:rPr>
      </w:pPr>
      <w:r w:rsidRPr="00A42549">
        <w:rPr>
          <w:rStyle w:val="FootnoteReference"/>
          <w:sz w:val="22"/>
          <w:szCs w:val="22"/>
        </w:rPr>
        <w:footnoteRef/>
      </w:r>
      <w:r w:rsidRPr="00A42549">
        <w:rPr>
          <w:sz w:val="22"/>
          <w:szCs w:val="22"/>
        </w:rPr>
        <w:t xml:space="preserve"> Festinger, </w:t>
      </w:r>
      <w:r w:rsidRPr="00A42549">
        <w:rPr>
          <w:i/>
          <w:sz w:val="22"/>
          <w:szCs w:val="22"/>
        </w:rPr>
        <w:t>When Prophecy Fails</w:t>
      </w:r>
      <w:r w:rsidRPr="00A42549">
        <w:rPr>
          <w:sz w:val="22"/>
          <w:szCs w:val="22"/>
        </w:rPr>
        <w:t xml:space="preserve">, 13–23; cf. Froom, </w:t>
      </w:r>
      <w:r w:rsidRPr="00A42549">
        <w:rPr>
          <w:i/>
          <w:sz w:val="22"/>
          <w:szCs w:val="22"/>
        </w:rPr>
        <w:t>Prophetic Faith of Our Fathers</w:t>
      </w:r>
      <w:r w:rsidRPr="00A42549">
        <w:rPr>
          <w:sz w:val="22"/>
          <w:szCs w:val="22"/>
        </w:rPr>
        <w:t>, vol. 4; Yarbro Collins, “The Book of Truth.”</w:t>
      </w:r>
    </w:p>
  </w:footnote>
  <w:footnote w:id="19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his </w:t>
      </w:r>
      <w:r w:rsidRPr="00A42549">
        <w:rPr>
          <w:i/>
          <w:sz w:val="22"/>
          <w:szCs w:val="22"/>
        </w:rPr>
        <w:t>Daniel and the Revelation</w:t>
      </w:r>
      <w:r w:rsidRPr="00A42549">
        <w:rPr>
          <w:sz w:val="22"/>
          <w:szCs w:val="22"/>
        </w:rPr>
        <w:t>; for a similar more recent exposition Gregor, “Daniel’s Message to a Modern Man.”.</w:t>
      </w:r>
    </w:p>
  </w:footnote>
  <w:footnote w:id="19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w:t>
      </w:r>
      <w:r w:rsidRPr="00A42549">
        <w:rPr>
          <w:bCs/>
          <w:sz w:val="22"/>
          <w:szCs w:val="22"/>
        </w:rPr>
        <w:t>Alomía</w:t>
      </w:r>
      <w:r w:rsidRPr="00A42549">
        <w:rPr>
          <w:b/>
          <w:bCs/>
          <w:sz w:val="22"/>
          <w:szCs w:val="22"/>
        </w:rPr>
        <w:t xml:space="preserve">, </w:t>
      </w:r>
      <w:r w:rsidRPr="00A42549">
        <w:rPr>
          <w:bCs/>
          <w:i/>
          <w:sz w:val="22"/>
          <w:szCs w:val="22"/>
        </w:rPr>
        <w:t>Daniel</w:t>
      </w:r>
      <w:r w:rsidRPr="00A42549">
        <w:rPr>
          <w:bCs/>
          <w:sz w:val="22"/>
          <w:szCs w:val="22"/>
        </w:rPr>
        <w:t xml:space="preserve"> 2:366, 377; survey in Leatherman</w:t>
      </w:r>
      <w:r w:rsidRPr="00A42549">
        <w:rPr>
          <w:b/>
          <w:bCs/>
          <w:sz w:val="22"/>
          <w:szCs w:val="22"/>
        </w:rPr>
        <w:t xml:space="preserve">, </w:t>
      </w:r>
      <w:r w:rsidRPr="00A42549">
        <w:rPr>
          <w:bCs/>
          <w:sz w:val="22"/>
          <w:szCs w:val="22"/>
        </w:rPr>
        <w:t>“Adventist Interpretation of Daniel 10—12.”</w:t>
      </w:r>
    </w:p>
  </w:footnote>
  <w:footnote w:id="192">
    <w:p w:rsidR="00786194" w:rsidRPr="00A42549" w:rsidRDefault="00786194" w:rsidP="008C06B6">
      <w:pPr>
        <w:pStyle w:val="FootnoteText"/>
        <w:rPr>
          <w:sz w:val="22"/>
          <w:szCs w:val="22"/>
        </w:rPr>
      </w:pPr>
      <w:r w:rsidRPr="00A42549">
        <w:rPr>
          <w:rStyle w:val="FootnoteReference"/>
          <w:sz w:val="22"/>
          <w:szCs w:val="22"/>
        </w:rPr>
        <w:footnoteRef/>
      </w:r>
      <w:r w:rsidRPr="00A42549">
        <w:rPr>
          <w:sz w:val="22"/>
          <w:szCs w:val="22"/>
        </w:rPr>
        <w:t xml:space="preserve"> Baris, “The American Daniel,” 173–85. On Daniel in literature, see M. Brummitt in Smith-Christopher</w:t>
      </w:r>
      <w:r w:rsidRPr="00A42549">
        <w:rPr>
          <w:b/>
          <w:sz w:val="22"/>
          <w:szCs w:val="22"/>
        </w:rPr>
        <w:t xml:space="preserve"> </w:t>
      </w:r>
      <w:r w:rsidRPr="00A42549">
        <w:rPr>
          <w:sz w:val="22"/>
          <w:szCs w:val="22"/>
        </w:rPr>
        <w:t>et al., “Daniel (Book and Person),” 124-28. On themes from Daniel in German literature and thought, see Würffel, “Reichs-Traum und Reichs-Trauma</w:t>
      </w:r>
      <w:r w:rsidRPr="00A42549">
        <w:rPr>
          <w:bCs/>
          <w:sz w:val="22"/>
          <w:szCs w:val="22"/>
        </w:rPr>
        <w:t>.”</w:t>
      </w:r>
    </w:p>
  </w:footnote>
  <w:footnote w:id="193">
    <w:p w:rsidR="00786194" w:rsidRPr="00A42549" w:rsidRDefault="00786194" w:rsidP="003571C4">
      <w:pPr>
        <w:pStyle w:val="FootnoteText"/>
        <w:rPr>
          <w:sz w:val="22"/>
          <w:szCs w:val="22"/>
        </w:rPr>
      </w:pPr>
      <w:r w:rsidRPr="00A42549">
        <w:rPr>
          <w:rStyle w:val="FootnoteReference"/>
          <w:sz w:val="22"/>
          <w:szCs w:val="22"/>
        </w:rPr>
        <w:footnoteRef/>
      </w:r>
      <w:r w:rsidRPr="00A42549">
        <w:rPr>
          <w:sz w:val="22"/>
          <w:szCs w:val="22"/>
        </w:rPr>
        <w:t xml:space="preserve"> Liptzin, </w:t>
      </w:r>
      <w:r w:rsidRPr="00A42549">
        <w:rPr>
          <w:i/>
          <w:sz w:val="22"/>
          <w:szCs w:val="22"/>
        </w:rPr>
        <w:t>Biblical Themes in World Literature</w:t>
      </w:r>
      <w:r w:rsidRPr="00A42549">
        <w:rPr>
          <w:sz w:val="22"/>
          <w:szCs w:val="22"/>
        </w:rPr>
        <w:t>. On Daniel in music, see N. H. Petersen in Smith-Christopher</w:t>
      </w:r>
      <w:r w:rsidRPr="00A42549">
        <w:rPr>
          <w:b/>
          <w:sz w:val="22"/>
          <w:szCs w:val="22"/>
        </w:rPr>
        <w:t xml:space="preserve"> </w:t>
      </w:r>
      <w:r w:rsidRPr="00A42549">
        <w:rPr>
          <w:sz w:val="22"/>
          <w:szCs w:val="22"/>
        </w:rPr>
        <w:t>et al., “Daniel (Book and Person),” 131-34.</w:t>
      </w:r>
    </w:p>
  </w:footnote>
  <w:footnote w:id="19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Hall, </w:t>
      </w:r>
      <w:r w:rsidRPr="00A42549">
        <w:rPr>
          <w:i/>
          <w:sz w:val="22"/>
          <w:szCs w:val="22"/>
        </w:rPr>
        <w:t>Post-exilic Theological Streams and the Book of Daniel</w:t>
      </w:r>
      <w:r w:rsidRPr="00A42549">
        <w:rPr>
          <w:sz w:val="22"/>
          <w:szCs w:val="22"/>
        </w:rPr>
        <w:t>.</w:t>
      </w:r>
    </w:p>
  </w:footnote>
  <w:footnote w:id="19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Hanson, </w:t>
      </w:r>
      <w:r w:rsidRPr="00A42549">
        <w:rPr>
          <w:i/>
          <w:sz w:val="22"/>
          <w:szCs w:val="22"/>
        </w:rPr>
        <w:t>Dawn of Apocalyptic</w:t>
      </w:r>
      <w:r w:rsidRPr="00A42549">
        <w:rPr>
          <w:sz w:val="22"/>
          <w:szCs w:val="22"/>
        </w:rPr>
        <w:t xml:space="preserve">, was esp. significant in this connection. </w:t>
      </w:r>
    </w:p>
  </w:footnote>
  <w:footnote w:id="196">
    <w:p w:rsidR="00786194" w:rsidRPr="00A42549" w:rsidRDefault="00786194" w:rsidP="00D5743B">
      <w:pPr>
        <w:pStyle w:val="FootnoteText"/>
        <w:rPr>
          <w:sz w:val="22"/>
          <w:szCs w:val="22"/>
        </w:rPr>
      </w:pPr>
      <w:r w:rsidRPr="00A42549">
        <w:rPr>
          <w:rStyle w:val="FootnoteReference"/>
          <w:sz w:val="22"/>
          <w:szCs w:val="22"/>
        </w:rPr>
        <w:footnoteRef/>
      </w:r>
      <w:r w:rsidRPr="00A42549">
        <w:rPr>
          <w:sz w:val="22"/>
          <w:szCs w:val="22"/>
        </w:rPr>
        <w:t xml:space="preserve"> Collins, “Currents Issues,” 1.</w:t>
      </w:r>
    </w:p>
  </w:footnote>
  <w:footnote w:id="197">
    <w:p w:rsidR="00786194" w:rsidRPr="00A42549" w:rsidRDefault="00786194" w:rsidP="00CB5A11">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Cs/>
          <w:sz w:val="22"/>
          <w:szCs w:val="22"/>
        </w:rPr>
        <w:t>Mandelbrote</w:t>
      </w:r>
      <w:r w:rsidRPr="00A42549">
        <w:rPr>
          <w:b/>
          <w:iCs/>
          <w:sz w:val="22"/>
          <w:szCs w:val="22"/>
        </w:rPr>
        <w:t xml:space="preserve">, </w:t>
      </w:r>
      <w:r w:rsidRPr="00A42549">
        <w:rPr>
          <w:iCs/>
          <w:sz w:val="22"/>
          <w:szCs w:val="22"/>
        </w:rPr>
        <w:t>“Isaac Newton and the Exegesis of the Book of Daniel,” 353, referring to Whitla</w:t>
      </w:r>
      <w:r w:rsidRPr="00A42549">
        <w:rPr>
          <w:b/>
          <w:iCs/>
          <w:sz w:val="22"/>
          <w:szCs w:val="22"/>
        </w:rPr>
        <w:t xml:space="preserve">, </w:t>
      </w:r>
      <w:r w:rsidRPr="00A42549">
        <w:rPr>
          <w:i/>
          <w:iCs/>
          <w:sz w:val="22"/>
          <w:szCs w:val="22"/>
        </w:rPr>
        <w:t>Sir Isaac Newton’s Daniel and the Apocalypse</w:t>
      </w:r>
      <w:r w:rsidRPr="00A42549">
        <w:rPr>
          <w:iCs/>
          <w:sz w:val="22"/>
          <w:szCs w:val="22"/>
        </w:rPr>
        <w:t>.</w:t>
      </w:r>
    </w:p>
  </w:footnote>
  <w:footnote w:id="198">
    <w:p w:rsidR="00786194" w:rsidRPr="00A42549" w:rsidRDefault="00786194" w:rsidP="001F4F78">
      <w:pPr>
        <w:pStyle w:val="FootnoteText"/>
        <w:rPr>
          <w:sz w:val="22"/>
          <w:szCs w:val="22"/>
        </w:rPr>
      </w:pPr>
      <w:r w:rsidRPr="00A42549">
        <w:rPr>
          <w:rStyle w:val="FootnoteReference"/>
          <w:sz w:val="22"/>
          <w:szCs w:val="22"/>
        </w:rPr>
        <w:footnoteRef/>
      </w:r>
      <w:r w:rsidRPr="00A42549">
        <w:rPr>
          <w:sz w:val="22"/>
          <w:szCs w:val="22"/>
        </w:rPr>
        <w:t xml:space="preserve"> Greidanus,</w:t>
      </w:r>
      <w:r w:rsidRPr="00A42549">
        <w:rPr>
          <w:b/>
          <w:sz w:val="22"/>
          <w:szCs w:val="22"/>
        </w:rPr>
        <w:t xml:space="preserve"> </w:t>
      </w:r>
      <w:r w:rsidRPr="00A42549">
        <w:rPr>
          <w:i/>
          <w:sz w:val="22"/>
          <w:szCs w:val="22"/>
        </w:rPr>
        <w:t>Preaching Christ from Daniel</w:t>
      </w:r>
      <w:r w:rsidRPr="00A42549">
        <w:rPr>
          <w:sz w:val="22"/>
          <w:szCs w:val="22"/>
        </w:rPr>
        <w:t>.</w:t>
      </w:r>
    </w:p>
  </w:footnote>
  <w:footnote w:id="19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E.g., Tanner, “Is Daniel’s Seventy Weeks Prophecy Messianic?”</w:t>
      </w:r>
    </w:p>
  </w:footnote>
  <w:footnote w:id="20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E.g., Filmer, </w:t>
      </w:r>
      <w:r w:rsidRPr="00A42549">
        <w:rPr>
          <w:i/>
          <w:sz w:val="22"/>
          <w:szCs w:val="22"/>
        </w:rPr>
        <w:t>Daniel’s Predictions</w:t>
      </w:r>
      <w:r w:rsidRPr="00A42549">
        <w:rPr>
          <w:sz w:val="22"/>
          <w:szCs w:val="22"/>
        </w:rPr>
        <w:t>.</w:t>
      </w:r>
    </w:p>
  </w:footnote>
  <w:footnote w:id="201">
    <w:p w:rsidR="00786194" w:rsidRPr="00A42549" w:rsidRDefault="00786194" w:rsidP="00B47C9B">
      <w:pPr>
        <w:pStyle w:val="FootnoteText"/>
        <w:rPr>
          <w:rFonts w:eastAsiaTheme="minorHAnsi" w:cs="AvantGarde Md BT"/>
          <w:color w:val="000000"/>
          <w:sz w:val="22"/>
          <w:szCs w:val="22"/>
        </w:rPr>
      </w:pPr>
      <w:r w:rsidRPr="00A42549">
        <w:rPr>
          <w:rStyle w:val="FootnoteReference"/>
          <w:sz w:val="22"/>
          <w:szCs w:val="22"/>
        </w:rPr>
        <w:footnoteRef/>
      </w:r>
      <w:r w:rsidRPr="00A42549">
        <w:rPr>
          <w:sz w:val="22"/>
          <w:szCs w:val="22"/>
        </w:rPr>
        <w:t xml:space="preserve"> See e.g., Tanner</w:t>
      </w:r>
      <w:r w:rsidRPr="00A42549">
        <w:rPr>
          <w:b/>
          <w:sz w:val="22"/>
          <w:szCs w:val="22"/>
        </w:rPr>
        <w:t xml:space="preserve">, </w:t>
      </w:r>
      <w:r w:rsidRPr="00A42549">
        <w:rPr>
          <w:sz w:val="22"/>
          <w:szCs w:val="22"/>
        </w:rPr>
        <w:t>“Do We Owe an Apology to Russia?”; Knox,</w:t>
      </w:r>
      <w:r w:rsidRPr="00A42549">
        <w:rPr>
          <w:b/>
          <w:sz w:val="22"/>
          <w:szCs w:val="22"/>
        </w:rPr>
        <w:t xml:space="preserve"> </w:t>
      </w:r>
      <w:r w:rsidRPr="00A42549">
        <w:rPr>
          <w:sz w:val="22"/>
          <w:szCs w:val="22"/>
        </w:rPr>
        <w:t xml:space="preserve">“The Watch Tower Society and the End of the Cold War.” </w:t>
      </w:r>
      <w:r w:rsidRPr="00A42549">
        <w:rPr>
          <w:rFonts w:eastAsiaTheme="minorHAnsi" w:cs="AvantGarde Md BT"/>
          <w:color w:val="000000"/>
          <w:sz w:val="22"/>
          <w:szCs w:val="22"/>
        </w:rPr>
        <w:t>The Russian Christian interpretation of Daniel was rather different: see Tamcke</w:t>
      </w:r>
      <w:r w:rsidRPr="00A42549">
        <w:rPr>
          <w:rFonts w:eastAsiaTheme="minorHAnsi" w:cs="AvantGarde Md BT"/>
          <w:b/>
          <w:color w:val="000000"/>
          <w:sz w:val="22"/>
          <w:szCs w:val="22"/>
        </w:rPr>
        <w:t>,</w:t>
      </w:r>
      <w:r w:rsidRPr="00A42549">
        <w:rPr>
          <w:rFonts w:eastAsiaTheme="minorHAnsi" w:cs="AvantGarde Md BT"/>
          <w:color w:val="000000"/>
          <w:sz w:val="22"/>
          <w:szCs w:val="22"/>
        </w:rPr>
        <w:t xml:space="preserve">“Die byzantinisch-russische Reichseschatologie.” And in the aftermath of the fall of the USSR, East German scholar Rainer </w:t>
      </w:r>
      <w:r w:rsidRPr="00A42549">
        <w:rPr>
          <w:rFonts w:eastAsiaTheme="minorHAnsi" w:cs="AvantGarde Md BT"/>
          <w:bCs/>
          <w:color w:val="000000"/>
          <w:sz w:val="22"/>
          <w:szCs w:val="22"/>
        </w:rPr>
        <w:t>Stahl (</w:t>
      </w:r>
      <w:r w:rsidRPr="00A42549">
        <w:rPr>
          <w:rFonts w:eastAsiaTheme="minorHAnsi" w:cs="AvantGarde Md BT"/>
          <w:bCs/>
          <w:i/>
          <w:color w:val="000000"/>
          <w:sz w:val="22"/>
          <w:szCs w:val="22"/>
        </w:rPr>
        <w:t>Von Weltengagement zu Weltüberwindung</w:t>
      </w:r>
      <w:r w:rsidRPr="00A42549">
        <w:rPr>
          <w:rFonts w:eastAsiaTheme="minorHAnsi" w:cs="AvantGarde Md BT"/>
          <w:bCs/>
          <w:color w:val="000000"/>
          <w:sz w:val="22"/>
          <w:szCs w:val="22"/>
        </w:rPr>
        <w:t>) relates Daniel to Russia in a quite different way.</w:t>
      </w:r>
    </w:p>
  </w:footnote>
  <w:footnote w:id="20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Payne, </w:t>
      </w:r>
      <w:r w:rsidRPr="00A42549">
        <w:rPr>
          <w:i/>
          <w:sz w:val="22"/>
          <w:szCs w:val="22"/>
        </w:rPr>
        <w:t>Encyclopedia of Biblical Prophecy</w:t>
      </w:r>
      <w:r w:rsidRPr="00A42549">
        <w:rPr>
          <w:sz w:val="22"/>
          <w:szCs w:val="22"/>
        </w:rPr>
        <w:t xml:space="preserve">; </w:t>
      </w:r>
      <w:r w:rsidRPr="00A42549">
        <w:rPr>
          <w:bCs/>
          <w:sz w:val="22"/>
          <w:szCs w:val="22"/>
        </w:rPr>
        <w:t>Nel</w:t>
      </w:r>
      <w:r w:rsidRPr="00A42549">
        <w:rPr>
          <w:b/>
          <w:bCs/>
          <w:sz w:val="22"/>
          <w:szCs w:val="22"/>
        </w:rPr>
        <w:t xml:space="preserve">, </w:t>
      </w:r>
      <w:r w:rsidRPr="00A42549">
        <w:rPr>
          <w:bCs/>
          <w:sz w:val="22"/>
          <w:szCs w:val="22"/>
        </w:rPr>
        <w:t>“</w:t>
      </w:r>
      <w:r w:rsidRPr="00A42549">
        <w:rPr>
          <w:sz w:val="22"/>
          <w:szCs w:val="22"/>
        </w:rPr>
        <w:t xml:space="preserve">The Second Coming of Christ as the Golden Key to Unlock the Book of Daniel”; Lightner, </w:t>
      </w:r>
      <w:r w:rsidRPr="00A42549">
        <w:rPr>
          <w:i/>
          <w:sz w:val="22"/>
          <w:szCs w:val="22"/>
        </w:rPr>
        <w:t>Last Days Handbook</w:t>
      </w:r>
      <w:r w:rsidRPr="00A42549">
        <w:rPr>
          <w:sz w:val="22"/>
          <w:szCs w:val="22"/>
        </w:rPr>
        <w:t>, “revised and updated” in light of the turn of the millennium; Barker</w:t>
      </w:r>
      <w:r w:rsidRPr="00A42549">
        <w:rPr>
          <w:b/>
          <w:sz w:val="22"/>
          <w:szCs w:val="22"/>
        </w:rPr>
        <w:t xml:space="preserve">, </w:t>
      </w:r>
      <w:r w:rsidRPr="00A42549">
        <w:rPr>
          <w:sz w:val="22"/>
          <w:szCs w:val="22"/>
        </w:rPr>
        <w:t>“Premillennialism in the Book of Daniel”; Walvoord,"Prophecy of The Ten-Nation Confederacy”; ———. “Revival of Rome.”</w:t>
      </w:r>
    </w:p>
  </w:footnote>
  <w:footnote w:id="20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Camping, </w:t>
      </w:r>
      <w:r w:rsidRPr="00A42549">
        <w:rPr>
          <w:i/>
          <w:sz w:val="22"/>
          <w:szCs w:val="22"/>
        </w:rPr>
        <w:t>1994?</w:t>
      </w:r>
      <w:r w:rsidRPr="00A42549">
        <w:rPr>
          <w:sz w:val="22"/>
          <w:szCs w:val="22"/>
        </w:rPr>
        <w:t xml:space="preserve">; cf. Longman, </w:t>
      </w:r>
      <w:r w:rsidRPr="00A42549">
        <w:rPr>
          <w:i/>
          <w:sz w:val="22"/>
          <w:szCs w:val="22"/>
        </w:rPr>
        <w:t>Daniel</w:t>
      </w:r>
      <w:r w:rsidRPr="00A42549">
        <w:rPr>
          <w:sz w:val="22"/>
          <w:szCs w:val="22"/>
        </w:rPr>
        <w:t>, 211-13.</w:t>
      </w:r>
    </w:p>
  </w:footnote>
  <w:footnote w:id="20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rFonts w:eastAsiaTheme="minorHAnsi"/>
          <w:sz w:val="22"/>
          <w:szCs w:val="22"/>
        </w:rPr>
        <w:t>Vetne</w:t>
      </w:r>
      <w:r w:rsidRPr="00A42549">
        <w:rPr>
          <w:rFonts w:eastAsiaTheme="minorHAnsi"/>
          <w:b/>
          <w:sz w:val="22"/>
          <w:szCs w:val="22"/>
        </w:rPr>
        <w:t xml:space="preserve">, </w:t>
      </w:r>
      <w:r w:rsidRPr="00A42549">
        <w:rPr>
          <w:rFonts w:eastAsiaTheme="minorHAnsi"/>
          <w:sz w:val="22"/>
          <w:szCs w:val="22"/>
        </w:rPr>
        <w:t xml:space="preserve">“A Definition and Short History of Historicism as a Method for Interpreting Daniel and Revelation”; </w:t>
      </w:r>
      <w:r w:rsidRPr="00A42549">
        <w:rPr>
          <w:sz w:val="22"/>
          <w:szCs w:val="22"/>
        </w:rPr>
        <w:t>Paulien</w:t>
      </w:r>
      <w:r w:rsidRPr="00A42549">
        <w:rPr>
          <w:b/>
          <w:sz w:val="22"/>
          <w:szCs w:val="22"/>
        </w:rPr>
        <w:t xml:space="preserve">, </w:t>
      </w:r>
      <w:r w:rsidRPr="00A42549">
        <w:rPr>
          <w:sz w:val="22"/>
          <w:szCs w:val="22"/>
        </w:rPr>
        <w:t>“The End of Historicism?”</w:t>
      </w:r>
    </w:p>
  </w:footnote>
  <w:footnote w:id="205">
    <w:p w:rsidR="00786194" w:rsidRPr="00A42549" w:rsidRDefault="00786194" w:rsidP="000C498A">
      <w:pPr>
        <w:rPr>
          <w:rFonts w:eastAsia="Times New Roman" w:cs="Times New Roman"/>
        </w:rPr>
      </w:pPr>
      <w:r w:rsidRPr="00A42549">
        <w:rPr>
          <w:rStyle w:val="FootnoteReference"/>
        </w:rPr>
        <w:footnoteRef/>
      </w:r>
      <w:r w:rsidRPr="00A42549">
        <w:t xml:space="preserve"> Millar, “</w:t>
      </w:r>
      <w:r w:rsidRPr="00A42549">
        <w:rPr>
          <w:rFonts w:eastAsia="Times New Roman" w:cs="Times New Roman"/>
        </w:rPr>
        <w:t xml:space="preserve">Hellenistic History in a Near Eastern Perspective: The Book of Daniel,” </w:t>
      </w:r>
      <w:r w:rsidRPr="00A42549">
        <w:t>94-95.</w:t>
      </w:r>
    </w:p>
  </w:footnote>
  <w:footnote w:id="20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Collins, “The Book of Truth,” 397-400; </w:t>
      </w:r>
      <w:r w:rsidRPr="00A42549">
        <w:rPr>
          <w:bCs/>
          <w:sz w:val="22"/>
          <w:szCs w:val="22"/>
        </w:rPr>
        <w:t>Gosling</w:t>
      </w:r>
      <w:r w:rsidRPr="00A42549">
        <w:rPr>
          <w:b/>
          <w:bCs/>
          <w:sz w:val="22"/>
          <w:szCs w:val="22"/>
        </w:rPr>
        <w:t xml:space="preserve">, </w:t>
      </w:r>
      <w:r w:rsidRPr="00A42549">
        <w:rPr>
          <w:bCs/>
          <w:sz w:val="22"/>
          <w:szCs w:val="22"/>
        </w:rPr>
        <w:t>“Is It Wise to Believe Daniel?”</w:t>
      </w:r>
      <w:r w:rsidRPr="00A42549">
        <w:rPr>
          <w:sz w:val="22"/>
          <w:szCs w:val="22"/>
        </w:rPr>
        <w:t xml:space="preserve"> Van Deventer</w:t>
      </w:r>
      <w:r w:rsidRPr="00A42549">
        <w:rPr>
          <w:b/>
          <w:sz w:val="22"/>
          <w:szCs w:val="22"/>
        </w:rPr>
        <w:t xml:space="preserve">, </w:t>
      </w:r>
      <w:r w:rsidRPr="00A42549">
        <w:rPr>
          <w:sz w:val="22"/>
          <w:szCs w:val="22"/>
        </w:rPr>
        <w:t xml:space="preserve"> “Did Someone Say ‘History’?” provides an interesting example from Africa.</w:t>
      </w:r>
    </w:p>
  </w:footnote>
  <w:footnote w:id="207">
    <w:p w:rsidR="00786194" w:rsidRPr="00A42549" w:rsidRDefault="00786194" w:rsidP="005F43A9">
      <w:pPr>
        <w:pStyle w:val="FootnoteText"/>
        <w:rPr>
          <w:b/>
          <w:sz w:val="22"/>
          <w:szCs w:val="22"/>
        </w:rPr>
      </w:pPr>
      <w:r w:rsidRPr="00A42549">
        <w:rPr>
          <w:rStyle w:val="FootnoteReference"/>
          <w:sz w:val="22"/>
          <w:szCs w:val="22"/>
        </w:rPr>
        <w:footnoteRef/>
      </w:r>
      <w:r w:rsidRPr="00A42549">
        <w:rPr>
          <w:sz w:val="22"/>
          <w:szCs w:val="22"/>
        </w:rPr>
        <w:t xml:space="preserve"> Cf. J. Davis in Smith-Christopher</w:t>
      </w:r>
      <w:r w:rsidRPr="00A42549">
        <w:rPr>
          <w:b/>
          <w:sz w:val="22"/>
          <w:szCs w:val="22"/>
        </w:rPr>
        <w:t xml:space="preserve"> </w:t>
      </w:r>
      <w:r w:rsidRPr="00A42549">
        <w:rPr>
          <w:sz w:val="22"/>
          <w:szCs w:val="22"/>
        </w:rPr>
        <w:t xml:space="preserve">et al., “Daniel (Book and Person),” 109. </w:t>
      </w:r>
    </w:p>
  </w:footnote>
  <w:footnote w:id="2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Collins, “The Book of Truth,” 400.</w:t>
      </w:r>
    </w:p>
  </w:footnote>
  <w:footnote w:id="20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The analysis here compares with Kirkpatrick’s distinction between oracular, historical, and literary approaches (</w:t>
      </w:r>
      <w:r w:rsidRPr="00A42549">
        <w:rPr>
          <w:i/>
          <w:sz w:val="22"/>
          <w:szCs w:val="22"/>
        </w:rPr>
        <w:t>Competing for Honor</w:t>
      </w:r>
      <w:r w:rsidRPr="00A42549">
        <w:rPr>
          <w:sz w:val="22"/>
          <w:szCs w:val="22"/>
        </w:rPr>
        <w:t>, 5-6).</w:t>
      </w:r>
    </w:p>
  </w:footnote>
  <w:footnote w:id="210">
    <w:p w:rsidR="00786194" w:rsidRPr="00A42549" w:rsidRDefault="00786194" w:rsidP="004C7E5F">
      <w:pPr>
        <w:pStyle w:val="FootnoteText"/>
        <w:rPr>
          <w:sz w:val="22"/>
          <w:szCs w:val="22"/>
        </w:rPr>
      </w:pPr>
      <w:r w:rsidRPr="00A42549">
        <w:rPr>
          <w:rStyle w:val="FootnoteReference"/>
          <w:sz w:val="22"/>
          <w:szCs w:val="22"/>
        </w:rPr>
        <w:footnoteRef/>
      </w:r>
      <w:r w:rsidRPr="00A42549">
        <w:rPr>
          <w:sz w:val="22"/>
          <w:szCs w:val="22"/>
        </w:rPr>
        <w:t xml:space="preserve"> E.g., Koch, </w:t>
      </w:r>
      <w:r w:rsidRPr="00A42549">
        <w:rPr>
          <w:i/>
          <w:sz w:val="22"/>
          <w:szCs w:val="22"/>
        </w:rPr>
        <w:t xml:space="preserve">Daniel 1—4, </w:t>
      </w:r>
      <w:r w:rsidRPr="00A42549">
        <w:rPr>
          <w:sz w:val="22"/>
          <w:szCs w:val="22"/>
        </w:rPr>
        <w:t xml:space="preserve">Collins, </w:t>
      </w:r>
      <w:r w:rsidRPr="00A42549">
        <w:rPr>
          <w:i/>
          <w:sz w:val="22"/>
          <w:szCs w:val="22"/>
        </w:rPr>
        <w:t>Daniel</w:t>
      </w:r>
      <w:r w:rsidRPr="00A42549">
        <w:rPr>
          <w:sz w:val="22"/>
          <w:szCs w:val="22"/>
        </w:rPr>
        <w:t xml:space="preserve">, Redditt, </w:t>
      </w:r>
      <w:r w:rsidRPr="00A42549">
        <w:rPr>
          <w:i/>
          <w:sz w:val="22"/>
          <w:szCs w:val="22"/>
        </w:rPr>
        <w:t>Daniel</w:t>
      </w:r>
      <w:r w:rsidRPr="00A42549">
        <w:rPr>
          <w:sz w:val="22"/>
          <w:szCs w:val="22"/>
        </w:rPr>
        <w:t>.</w:t>
      </w:r>
    </w:p>
  </w:footnote>
  <w:footnote w:id="211">
    <w:p w:rsidR="00786194" w:rsidRPr="00A42549" w:rsidRDefault="00786194" w:rsidP="004C7E5F">
      <w:pPr>
        <w:pStyle w:val="FootnoteText"/>
        <w:rPr>
          <w:sz w:val="22"/>
          <w:szCs w:val="22"/>
        </w:rPr>
      </w:pPr>
      <w:r w:rsidRPr="00A42549">
        <w:rPr>
          <w:rStyle w:val="FootnoteReference"/>
          <w:sz w:val="22"/>
          <w:szCs w:val="22"/>
        </w:rPr>
        <w:footnoteRef/>
      </w:r>
      <w:r w:rsidRPr="00A42549">
        <w:rPr>
          <w:sz w:val="22"/>
          <w:szCs w:val="22"/>
        </w:rPr>
        <w:t xml:space="preserve"> Collins/Flint (eds.), </w:t>
      </w:r>
      <w:r w:rsidRPr="00A42549">
        <w:rPr>
          <w:i/>
          <w:sz w:val="22"/>
          <w:szCs w:val="22"/>
        </w:rPr>
        <w:t>The Book of Daniel: Composition and Reception</w:t>
      </w:r>
      <w:r w:rsidRPr="00A42549">
        <w:rPr>
          <w:sz w:val="22"/>
          <w:szCs w:val="22"/>
        </w:rPr>
        <w:t xml:space="preserve"> (italics added in the main text above).</w:t>
      </w:r>
    </w:p>
  </w:footnote>
  <w:footnote w:id="212">
    <w:p w:rsidR="00786194" w:rsidRPr="00A42549" w:rsidRDefault="00786194" w:rsidP="004C7E5F">
      <w:pPr>
        <w:pStyle w:val="FootnoteText"/>
        <w:rPr>
          <w:sz w:val="22"/>
          <w:szCs w:val="22"/>
        </w:rPr>
      </w:pPr>
      <w:r w:rsidRPr="00A42549">
        <w:rPr>
          <w:rStyle w:val="FootnoteReference"/>
          <w:sz w:val="22"/>
          <w:szCs w:val="22"/>
        </w:rPr>
        <w:footnoteRef/>
      </w:r>
      <w:r w:rsidRPr="00A42549">
        <w:rPr>
          <w:sz w:val="22"/>
          <w:szCs w:val="22"/>
        </w:rPr>
        <w:t xml:space="preserve"> Koch</w:t>
      </w:r>
      <w:r w:rsidRPr="00A42549">
        <w:rPr>
          <w:b/>
          <w:sz w:val="22"/>
          <w:szCs w:val="22"/>
        </w:rPr>
        <w:t>,</w:t>
      </w:r>
      <w:r w:rsidRPr="00A42549">
        <w:rPr>
          <w:sz w:val="22"/>
          <w:szCs w:val="22"/>
        </w:rPr>
        <w:t xml:space="preserve"> </w:t>
      </w:r>
      <w:r w:rsidRPr="00A42549">
        <w:rPr>
          <w:i/>
          <w:sz w:val="22"/>
          <w:szCs w:val="22"/>
        </w:rPr>
        <w:t>Europa, Rom und der Kaiser vor dem Hintergrund von zwei Jahrtausenden Rezeption des Buches Daniel</w:t>
      </w:r>
      <w:r w:rsidRPr="00A42549">
        <w:rPr>
          <w:b/>
          <w:sz w:val="22"/>
          <w:szCs w:val="22"/>
        </w:rPr>
        <w:t xml:space="preserve">; </w:t>
      </w:r>
      <w:r w:rsidRPr="00A42549">
        <w:rPr>
          <w:bCs/>
          <w:sz w:val="22"/>
          <w:szCs w:val="22"/>
        </w:rPr>
        <w:t xml:space="preserve">Delgado/Koch/Marsch (eds.), </w:t>
      </w:r>
      <w:r w:rsidRPr="00A42549">
        <w:rPr>
          <w:bCs/>
          <w:i/>
          <w:sz w:val="22"/>
          <w:szCs w:val="22"/>
        </w:rPr>
        <w:t>Europa, Tausendjähriges Reich und Neue Welt</w:t>
      </w:r>
      <w:r w:rsidRPr="00A42549">
        <w:rPr>
          <w:bCs/>
          <w:sz w:val="22"/>
          <w:szCs w:val="22"/>
        </w:rPr>
        <w:t>; Bracht/du Toit (eds.),</w:t>
      </w:r>
      <w:r w:rsidRPr="00A42549">
        <w:rPr>
          <w:b/>
          <w:bCs/>
          <w:sz w:val="22"/>
          <w:szCs w:val="22"/>
        </w:rPr>
        <w:t xml:space="preserve"> </w:t>
      </w:r>
      <w:r w:rsidRPr="00A42549">
        <w:rPr>
          <w:bCs/>
          <w:i/>
          <w:iCs/>
          <w:sz w:val="22"/>
          <w:szCs w:val="22"/>
        </w:rPr>
        <w:t xml:space="preserve">Die Geschichte der Daniel-Auslegung in Judentum, Christentum und Islam. </w:t>
      </w:r>
      <w:r w:rsidRPr="00A42549">
        <w:rPr>
          <w:bCs/>
          <w:iCs/>
          <w:sz w:val="22"/>
          <w:szCs w:val="22"/>
        </w:rPr>
        <w:t xml:space="preserve">See also Smith-Christopher et al., “Daniel (Book and Person),” in the monumental </w:t>
      </w:r>
      <w:r w:rsidRPr="00A42549">
        <w:rPr>
          <w:bCs/>
          <w:i/>
          <w:iCs/>
          <w:sz w:val="22"/>
          <w:szCs w:val="22"/>
        </w:rPr>
        <w:t>Encyclopedia of the Bible and Its Reception</w:t>
      </w:r>
      <w:r w:rsidRPr="00A42549">
        <w:rPr>
          <w:bCs/>
          <w:iCs/>
          <w:sz w:val="22"/>
          <w:szCs w:val="22"/>
        </w:rPr>
        <w:t>.</w:t>
      </w:r>
    </w:p>
  </w:footnote>
  <w:footnote w:id="213">
    <w:p w:rsidR="00786194" w:rsidRPr="00A42549" w:rsidRDefault="00786194" w:rsidP="004C7E5F">
      <w:pPr>
        <w:pStyle w:val="FootnoteText"/>
        <w:rPr>
          <w:sz w:val="22"/>
          <w:szCs w:val="22"/>
        </w:rPr>
      </w:pPr>
      <w:r w:rsidRPr="00A42549">
        <w:rPr>
          <w:rStyle w:val="FootnoteReference"/>
          <w:sz w:val="22"/>
          <w:szCs w:val="22"/>
        </w:rPr>
        <w:footnoteRef/>
      </w:r>
      <w:r w:rsidRPr="00A42549">
        <w:rPr>
          <w:sz w:val="22"/>
          <w:szCs w:val="22"/>
        </w:rPr>
        <w:t xml:space="preserve"> E.g., Smith-Christopher, “Daniel,” Newsom, </w:t>
      </w:r>
      <w:r w:rsidRPr="00A42549">
        <w:rPr>
          <w:i/>
          <w:sz w:val="22"/>
          <w:szCs w:val="22"/>
        </w:rPr>
        <w:t>Daniel</w:t>
      </w:r>
      <w:r w:rsidRPr="00A42549">
        <w:rPr>
          <w:sz w:val="22"/>
          <w:szCs w:val="22"/>
        </w:rPr>
        <w:t xml:space="preserve">, which includes the most substantial systematic treatment of Daniel’s reception history in English by B.W. Breed. Study of reception-history also provides a different way into the study of the development of the canon: see Koch, “Die jüdische und </w:t>
      </w:r>
      <w:r w:rsidRPr="00A42549">
        <w:rPr>
          <w:iCs/>
          <w:sz w:val="22"/>
          <w:szCs w:val="22"/>
        </w:rPr>
        <w:t>christliche Kanonisierung</w:t>
      </w:r>
      <w:r w:rsidRPr="00A42549">
        <w:rPr>
          <w:sz w:val="22"/>
          <w:szCs w:val="22"/>
        </w:rPr>
        <w:t xml:space="preserve"> des Danielbuchs als Rezeption unter verändertem geschichtlichen Horizont.”</w:t>
      </w:r>
    </w:p>
  </w:footnote>
  <w:footnote w:id="21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For the general context of this question, see Collins</w:t>
      </w:r>
      <w:r w:rsidRPr="00A42549">
        <w:rPr>
          <w:b/>
          <w:sz w:val="22"/>
          <w:szCs w:val="22"/>
        </w:rPr>
        <w:t xml:space="preserve"> (</w:t>
      </w:r>
      <w:r w:rsidRPr="00A42549">
        <w:rPr>
          <w:sz w:val="22"/>
          <w:szCs w:val="22"/>
        </w:rPr>
        <w:t>ed</w:t>
      </w:r>
      <w:r w:rsidRPr="00A42549">
        <w:rPr>
          <w:b/>
          <w:sz w:val="22"/>
          <w:szCs w:val="22"/>
        </w:rPr>
        <w:t xml:space="preserve">.), </w:t>
      </w:r>
      <w:r w:rsidRPr="00A42549">
        <w:rPr>
          <w:i/>
          <w:sz w:val="22"/>
          <w:szCs w:val="22"/>
        </w:rPr>
        <w:t>The Oxford Handbook of Apocalyptic Literature</w:t>
      </w:r>
      <w:r w:rsidRPr="00A42549">
        <w:rPr>
          <w:sz w:val="22"/>
          <w:szCs w:val="22"/>
        </w:rPr>
        <w:t>.</w:t>
      </w:r>
    </w:p>
  </w:footnote>
  <w:footnote w:id="21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w:t>
      </w:r>
      <w:r w:rsidRPr="00A42549">
        <w:rPr>
          <w:iCs/>
          <w:sz w:val="22"/>
          <w:szCs w:val="22"/>
        </w:rPr>
        <w:t>Goldingay</w:t>
      </w:r>
      <w:r w:rsidRPr="00A42549">
        <w:rPr>
          <w:b/>
          <w:sz w:val="22"/>
          <w:szCs w:val="22"/>
        </w:rPr>
        <w:t>,</w:t>
      </w:r>
      <w:r w:rsidRPr="00A42549">
        <w:rPr>
          <w:sz w:val="22"/>
          <w:szCs w:val="22"/>
        </w:rPr>
        <w:t xml:space="preserve"> “Story, Vision, Interpretation.”</w:t>
      </w:r>
    </w:p>
  </w:footnote>
  <w:footnote w:id="21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Nel, </w:t>
      </w:r>
      <w:r w:rsidRPr="00A42549">
        <w:rPr>
          <w:bCs/>
          <w:iCs/>
          <w:sz w:val="22"/>
          <w:szCs w:val="22"/>
        </w:rPr>
        <w:t>“A Literary-Historical Analysis of Daniel 2.”</w:t>
      </w:r>
    </w:p>
  </w:footnote>
  <w:footnote w:id="21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Nolan Fewell, </w:t>
      </w:r>
      <w:r w:rsidRPr="00A42549">
        <w:rPr>
          <w:i/>
          <w:sz w:val="22"/>
          <w:szCs w:val="22"/>
        </w:rPr>
        <w:t>Circle of Sovereignty</w:t>
      </w:r>
      <w:r w:rsidRPr="00A42549">
        <w:rPr>
          <w:sz w:val="22"/>
          <w:szCs w:val="22"/>
        </w:rPr>
        <w:t>. In effect Merrill</w:t>
      </w:r>
      <w:r w:rsidRPr="00A42549">
        <w:rPr>
          <w:b/>
          <w:sz w:val="22"/>
          <w:szCs w:val="22"/>
        </w:rPr>
        <w:t xml:space="preserve"> </w:t>
      </w:r>
      <w:r w:rsidRPr="00A42549">
        <w:rPr>
          <w:sz w:val="22"/>
          <w:szCs w:val="22"/>
        </w:rPr>
        <w:t xml:space="preserve">Willis, </w:t>
      </w:r>
      <w:r w:rsidRPr="00A42549">
        <w:rPr>
          <w:i/>
          <w:sz w:val="22"/>
          <w:szCs w:val="22"/>
        </w:rPr>
        <w:t>Dissonance and the Drama of Divine Sovereignty</w:t>
      </w:r>
      <w:r w:rsidRPr="00A42549">
        <w:rPr>
          <w:sz w:val="22"/>
          <w:szCs w:val="22"/>
        </w:rPr>
        <w:t>, is also a deconstructionist reading.</w:t>
      </w:r>
    </w:p>
  </w:footnote>
  <w:footnote w:id="218">
    <w:p w:rsidR="00786194" w:rsidRPr="00A42549" w:rsidRDefault="00786194">
      <w:pPr>
        <w:pStyle w:val="FootnoteText"/>
        <w:rPr>
          <w:i/>
          <w:sz w:val="22"/>
          <w:szCs w:val="22"/>
        </w:rPr>
      </w:pPr>
      <w:r w:rsidRPr="00A42549">
        <w:rPr>
          <w:rStyle w:val="FootnoteReference"/>
          <w:sz w:val="22"/>
          <w:szCs w:val="22"/>
        </w:rPr>
        <w:footnoteRef/>
      </w:r>
      <w:r w:rsidRPr="00A42549">
        <w:rPr>
          <w:sz w:val="22"/>
          <w:szCs w:val="22"/>
        </w:rPr>
        <w:t xml:space="preserve"> Valeta, “Court or Jester Tales?” </w:t>
      </w:r>
      <w:r w:rsidRPr="00A42549">
        <w:rPr>
          <w:b/>
          <w:sz w:val="22"/>
          <w:szCs w:val="22"/>
        </w:rPr>
        <w:t xml:space="preserve">———, </w:t>
      </w:r>
      <w:r w:rsidRPr="00A42549">
        <w:rPr>
          <w:b/>
          <w:bCs/>
          <w:sz w:val="22"/>
          <w:szCs w:val="22"/>
        </w:rPr>
        <w:t xml:space="preserve"> </w:t>
      </w:r>
      <w:r w:rsidRPr="00A42549">
        <w:rPr>
          <w:bCs/>
          <w:i/>
          <w:sz w:val="22"/>
          <w:szCs w:val="22"/>
        </w:rPr>
        <w:t>Lions and Ovens and Visions.</w:t>
      </w:r>
    </w:p>
  </w:footnote>
  <w:footnote w:id="219">
    <w:p w:rsidR="00786194" w:rsidRPr="00A42549" w:rsidRDefault="00786194" w:rsidP="00E45310">
      <w:pPr>
        <w:pStyle w:val="FootnoteText"/>
        <w:ind w:left="720" w:firstLine="0"/>
        <w:rPr>
          <w:sz w:val="22"/>
          <w:szCs w:val="22"/>
        </w:rPr>
      </w:pPr>
      <w:r w:rsidRPr="00A42549">
        <w:rPr>
          <w:rStyle w:val="FootnoteReference"/>
          <w:sz w:val="22"/>
          <w:szCs w:val="22"/>
        </w:rPr>
        <w:footnoteRef/>
      </w:r>
      <w:r w:rsidRPr="00A42549">
        <w:rPr>
          <w:sz w:val="22"/>
          <w:szCs w:val="22"/>
        </w:rPr>
        <w:t xml:space="preserve"> E.g., Arnold</w:t>
      </w:r>
      <w:r w:rsidRPr="00A42549">
        <w:rPr>
          <w:b/>
          <w:sz w:val="22"/>
          <w:szCs w:val="22"/>
        </w:rPr>
        <w:t>, “</w:t>
      </w:r>
      <w:r w:rsidRPr="00A42549">
        <w:rPr>
          <w:sz w:val="22"/>
          <w:szCs w:val="22"/>
        </w:rPr>
        <w:t>The Use of Aramaic in the Hebrew Bible.”</w:t>
      </w:r>
    </w:p>
  </w:footnote>
  <w:footnote w:id="22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bCs/>
          <w:iCs/>
          <w:sz w:val="22"/>
          <w:szCs w:val="22"/>
        </w:rPr>
        <w:t xml:space="preserve">Van Deventer, “Literary Lions with Real Bite,” 844. See further Fishbane, </w:t>
      </w:r>
      <w:r w:rsidRPr="00A42549">
        <w:rPr>
          <w:bCs/>
          <w:i/>
          <w:iCs/>
          <w:sz w:val="22"/>
          <w:szCs w:val="22"/>
        </w:rPr>
        <w:t>Biblical Interpretation</w:t>
      </w:r>
      <w:r w:rsidRPr="00A42549">
        <w:rPr>
          <w:bCs/>
          <w:iCs/>
          <w:sz w:val="22"/>
          <w:szCs w:val="22"/>
        </w:rPr>
        <w:t>,</w:t>
      </w:r>
      <w:r w:rsidRPr="00A42549">
        <w:rPr>
          <w:bCs/>
          <w:i/>
          <w:iCs/>
          <w:sz w:val="22"/>
          <w:szCs w:val="22"/>
        </w:rPr>
        <w:t xml:space="preserve"> </w:t>
      </w:r>
      <w:r w:rsidRPr="00A42549">
        <w:rPr>
          <w:bCs/>
          <w:iCs/>
          <w:sz w:val="22"/>
          <w:szCs w:val="22"/>
        </w:rPr>
        <w:t>441-543;</w:t>
      </w:r>
      <w:r w:rsidRPr="00A42549">
        <w:rPr>
          <w:bCs/>
          <w:i/>
          <w:iCs/>
          <w:sz w:val="22"/>
          <w:szCs w:val="22"/>
        </w:rPr>
        <w:t xml:space="preserve"> </w:t>
      </w:r>
      <w:r w:rsidRPr="00A42549">
        <w:rPr>
          <w:bCs/>
          <w:iCs/>
          <w:sz w:val="22"/>
          <w:szCs w:val="22"/>
        </w:rPr>
        <w:t xml:space="preserve">Henze, “The Use of Scripture in the Book of Daniel”; Wesselius, “The Literary Nature of the Book of Daniel”; Scheetz, </w:t>
      </w:r>
      <w:r w:rsidRPr="00A42549">
        <w:rPr>
          <w:bCs/>
          <w:i/>
          <w:iCs/>
          <w:sz w:val="22"/>
          <w:szCs w:val="22"/>
        </w:rPr>
        <w:t>The Concept of Canonical Intertextuality</w:t>
      </w:r>
      <w:r w:rsidRPr="00A42549">
        <w:rPr>
          <w:bCs/>
          <w:iCs/>
          <w:sz w:val="22"/>
          <w:szCs w:val="22"/>
        </w:rPr>
        <w:t xml:space="preserve">; Shepherd, </w:t>
      </w:r>
      <w:r w:rsidRPr="00A42549">
        <w:rPr>
          <w:bCs/>
          <w:i/>
          <w:iCs/>
          <w:sz w:val="22"/>
          <w:szCs w:val="22"/>
        </w:rPr>
        <w:t>Daniel in the Context of the Hebrew Bible</w:t>
      </w:r>
      <w:r w:rsidRPr="00A42549">
        <w:rPr>
          <w:bCs/>
          <w:iCs/>
          <w:sz w:val="22"/>
          <w:szCs w:val="22"/>
        </w:rPr>
        <w:t>; Teeter</w:t>
      </w:r>
      <w:r w:rsidRPr="00A42549">
        <w:rPr>
          <w:b/>
          <w:bCs/>
          <w:iCs/>
          <w:sz w:val="22"/>
          <w:szCs w:val="22"/>
        </w:rPr>
        <w:t xml:space="preserve">, </w:t>
      </w:r>
      <w:r w:rsidRPr="00A42549">
        <w:rPr>
          <w:bCs/>
          <w:iCs/>
          <w:sz w:val="22"/>
          <w:szCs w:val="22"/>
        </w:rPr>
        <w:t>“Isaiah and the King of As/Syria in Daniel’s Final Vision”; Lester</w:t>
      </w:r>
      <w:r w:rsidRPr="00A42549">
        <w:rPr>
          <w:b/>
          <w:bCs/>
          <w:iCs/>
          <w:sz w:val="22"/>
          <w:szCs w:val="22"/>
        </w:rPr>
        <w:t>,</w:t>
      </w:r>
      <w:r w:rsidRPr="00A42549">
        <w:rPr>
          <w:bCs/>
          <w:iCs/>
          <w:sz w:val="22"/>
          <w:szCs w:val="22"/>
        </w:rPr>
        <w:t xml:space="preserve"> </w:t>
      </w:r>
      <w:r w:rsidRPr="00A42549">
        <w:rPr>
          <w:bCs/>
          <w:i/>
          <w:iCs/>
          <w:sz w:val="22"/>
          <w:szCs w:val="22"/>
        </w:rPr>
        <w:t>Daniel Evokes Isaiah</w:t>
      </w:r>
      <w:r w:rsidRPr="00A42549">
        <w:rPr>
          <w:bCs/>
          <w:iCs/>
          <w:sz w:val="22"/>
          <w:szCs w:val="22"/>
        </w:rPr>
        <w:t>; Mason</w:t>
      </w:r>
      <w:r w:rsidRPr="00A42549">
        <w:rPr>
          <w:b/>
          <w:bCs/>
          <w:iCs/>
          <w:sz w:val="22"/>
          <w:szCs w:val="22"/>
        </w:rPr>
        <w:t xml:space="preserve">, </w:t>
      </w:r>
      <w:r w:rsidRPr="00A42549">
        <w:rPr>
          <w:bCs/>
          <w:iCs/>
          <w:sz w:val="22"/>
          <w:szCs w:val="22"/>
        </w:rPr>
        <w:t xml:space="preserve">“The Treatment of Earlier Biblical Themes in the Book of Daniel.”.  In his commentary </w:t>
      </w:r>
      <w:r w:rsidRPr="00A42549">
        <w:rPr>
          <w:bCs/>
          <w:i/>
          <w:iCs/>
          <w:sz w:val="22"/>
          <w:szCs w:val="22"/>
        </w:rPr>
        <w:t>Daniel</w:t>
      </w:r>
      <w:r w:rsidRPr="00A42549">
        <w:rPr>
          <w:bCs/>
          <w:iCs/>
          <w:sz w:val="22"/>
          <w:szCs w:val="22"/>
        </w:rPr>
        <w:t xml:space="preserve">, Buchanan systematically lists the books “intertexts.” Kim’s dissertation on </w:t>
      </w:r>
      <w:r w:rsidRPr="00A42549">
        <w:rPr>
          <w:bCs/>
          <w:i/>
          <w:iCs/>
          <w:sz w:val="22"/>
          <w:szCs w:val="22"/>
        </w:rPr>
        <w:t>Biblical Interpretation in the Book of Daniel</w:t>
      </w:r>
      <w:r w:rsidRPr="00A42549">
        <w:rPr>
          <w:bCs/>
          <w:iCs/>
          <w:sz w:val="22"/>
          <w:szCs w:val="22"/>
        </w:rPr>
        <w:t>, focuses on Gen 10—11 and Ezek 1—3.</w:t>
      </w:r>
    </w:p>
  </w:footnote>
  <w:footnote w:id="221">
    <w:p w:rsidR="00786194" w:rsidRPr="00A42549" w:rsidRDefault="00786194" w:rsidP="00672889">
      <w:r w:rsidRPr="00A42549">
        <w:rPr>
          <w:rStyle w:val="FootnoteReference"/>
        </w:rPr>
        <w:footnoteRef/>
      </w:r>
      <w:r w:rsidRPr="00A42549">
        <w:t xml:space="preserve"> For a survey, see DiTommaso, </w:t>
      </w:r>
      <w:r w:rsidRPr="00A42549">
        <w:rPr>
          <w:bCs/>
        </w:rPr>
        <w:t>“</w:t>
      </w:r>
      <w:r w:rsidRPr="00A42549">
        <w:rPr>
          <w:iCs/>
        </w:rPr>
        <w:t>Apocalypses and Apocalypticism in Antiquity,” 250-63.</w:t>
      </w:r>
    </w:p>
  </w:footnote>
  <w:footnote w:id="222">
    <w:p w:rsidR="00786194" w:rsidRPr="00A42549" w:rsidRDefault="00786194" w:rsidP="009769EF">
      <w:pPr>
        <w:pStyle w:val="FootnoteText"/>
        <w:rPr>
          <w:b/>
          <w:i/>
          <w:sz w:val="22"/>
          <w:szCs w:val="22"/>
        </w:rPr>
      </w:pPr>
      <w:r w:rsidRPr="00A42549">
        <w:rPr>
          <w:rStyle w:val="FootnoteReference"/>
          <w:sz w:val="22"/>
          <w:szCs w:val="22"/>
        </w:rPr>
        <w:footnoteRef/>
      </w:r>
      <w:r w:rsidRPr="00A42549">
        <w:rPr>
          <w:sz w:val="22"/>
          <w:szCs w:val="22"/>
        </w:rPr>
        <w:t xml:space="preserve"> </w:t>
      </w:r>
      <w:r w:rsidRPr="00A42549">
        <w:rPr>
          <w:bCs/>
          <w:sz w:val="22"/>
          <w:szCs w:val="22"/>
        </w:rPr>
        <w:t>Chia</w:t>
      </w:r>
      <w:r w:rsidRPr="00A42549">
        <w:rPr>
          <w:b/>
          <w:bCs/>
          <w:sz w:val="22"/>
          <w:szCs w:val="22"/>
        </w:rPr>
        <w:t xml:space="preserve">, </w:t>
      </w:r>
      <w:r w:rsidRPr="00A42549">
        <w:rPr>
          <w:bCs/>
          <w:sz w:val="22"/>
          <w:szCs w:val="22"/>
        </w:rPr>
        <w:t xml:space="preserve">“Occupy Central: Scribal Resistance In Daniel”; </w:t>
      </w:r>
      <w:r w:rsidRPr="00A42549">
        <w:rPr>
          <w:b/>
          <w:bCs/>
          <w:i/>
          <w:sz w:val="22"/>
          <w:szCs w:val="22"/>
        </w:rPr>
        <w:t xml:space="preserve">———, </w:t>
      </w:r>
      <w:r w:rsidRPr="00A42549">
        <w:rPr>
          <w:bCs/>
          <w:sz w:val="22"/>
          <w:szCs w:val="22"/>
        </w:rPr>
        <w:t xml:space="preserve">“On Naming the Subject”; Kirkpatrick, </w:t>
      </w:r>
      <w:r w:rsidRPr="00A42549">
        <w:rPr>
          <w:bCs/>
          <w:i/>
          <w:sz w:val="22"/>
          <w:szCs w:val="22"/>
        </w:rPr>
        <w:t>Competing for Honor</w:t>
      </w:r>
      <w:r w:rsidRPr="00A42549">
        <w:rPr>
          <w:bCs/>
          <w:sz w:val="22"/>
          <w:szCs w:val="22"/>
        </w:rPr>
        <w:t>; Valeta</w:t>
      </w:r>
      <w:r w:rsidRPr="00A42549">
        <w:rPr>
          <w:b/>
          <w:bCs/>
          <w:sz w:val="22"/>
          <w:szCs w:val="22"/>
        </w:rPr>
        <w:t xml:space="preserve">, </w:t>
      </w:r>
      <w:r w:rsidRPr="00A42549">
        <w:rPr>
          <w:bCs/>
          <w:sz w:val="22"/>
          <w:szCs w:val="22"/>
        </w:rPr>
        <w:t>“Polyglossia and Parody”; Sang Tin Uk</w:t>
      </w:r>
      <w:r w:rsidRPr="00A42549">
        <w:rPr>
          <w:b/>
          <w:bCs/>
          <w:sz w:val="22"/>
          <w:szCs w:val="22"/>
        </w:rPr>
        <w:t xml:space="preserve">, </w:t>
      </w:r>
      <w:r w:rsidRPr="00A42549">
        <w:rPr>
          <w:bCs/>
          <w:sz w:val="22"/>
          <w:szCs w:val="22"/>
        </w:rPr>
        <w:t>“Daniel: A Counter Paradigm to the Hellenistic Imperialism vis-à-vis Burmanization in Chin State”; Thomas</w:t>
      </w:r>
      <w:r w:rsidRPr="00A42549">
        <w:rPr>
          <w:b/>
          <w:bCs/>
          <w:sz w:val="22"/>
          <w:szCs w:val="22"/>
        </w:rPr>
        <w:t xml:space="preserve">, </w:t>
      </w:r>
      <w:r w:rsidRPr="00A42549">
        <w:rPr>
          <w:bCs/>
          <w:sz w:val="22"/>
          <w:szCs w:val="22"/>
        </w:rPr>
        <w:t>“The Book of Daniel: The Apocalypse with a Distinct Charter for Liberative Praxis and Theological Vision”; Smith</w:t>
      </w:r>
      <w:r w:rsidRPr="00A42549">
        <w:rPr>
          <w:b/>
          <w:bCs/>
          <w:sz w:val="22"/>
          <w:szCs w:val="22"/>
        </w:rPr>
        <w:t>-</w:t>
      </w:r>
      <w:r w:rsidRPr="00A42549">
        <w:rPr>
          <w:bCs/>
          <w:sz w:val="22"/>
          <w:szCs w:val="22"/>
        </w:rPr>
        <w:t>Christopher</w:t>
      </w:r>
      <w:r w:rsidRPr="00A42549">
        <w:rPr>
          <w:b/>
          <w:bCs/>
          <w:sz w:val="22"/>
          <w:szCs w:val="22"/>
        </w:rPr>
        <w:t xml:space="preserve">, </w:t>
      </w:r>
      <w:r w:rsidRPr="00A42549">
        <w:rPr>
          <w:bCs/>
          <w:sz w:val="22"/>
          <w:szCs w:val="22"/>
        </w:rPr>
        <w:t>“Gandhi on Daniel 6”;</w:t>
      </w:r>
      <w:r w:rsidRPr="00A42549">
        <w:rPr>
          <w:sz w:val="22"/>
          <w:szCs w:val="22"/>
        </w:rPr>
        <w:t xml:space="preserve"> </w:t>
      </w:r>
      <w:r w:rsidRPr="00A42549">
        <w:rPr>
          <w:bCs/>
          <w:sz w:val="22"/>
          <w:szCs w:val="22"/>
        </w:rPr>
        <w:t>Smith</w:t>
      </w:r>
      <w:r w:rsidRPr="00A42549">
        <w:rPr>
          <w:b/>
          <w:bCs/>
          <w:sz w:val="22"/>
          <w:szCs w:val="22"/>
        </w:rPr>
        <w:t>-</w:t>
      </w:r>
      <w:r w:rsidRPr="00A42549">
        <w:rPr>
          <w:bCs/>
          <w:sz w:val="22"/>
          <w:szCs w:val="22"/>
        </w:rPr>
        <w:t>Christopher</w:t>
      </w:r>
      <w:r w:rsidRPr="00A42549">
        <w:rPr>
          <w:b/>
          <w:i/>
          <w:sz w:val="22"/>
          <w:szCs w:val="22"/>
        </w:rPr>
        <w:t xml:space="preserve"> </w:t>
      </w:r>
      <w:r w:rsidRPr="00A42549">
        <w:rPr>
          <w:sz w:val="22"/>
          <w:szCs w:val="22"/>
        </w:rPr>
        <w:t>et al.</w:t>
      </w:r>
      <w:r w:rsidRPr="00A42549">
        <w:rPr>
          <w:bCs/>
          <w:sz w:val="22"/>
          <w:szCs w:val="22"/>
        </w:rPr>
        <w:t xml:space="preserve">, “Daniel (Book and Person),” 92-94; </w:t>
      </w:r>
      <w:r w:rsidRPr="00A42549">
        <w:rPr>
          <w:sz w:val="22"/>
          <w:szCs w:val="22"/>
        </w:rPr>
        <w:t>Portier</w:t>
      </w:r>
      <w:r w:rsidRPr="00A42549">
        <w:rPr>
          <w:b/>
          <w:sz w:val="22"/>
          <w:szCs w:val="22"/>
        </w:rPr>
        <w:t>-</w:t>
      </w:r>
      <w:r w:rsidRPr="00A42549">
        <w:rPr>
          <w:sz w:val="22"/>
          <w:szCs w:val="22"/>
        </w:rPr>
        <w:t>Young</w:t>
      </w:r>
      <w:r w:rsidRPr="00A42549">
        <w:rPr>
          <w:b/>
          <w:sz w:val="22"/>
          <w:szCs w:val="22"/>
        </w:rPr>
        <w:t xml:space="preserve">, </w:t>
      </w:r>
      <w:r w:rsidRPr="00A42549">
        <w:rPr>
          <w:i/>
          <w:sz w:val="22"/>
          <w:szCs w:val="22"/>
        </w:rPr>
        <w:t>Apocalypse against Empire</w:t>
      </w:r>
      <w:r w:rsidRPr="00A42549">
        <w:rPr>
          <w:sz w:val="22"/>
          <w:szCs w:val="22"/>
        </w:rPr>
        <w:t>;</w:t>
      </w:r>
      <w:r w:rsidRPr="00A42549">
        <w:rPr>
          <w:bCs/>
          <w:sz w:val="22"/>
          <w:szCs w:val="22"/>
        </w:rPr>
        <w:t xml:space="preserve"> Davies</w:t>
      </w:r>
      <w:r w:rsidRPr="00A42549">
        <w:rPr>
          <w:b/>
          <w:bCs/>
          <w:sz w:val="22"/>
          <w:szCs w:val="22"/>
        </w:rPr>
        <w:t>,</w:t>
      </w:r>
      <w:r w:rsidRPr="00A42549">
        <w:rPr>
          <w:bCs/>
          <w:sz w:val="22"/>
          <w:szCs w:val="22"/>
        </w:rPr>
        <w:t xml:space="preserve"> “Reading Daniel Sociologically”; Frisch</w:t>
      </w:r>
      <w:r w:rsidRPr="00A42549">
        <w:rPr>
          <w:b/>
          <w:bCs/>
          <w:sz w:val="22"/>
          <w:szCs w:val="22"/>
        </w:rPr>
        <w:t xml:space="preserve">, </w:t>
      </w:r>
      <w:r w:rsidRPr="00A42549">
        <w:rPr>
          <w:bCs/>
          <w:i/>
          <w:sz w:val="22"/>
          <w:szCs w:val="22"/>
        </w:rPr>
        <w:t>The</w:t>
      </w:r>
      <w:r w:rsidRPr="00A42549">
        <w:rPr>
          <w:b/>
          <w:bCs/>
          <w:i/>
          <w:sz w:val="22"/>
          <w:szCs w:val="22"/>
        </w:rPr>
        <w:t xml:space="preserve"> </w:t>
      </w:r>
      <w:r w:rsidRPr="00A42549">
        <w:rPr>
          <w:bCs/>
          <w:i/>
          <w:sz w:val="22"/>
          <w:szCs w:val="22"/>
        </w:rPr>
        <w:t>Danielic Discourse on Empire</w:t>
      </w:r>
      <w:r w:rsidRPr="00A42549">
        <w:rPr>
          <w:bCs/>
          <w:sz w:val="22"/>
          <w:szCs w:val="22"/>
        </w:rPr>
        <w:t>;</w:t>
      </w:r>
      <w:r w:rsidRPr="00A42549">
        <w:rPr>
          <w:bCs/>
          <w:i/>
          <w:sz w:val="22"/>
          <w:szCs w:val="22"/>
        </w:rPr>
        <w:t xml:space="preserve"> </w:t>
      </w:r>
      <w:r w:rsidRPr="00A42549">
        <w:rPr>
          <w:sz w:val="22"/>
          <w:szCs w:val="22"/>
        </w:rPr>
        <w:t>Jones</w:t>
      </w:r>
      <w:r w:rsidRPr="00A42549">
        <w:rPr>
          <w:b/>
          <w:sz w:val="22"/>
          <w:szCs w:val="22"/>
        </w:rPr>
        <w:t xml:space="preserve">, </w:t>
      </w:r>
      <w:r w:rsidRPr="00A42549">
        <w:rPr>
          <w:sz w:val="22"/>
          <w:szCs w:val="22"/>
        </w:rPr>
        <w:t>“Resisting the Power of Empire”; Appler</w:t>
      </w:r>
      <w:r w:rsidRPr="00A42549">
        <w:rPr>
          <w:b/>
          <w:sz w:val="22"/>
          <w:szCs w:val="22"/>
        </w:rPr>
        <w:t xml:space="preserve">, </w:t>
      </w:r>
      <w:r w:rsidRPr="00A42549">
        <w:rPr>
          <w:sz w:val="22"/>
          <w:szCs w:val="22"/>
        </w:rPr>
        <w:t xml:space="preserve">“Digging in the Claws”; </w:t>
      </w:r>
      <w:r w:rsidRPr="00A42549">
        <w:rPr>
          <w:bCs/>
          <w:sz w:val="22"/>
          <w:szCs w:val="22"/>
        </w:rPr>
        <w:t>Sweeney</w:t>
      </w:r>
      <w:r w:rsidRPr="00A42549">
        <w:rPr>
          <w:b/>
          <w:bCs/>
          <w:sz w:val="22"/>
          <w:szCs w:val="22"/>
        </w:rPr>
        <w:t>,</w:t>
      </w:r>
      <w:r w:rsidRPr="00A42549">
        <w:rPr>
          <w:bCs/>
          <w:sz w:val="22"/>
          <w:szCs w:val="22"/>
        </w:rPr>
        <w:t xml:space="preserve"> “The End of Eschatology in Daniel?” </w:t>
      </w:r>
    </w:p>
  </w:footnote>
  <w:footnote w:id="223">
    <w:p w:rsidR="00786194" w:rsidRPr="00A42549" w:rsidRDefault="00786194" w:rsidP="00576B07">
      <w:pPr>
        <w:pStyle w:val="FootnoteText"/>
        <w:rPr>
          <w:sz w:val="22"/>
          <w:szCs w:val="22"/>
        </w:rPr>
      </w:pPr>
      <w:r w:rsidRPr="00A42549">
        <w:rPr>
          <w:rStyle w:val="FootnoteReference"/>
          <w:sz w:val="22"/>
          <w:szCs w:val="22"/>
        </w:rPr>
        <w:footnoteRef/>
      </w:r>
      <w:r w:rsidRPr="00A42549">
        <w:rPr>
          <w:sz w:val="22"/>
          <w:szCs w:val="22"/>
        </w:rPr>
        <w:t xml:space="preserve"> </w:t>
      </w:r>
      <w:r w:rsidRPr="00A42549">
        <w:rPr>
          <w:bCs/>
          <w:sz w:val="22"/>
          <w:szCs w:val="22"/>
        </w:rPr>
        <w:t>Reid</w:t>
      </w:r>
      <w:r w:rsidRPr="00A42549">
        <w:rPr>
          <w:b/>
          <w:bCs/>
          <w:sz w:val="22"/>
          <w:szCs w:val="22"/>
        </w:rPr>
        <w:t xml:space="preserve">, </w:t>
      </w:r>
      <w:r w:rsidRPr="00A42549">
        <w:rPr>
          <w:bCs/>
          <w:sz w:val="22"/>
          <w:szCs w:val="22"/>
        </w:rPr>
        <w:t>“The Theology of the Book of Daniel and the Political Theory of W. E. B. DuBois,” 38.</w:t>
      </w:r>
    </w:p>
  </w:footnote>
  <w:footnote w:id="22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Suh, </w:t>
      </w:r>
      <w:r w:rsidRPr="00A42549">
        <w:rPr>
          <w:i/>
          <w:sz w:val="22"/>
          <w:szCs w:val="22"/>
        </w:rPr>
        <w:t>Korean Minjung in Christ</w:t>
      </w:r>
      <w:r w:rsidRPr="00A42549">
        <w:rPr>
          <w:sz w:val="22"/>
          <w:szCs w:val="22"/>
        </w:rPr>
        <w:t xml:space="preserve">, 18. </w:t>
      </w:r>
    </w:p>
  </w:footnote>
  <w:footnote w:id="225">
    <w:p w:rsidR="00786194" w:rsidRPr="00A42549" w:rsidRDefault="00786194" w:rsidP="00FB6475">
      <w:pPr>
        <w:pStyle w:val="FootnoteText"/>
        <w:rPr>
          <w:sz w:val="22"/>
          <w:szCs w:val="22"/>
        </w:rPr>
      </w:pPr>
      <w:r w:rsidRPr="00A42549">
        <w:rPr>
          <w:rStyle w:val="FootnoteReference"/>
          <w:sz w:val="22"/>
          <w:szCs w:val="22"/>
        </w:rPr>
        <w:footnoteRef/>
      </w:r>
      <w:r w:rsidRPr="00A42549">
        <w:rPr>
          <w:sz w:val="22"/>
          <w:szCs w:val="22"/>
        </w:rPr>
        <w:t xml:space="preserve"> See Lederach</w:t>
      </w:r>
      <w:r w:rsidRPr="00A42549">
        <w:rPr>
          <w:b/>
          <w:sz w:val="22"/>
          <w:szCs w:val="22"/>
        </w:rPr>
        <w:t xml:space="preserve">, </w:t>
      </w:r>
      <w:r w:rsidRPr="00A42549">
        <w:rPr>
          <w:i/>
          <w:sz w:val="22"/>
          <w:szCs w:val="22"/>
        </w:rPr>
        <w:t>Daniel</w:t>
      </w:r>
      <w:r w:rsidRPr="00A42549">
        <w:rPr>
          <w:sz w:val="22"/>
          <w:szCs w:val="22"/>
        </w:rPr>
        <w:t>, 23-27; Smith-Christopher, “Daniel”; Berrigan</w:t>
      </w:r>
      <w:r w:rsidRPr="00A42549">
        <w:rPr>
          <w:b/>
          <w:sz w:val="22"/>
          <w:szCs w:val="22"/>
        </w:rPr>
        <w:t xml:space="preserve">, </w:t>
      </w:r>
      <w:r w:rsidRPr="00A42549">
        <w:rPr>
          <w:i/>
          <w:sz w:val="22"/>
          <w:szCs w:val="22"/>
        </w:rPr>
        <w:t>Daniel</w:t>
      </w:r>
      <w:r w:rsidRPr="00A42549">
        <w:rPr>
          <w:b/>
          <w:sz w:val="22"/>
          <w:szCs w:val="22"/>
        </w:rPr>
        <w:t>.</w:t>
      </w:r>
    </w:p>
  </w:footnote>
  <w:footnote w:id="226">
    <w:p w:rsidR="00786194" w:rsidRPr="00A42549" w:rsidRDefault="00786194">
      <w:pPr>
        <w:pStyle w:val="FootnoteText"/>
        <w:rPr>
          <w:bCs/>
          <w:sz w:val="22"/>
          <w:szCs w:val="22"/>
        </w:rPr>
      </w:pPr>
      <w:r w:rsidRPr="00A42549">
        <w:rPr>
          <w:rStyle w:val="FootnoteReference"/>
          <w:sz w:val="22"/>
          <w:szCs w:val="22"/>
        </w:rPr>
        <w:footnoteRef/>
      </w:r>
      <w:r w:rsidRPr="00A42549">
        <w:rPr>
          <w:sz w:val="22"/>
          <w:szCs w:val="22"/>
        </w:rPr>
        <w:t xml:space="preserve"> </w:t>
      </w:r>
      <w:r w:rsidRPr="00A42549">
        <w:rPr>
          <w:bCs/>
          <w:sz w:val="22"/>
          <w:szCs w:val="22"/>
        </w:rPr>
        <w:t>Pyper, “Looking into the Lions’ Den,” 69. See also Padley</w:t>
      </w:r>
      <w:r w:rsidRPr="00A42549">
        <w:rPr>
          <w:b/>
          <w:bCs/>
          <w:sz w:val="22"/>
          <w:szCs w:val="22"/>
        </w:rPr>
        <w:t xml:space="preserve">, </w:t>
      </w:r>
      <w:r w:rsidRPr="00A42549">
        <w:rPr>
          <w:bCs/>
          <w:sz w:val="22"/>
          <w:szCs w:val="22"/>
        </w:rPr>
        <w:t>“‘Declare the Interpretation,’” for the interpretation of Daniel in earlier children’s Bibles; and Briggs</w:t>
      </w:r>
      <w:r w:rsidRPr="00A42549">
        <w:rPr>
          <w:b/>
          <w:bCs/>
          <w:sz w:val="22"/>
          <w:szCs w:val="22"/>
        </w:rPr>
        <w:t xml:space="preserve">, </w:t>
      </w:r>
      <w:r w:rsidRPr="00A42549">
        <w:rPr>
          <w:bCs/>
          <w:sz w:val="22"/>
          <w:szCs w:val="22"/>
        </w:rPr>
        <w:t>“Reading Daniel as Children’s Literature.” Nolan Fewell rather argues for “Resisting Daniel” (</w:t>
      </w:r>
      <w:r w:rsidRPr="00A42549">
        <w:rPr>
          <w:bCs/>
          <w:i/>
          <w:sz w:val="22"/>
          <w:szCs w:val="22"/>
        </w:rPr>
        <w:t>The Children of Israel</w:t>
      </w:r>
      <w:r w:rsidRPr="00A42549">
        <w:rPr>
          <w:bCs/>
          <w:sz w:val="22"/>
          <w:szCs w:val="22"/>
        </w:rPr>
        <w:t>, 117-30).</w:t>
      </w:r>
    </w:p>
  </w:footnote>
  <w:footnote w:id="22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rFonts w:eastAsia="Times-Roman" w:cs="Times-Roman"/>
          <w:sz w:val="22"/>
          <w:szCs w:val="22"/>
        </w:rPr>
        <w:t>Van Deventer</w:t>
      </w:r>
      <w:r w:rsidRPr="00A42549">
        <w:rPr>
          <w:rFonts w:eastAsia="Times-Roman" w:cs="Times-Roman"/>
          <w:b/>
          <w:sz w:val="22"/>
          <w:szCs w:val="22"/>
        </w:rPr>
        <w:t>,</w:t>
      </w:r>
      <w:r w:rsidRPr="00A42549">
        <w:rPr>
          <w:rFonts w:eastAsia="Times-Roman" w:cs="Times-Roman"/>
          <w:sz w:val="22"/>
          <w:szCs w:val="22"/>
        </w:rPr>
        <w:t>“Another Wise Queen (Mother)”</w:t>
      </w:r>
      <w:r w:rsidRPr="00A42549">
        <w:rPr>
          <w:bCs/>
          <w:sz w:val="22"/>
          <w:szCs w:val="22"/>
        </w:rPr>
        <w:t>;</w:t>
      </w:r>
      <w:r w:rsidRPr="00A42549">
        <w:rPr>
          <w:b/>
          <w:bCs/>
          <w:sz w:val="22"/>
          <w:szCs w:val="22"/>
        </w:rPr>
        <w:t xml:space="preserve"> </w:t>
      </w:r>
      <w:r w:rsidRPr="00A42549">
        <w:rPr>
          <w:sz w:val="22"/>
          <w:szCs w:val="22"/>
        </w:rPr>
        <w:t xml:space="preserve">Newsom, “Daniel”; Brenner (ed.), </w:t>
      </w:r>
      <w:r w:rsidRPr="00A42549">
        <w:rPr>
          <w:i/>
          <w:sz w:val="22"/>
          <w:szCs w:val="22"/>
        </w:rPr>
        <w:t>Feminist Companion to Prophets and Daniel</w:t>
      </w:r>
      <w:r w:rsidRPr="00A42549">
        <w:rPr>
          <w:sz w:val="22"/>
          <w:szCs w:val="22"/>
        </w:rPr>
        <w:t xml:space="preserve">; </w:t>
      </w:r>
      <w:r w:rsidRPr="00A42549">
        <w:rPr>
          <w:bCs/>
          <w:sz w:val="22"/>
          <w:szCs w:val="22"/>
        </w:rPr>
        <w:t>Todd, “Negotiating Daniel’s Masculinity.”</w:t>
      </w:r>
    </w:p>
  </w:footnote>
  <w:footnote w:id="228">
    <w:p w:rsidR="00786194" w:rsidRPr="00A42549" w:rsidRDefault="00786194" w:rsidP="005D4DF8">
      <w:pPr>
        <w:pStyle w:val="FootnoteText"/>
        <w:rPr>
          <w:b/>
          <w:i/>
          <w:sz w:val="22"/>
          <w:szCs w:val="22"/>
        </w:rPr>
      </w:pPr>
      <w:r w:rsidRPr="00A42549">
        <w:rPr>
          <w:rStyle w:val="FootnoteReference"/>
          <w:sz w:val="22"/>
          <w:szCs w:val="22"/>
        </w:rPr>
        <w:footnoteRef/>
      </w:r>
      <w:r w:rsidRPr="00A42549">
        <w:rPr>
          <w:sz w:val="22"/>
          <w:szCs w:val="22"/>
        </w:rPr>
        <w:t xml:space="preserve"> Leung Lai, “Aspirant Sage or Dysfunctional Seer?”; </w:t>
      </w:r>
      <w:r w:rsidRPr="00A42549">
        <w:rPr>
          <w:b/>
          <w:i/>
          <w:sz w:val="22"/>
          <w:szCs w:val="22"/>
        </w:rPr>
        <w:t>———</w:t>
      </w:r>
      <w:r w:rsidRPr="00A42549">
        <w:rPr>
          <w:sz w:val="22"/>
          <w:szCs w:val="22"/>
        </w:rPr>
        <w:t>, “Word Becoming Flesh”; Sun, “Response [to Leung Lai]: Reflections on Self and Survival.”</w:t>
      </w:r>
    </w:p>
  </w:footnote>
  <w:footnote w:id="22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Strømmen</w:t>
      </w:r>
      <w:r w:rsidRPr="00A42549">
        <w:rPr>
          <w:b/>
          <w:sz w:val="22"/>
          <w:szCs w:val="22"/>
        </w:rPr>
        <w:t>,</w:t>
      </w:r>
      <w:r w:rsidRPr="00A42549">
        <w:rPr>
          <w:sz w:val="22"/>
          <w:szCs w:val="22"/>
        </w:rPr>
        <w:t xml:space="preserve"> “The Book of Daniel: from Biblical Archive to Posthuman Prophecy.”</w:t>
      </w:r>
    </w:p>
  </w:footnote>
  <w:footnote w:id="230">
    <w:p w:rsidR="00786194" w:rsidRPr="00A42549" w:rsidRDefault="00786194" w:rsidP="009D3B28">
      <w:pPr>
        <w:pStyle w:val="FootnoteText"/>
        <w:rPr>
          <w:sz w:val="22"/>
          <w:szCs w:val="22"/>
        </w:rPr>
      </w:pPr>
      <w:r w:rsidRPr="00A42549">
        <w:rPr>
          <w:rStyle w:val="FootnoteReference"/>
          <w:sz w:val="22"/>
          <w:szCs w:val="22"/>
        </w:rPr>
        <w:footnoteRef/>
      </w:r>
      <w:r w:rsidRPr="00A42549">
        <w:rPr>
          <w:sz w:val="22"/>
          <w:szCs w:val="22"/>
        </w:rPr>
        <w:t xml:space="preserve"> Collins, “Currents Issues </w:t>
      </w:r>
      <w:r w:rsidRPr="00A42549">
        <w:rPr>
          <w:bCs/>
          <w:sz w:val="22"/>
          <w:szCs w:val="22"/>
        </w:rPr>
        <w:t>in the Study of Daniel</w:t>
      </w:r>
      <w:r w:rsidRPr="00A42549">
        <w:rPr>
          <w:sz w:val="22"/>
          <w:szCs w:val="22"/>
        </w:rPr>
        <w:t>,” 1.</w:t>
      </w:r>
    </w:p>
  </w:footnote>
  <w:footnote w:id="23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Childs</w:t>
      </w:r>
      <w:r w:rsidRPr="00A42549">
        <w:rPr>
          <w:i/>
          <w:sz w:val="22"/>
          <w:szCs w:val="22"/>
        </w:rPr>
        <w:t>, Introduction to the OT as Scripture</w:t>
      </w:r>
      <w:r w:rsidRPr="00A42549">
        <w:rPr>
          <w:sz w:val="22"/>
          <w:szCs w:val="22"/>
        </w:rPr>
        <w:t>, 613</w:t>
      </w:r>
    </w:p>
  </w:footnote>
  <w:footnote w:id="23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Goldingay, “Daniel in the Context of OT Theology.”</w:t>
      </w:r>
    </w:p>
  </w:footnote>
  <w:footnote w:id="23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Sumner, “Daniel,” 111. Hebbard, </w:t>
      </w:r>
      <w:r w:rsidRPr="00A42549">
        <w:rPr>
          <w:i/>
          <w:sz w:val="22"/>
          <w:szCs w:val="22"/>
        </w:rPr>
        <w:t>Reading Daniel as a Text in Theological Hermeneutics</w:t>
      </w:r>
      <w:r w:rsidRPr="00A42549">
        <w:rPr>
          <w:sz w:val="22"/>
          <w:szCs w:val="22"/>
        </w:rPr>
        <w:t>, is a more ingenious expression of such an approach.</w:t>
      </w:r>
    </w:p>
  </w:footnote>
  <w:footnote w:id="23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its philosophy, see Hendel, </w:t>
      </w:r>
      <w:r w:rsidRPr="00A42549">
        <w:rPr>
          <w:i/>
          <w:sz w:val="22"/>
          <w:szCs w:val="22"/>
        </w:rPr>
        <w:t>Steps to a New Edition of the Hebrew Bible</w:t>
      </w:r>
      <w:r w:rsidRPr="00A42549">
        <w:rPr>
          <w:sz w:val="22"/>
          <w:szCs w:val="22"/>
        </w:rPr>
        <w:t>.</w:t>
      </w:r>
    </w:p>
  </w:footnote>
  <w:footnote w:id="235">
    <w:p w:rsidR="00786194" w:rsidRPr="00A42549" w:rsidRDefault="00786194" w:rsidP="00D843F2">
      <w:pPr>
        <w:pStyle w:val="FootnoteText"/>
        <w:rPr>
          <w:sz w:val="22"/>
          <w:szCs w:val="22"/>
        </w:rPr>
      </w:pPr>
      <w:r w:rsidRPr="00A42549">
        <w:rPr>
          <w:rStyle w:val="FootnoteReference"/>
          <w:sz w:val="22"/>
          <w:szCs w:val="22"/>
        </w:rPr>
        <w:footnoteRef/>
      </w:r>
      <w:r w:rsidRPr="00A42549">
        <w:rPr>
          <w:sz w:val="22"/>
          <w:szCs w:val="22"/>
        </w:rPr>
        <w:t xml:space="preserve"> On the issues raised here, see further Tov, </w:t>
      </w:r>
      <w:r w:rsidRPr="00A42549">
        <w:rPr>
          <w:i/>
          <w:sz w:val="22"/>
          <w:szCs w:val="22"/>
        </w:rPr>
        <w:t>The Text-Critical Use of the Septuagint</w:t>
      </w:r>
      <w:r w:rsidRPr="00A42549">
        <w:rPr>
          <w:sz w:val="22"/>
          <w:szCs w:val="22"/>
        </w:rPr>
        <w:t xml:space="preserve">; </w:t>
      </w:r>
      <w:r w:rsidRPr="00A42549">
        <w:rPr>
          <w:b/>
          <w:i/>
          <w:sz w:val="22"/>
          <w:szCs w:val="22"/>
        </w:rPr>
        <w:t>———</w:t>
      </w:r>
      <w:r w:rsidRPr="00A42549">
        <w:rPr>
          <w:b/>
          <w:sz w:val="22"/>
          <w:szCs w:val="22"/>
        </w:rPr>
        <w:t>,</w:t>
      </w:r>
      <w:r w:rsidRPr="00A42549">
        <w:rPr>
          <w:b/>
          <w:i/>
          <w:sz w:val="22"/>
          <w:szCs w:val="22"/>
        </w:rPr>
        <w:t xml:space="preserve"> </w:t>
      </w:r>
      <w:r w:rsidRPr="00A42549">
        <w:rPr>
          <w:i/>
          <w:sz w:val="22"/>
          <w:szCs w:val="22"/>
        </w:rPr>
        <w:t>Textual Criticism of the Hebrew Bible</w:t>
      </w:r>
      <w:r w:rsidRPr="00A42549">
        <w:rPr>
          <w:sz w:val="22"/>
          <w:szCs w:val="22"/>
        </w:rPr>
        <w:t>.</w:t>
      </w:r>
    </w:p>
  </w:footnote>
  <w:footnote w:id="23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Towner, “Were the English Puritans ‘the Saints of the Most High’?”</w:t>
      </w:r>
    </w:p>
  </w:footnote>
  <w:footnote w:id="23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e.g., Towner, </w:t>
      </w:r>
      <w:r w:rsidRPr="00A42549">
        <w:rPr>
          <w:i/>
          <w:sz w:val="22"/>
          <w:szCs w:val="22"/>
        </w:rPr>
        <w:t>Daniel</w:t>
      </w:r>
      <w:r w:rsidRPr="00A42549">
        <w:rPr>
          <w:sz w:val="22"/>
          <w:szCs w:val="22"/>
        </w:rPr>
        <w:t>, 115.</w:t>
      </w:r>
    </w:p>
  </w:footnote>
  <w:footnote w:id="23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Daniel, the Prophet</w:t>
      </w:r>
      <w:r w:rsidRPr="00A42549">
        <w:rPr>
          <w:sz w:val="22"/>
          <w:szCs w:val="22"/>
        </w:rPr>
        <w:t>, 1-4.</w:t>
      </w:r>
    </w:p>
  </w:footnote>
  <w:footnote w:id="23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Metzger, “Literary Forgeries and Canonical Pseudepigrapha”; Collins, </w:t>
      </w:r>
      <w:r w:rsidRPr="00A42549">
        <w:rPr>
          <w:i/>
          <w:sz w:val="22"/>
          <w:szCs w:val="22"/>
        </w:rPr>
        <w:t>Apocalyptic Vision of the Book of Daniel</w:t>
      </w:r>
      <w:r w:rsidRPr="00A42549">
        <w:rPr>
          <w:sz w:val="22"/>
          <w:szCs w:val="22"/>
        </w:rPr>
        <w:t xml:space="preserve">, 67–74; Meade, </w:t>
      </w:r>
      <w:r w:rsidRPr="00A42549">
        <w:rPr>
          <w:i/>
          <w:sz w:val="22"/>
          <w:szCs w:val="22"/>
        </w:rPr>
        <w:t>Pseudonymity</w:t>
      </w:r>
      <w:r w:rsidRPr="00A42549">
        <w:rPr>
          <w:sz w:val="22"/>
          <w:szCs w:val="22"/>
        </w:rPr>
        <w:t xml:space="preserve"> </w:t>
      </w:r>
      <w:r w:rsidRPr="00A42549">
        <w:rPr>
          <w:i/>
          <w:sz w:val="22"/>
          <w:szCs w:val="22"/>
        </w:rPr>
        <w:t>and Canon</w:t>
      </w:r>
      <w:r w:rsidRPr="00A42549">
        <w:rPr>
          <w:sz w:val="22"/>
          <w:szCs w:val="22"/>
        </w:rPr>
        <w:t>; against Baldwin, “Is There Pseudonymity in the OT?”</w:t>
      </w:r>
    </w:p>
  </w:footnote>
  <w:footnote w:id="24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Niditch, “The Visionary,” 158.</w:t>
      </w:r>
    </w:p>
  </w:footnote>
  <w:footnote w:id="241">
    <w:p w:rsidR="00786194" w:rsidRPr="00A42549" w:rsidRDefault="00786194" w:rsidP="001F4BEC">
      <w:pPr>
        <w:pStyle w:val="FootnoteText"/>
        <w:rPr>
          <w:sz w:val="22"/>
          <w:szCs w:val="22"/>
        </w:rPr>
      </w:pPr>
      <w:r w:rsidRPr="00A42549">
        <w:rPr>
          <w:rStyle w:val="FootnoteReference"/>
          <w:sz w:val="22"/>
          <w:szCs w:val="22"/>
        </w:rPr>
        <w:footnoteRef/>
      </w:r>
      <w:r w:rsidRPr="00A42549">
        <w:rPr>
          <w:sz w:val="22"/>
          <w:szCs w:val="22"/>
        </w:rPr>
        <w:t xml:space="preserve"> Valeta, </w:t>
      </w:r>
      <w:r w:rsidRPr="00A42549">
        <w:rPr>
          <w:i/>
          <w:sz w:val="22"/>
          <w:szCs w:val="22"/>
        </w:rPr>
        <w:t>Lions and Ovens and Visions</w:t>
      </w:r>
      <w:r w:rsidRPr="00A42549">
        <w:rPr>
          <w:sz w:val="22"/>
          <w:szCs w:val="22"/>
        </w:rPr>
        <w:t>, 63-64.</w:t>
      </w:r>
    </w:p>
  </w:footnote>
  <w:footnote w:id="242">
    <w:p w:rsidR="00786194" w:rsidRPr="00A42549" w:rsidRDefault="00786194" w:rsidP="001F4BEC">
      <w:pPr>
        <w:pStyle w:val="FootnoteText"/>
        <w:rPr>
          <w:sz w:val="22"/>
          <w:szCs w:val="22"/>
        </w:rPr>
      </w:pPr>
      <w:r w:rsidRPr="00A42549">
        <w:rPr>
          <w:rStyle w:val="FootnoteReference"/>
          <w:sz w:val="22"/>
          <w:szCs w:val="22"/>
        </w:rPr>
        <w:footnoteRef/>
      </w:r>
      <w:r w:rsidRPr="00A42549">
        <w:rPr>
          <w:sz w:val="22"/>
          <w:szCs w:val="22"/>
        </w:rPr>
        <w:t xml:space="preserve"> Valeta, </w:t>
      </w:r>
      <w:r w:rsidRPr="00A42549">
        <w:rPr>
          <w:i/>
          <w:sz w:val="22"/>
          <w:szCs w:val="22"/>
        </w:rPr>
        <w:t>Lions and Ovens and Visions</w:t>
      </w:r>
      <w:r w:rsidRPr="00A42549">
        <w:rPr>
          <w:sz w:val="22"/>
          <w:szCs w:val="22"/>
        </w:rPr>
        <w:t>, 19.</w:t>
      </w:r>
    </w:p>
  </w:footnote>
  <w:footnote w:id="243">
    <w:p w:rsidR="00786194" w:rsidRPr="00A42549" w:rsidRDefault="00786194" w:rsidP="00DF45DD">
      <w:pPr>
        <w:pStyle w:val="FootnoteText"/>
        <w:rPr>
          <w:sz w:val="22"/>
          <w:szCs w:val="22"/>
        </w:rPr>
      </w:pPr>
      <w:r w:rsidRPr="00A42549">
        <w:rPr>
          <w:rStyle w:val="FootnoteReference"/>
          <w:sz w:val="22"/>
          <w:szCs w:val="22"/>
        </w:rPr>
        <w:footnoteRef/>
      </w:r>
      <w:r w:rsidRPr="00A42549">
        <w:rPr>
          <w:sz w:val="22"/>
          <w:szCs w:val="22"/>
        </w:rPr>
        <w:t xml:space="preserve"> Valeta, “Court or Jester Tales,” 309.</w:t>
      </w:r>
    </w:p>
  </w:footnote>
  <w:footnote w:id="24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Woodard, </w:t>
      </w:r>
      <w:r w:rsidRPr="00A42549">
        <w:rPr>
          <w:bCs/>
          <w:sz w:val="22"/>
          <w:szCs w:val="22"/>
        </w:rPr>
        <w:t>“Literary Strategies and Authorship in the Book of Daniel.”</w:t>
      </w:r>
    </w:p>
  </w:footnote>
  <w:footnote w:id="245">
    <w:p w:rsidR="00786194" w:rsidRPr="00A42549" w:rsidRDefault="00786194" w:rsidP="00965C7E">
      <w:pPr>
        <w:pStyle w:val="FootnoteText"/>
        <w:rPr>
          <w:sz w:val="22"/>
          <w:szCs w:val="22"/>
        </w:rPr>
      </w:pPr>
      <w:r w:rsidRPr="00A42549">
        <w:rPr>
          <w:rStyle w:val="FootnoteReference"/>
          <w:sz w:val="22"/>
          <w:szCs w:val="22"/>
        </w:rPr>
        <w:footnoteRef/>
      </w:r>
      <w:r w:rsidRPr="00A42549">
        <w:rPr>
          <w:sz w:val="22"/>
          <w:szCs w:val="22"/>
        </w:rPr>
        <w:t xml:space="preserve"> Albertz, </w:t>
      </w:r>
      <w:r w:rsidRPr="00A42549">
        <w:rPr>
          <w:i/>
          <w:sz w:val="22"/>
          <w:szCs w:val="22"/>
        </w:rPr>
        <w:t>Israel in Exile</w:t>
      </w:r>
      <w:r w:rsidRPr="00A42549">
        <w:rPr>
          <w:sz w:val="22"/>
          <w:szCs w:val="22"/>
        </w:rPr>
        <w:t>, 19.</w:t>
      </w:r>
    </w:p>
  </w:footnote>
  <w:footnote w:id="24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Bhabha, </w:t>
      </w:r>
      <w:r w:rsidRPr="00A42549">
        <w:rPr>
          <w:i/>
          <w:sz w:val="22"/>
          <w:szCs w:val="22"/>
        </w:rPr>
        <w:t>The Location of Culture</w:t>
      </w:r>
      <w:r w:rsidRPr="00A42549">
        <w:rPr>
          <w:sz w:val="22"/>
          <w:szCs w:val="22"/>
        </w:rPr>
        <w:t>, 159-74.</w:t>
      </w:r>
    </w:p>
  </w:footnote>
  <w:footnote w:id="24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Newsom, </w:t>
      </w:r>
      <w:r w:rsidRPr="00A42549">
        <w:rPr>
          <w:i/>
          <w:sz w:val="22"/>
          <w:szCs w:val="22"/>
        </w:rPr>
        <w:t>Daniel</w:t>
      </w:r>
      <w:r w:rsidRPr="00A42549">
        <w:rPr>
          <w:sz w:val="22"/>
          <w:szCs w:val="22"/>
        </w:rPr>
        <w:t xml:space="preserve">, 16-17; Collins, </w:t>
      </w:r>
      <w:r w:rsidRPr="00A42549">
        <w:rPr>
          <w:i/>
          <w:sz w:val="22"/>
          <w:szCs w:val="22"/>
        </w:rPr>
        <w:t>Apocalypse, Prophecy, and Pseudepigraphy</w:t>
      </w:r>
      <w:r w:rsidRPr="00A42549">
        <w:rPr>
          <w:sz w:val="22"/>
          <w:szCs w:val="22"/>
        </w:rPr>
        <w:t>, 291-96.</w:t>
      </w:r>
    </w:p>
  </w:footnote>
  <w:footnote w:id="248">
    <w:p w:rsidR="00786194" w:rsidRPr="00A42549" w:rsidRDefault="00786194" w:rsidP="00AE6DD6">
      <w:pPr>
        <w:pStyle w:val="FootnoteText"/>
        <w:rPr>
          <w:sz w:val="22"/>
          <w:szCs w:val="22"/>
        </w:rPr>
      </w:pPr>
      <w:r w:rsidRPr="00A42549">
        <w:rPr>
          <w:rStyle w:val="FootnoteReference"/>
          <w:sz w:val="22"/>
          <w:szCs w:val="22"/>
        </w:rPr>
        <w:footnoteRef/>
      </w:r>
      <w:r w:rsidRPr="00A42549">
        <w:rPr>
          <w:sz w:val="22"/>
          <w:szCs w:val="22"/>
        </w:rPr>
        <w:t xml:space="preserve"> See Good, “Apocalyptic as Comedy.”</w:t>
      </w:r>
    </w:p>
  </w:footnote>
  <w:footnote w:id="249">
    <w:p w:rsidR="00786194" w:rsidRPr="00A42549" w:rsidRDefault="00786194" w:rsidP="00AE6DD6">
      <w:pPr>
        <w:pStyle w:val="FootnoteText"/>
        <w:rPr>
          <w:sz w:val="22"/>
          <w:szCs w:val="22"/>
        </w:rPr>
      </w:pPr>
      <w:r w:rsidRPr="00A42549">
        <w:rPr>
          <w:rStyle w:val="FootnoteReference"/>
          <w:sz w:val="22"/>
          <w:szCs w:val="22"/>
        </w:rPr>
        <w:footnoteRef/>
      </w:r>
      <w:r w:rsidRPr="00A42549">
        <w:rPr>
          <w:sz w:val="22"/>
          <w:szCs w:val="22"/>
        </w:rPr>
        <w:t xml:space="preserve"> Cf. Mills, </w:t>
      </w:r>
      <w:r w:rsidRPr="00A42549">
        <w:rPr>
          <w:i/>
          <w:sz w:val="22"/>
          <w:szCs w:val="22"/>
        </w:rPr>
        <w:t>Biblical Morality</w:t>
      </w:r>
      <w:r w:rsidRPr="00A42549">
        <w:rPr>
          <w:sz w:val="22"/>
          <w:szCs w:val="22"/>
        </w:rPr>
        <w:t>, 194, 210.</w:t>
      </w:r>
    </w:p>
  </w:footnote>
  <w:footnote w:id="250">
    <w:p w:rsidR="00786194" w:rsidRPr="00A42549" w:rsidRDefault="00786194" w:rsidP="004A09F3">
      <w:pPr>
        <w:pStyle w:val="FootnoteText"/>
        <w:rPr>
          <w:sz w:val="22"/>
          <w:szCs w:val="22"/>
        </w:rPr>
      </w:pPr>
      <w:r w:rsidRPr="00A42549">
        <w:rPr>
          <w:rStyle w:val="FootnoteReference"/>
          <w:sz w:val="22"/>
          <w:szCs w:val="22"/>
        </w:rPr>
        <w:footnoteRef/>
      </w:r>
      <w:r w:rsidRPr="00A42549">
        <w:rPr>
          <w:sz w:val="22"/>
          <w:szCs w:val="22"/>
        </w:rPr>
        <w:t xml:space="preserve"> Wills, </w:t>
      </w:r>
      <w:r w:rsidRPr="00A42549">
        <w:rPr>
          <w:i/>
          <w:sz w:val="22"/>
          <w:szCs w:val="22"/>
        </w:rPr>
        <w:t>The Jewish Novel</w:t>
      </w:r>
      <w:r w:rsidRPr="00A42549">
        <w:rPr>
          <w:sz w:val="22"/>
          <w:szCs w:val="22"/>
        </w:rPr>
        <w:t>, 1. Wills himself sees Daniel as a novel; cf. Talmon, “Daniel,” 535-55.</w:t>
      </w:r>
    </w:p>
  </w:footnote>
  <w:footnote w:id="25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Wills</w:t>
      </w:r>
      <w:r w:rsidRPr="00A42549">
        <w:rPr>
          <w:b/>
          <w:sz w:val="22"/>
          <w:szCs w:val="22"/>
        </w:rPr>
        <w:t>,</w:t>
      </w:r>
      <w:r w:rsidRPr="00A42549">
        <w:rPr>
          <w:i/>
          <w:sz w:val="22"/>
          <w:szCs w:val="22"/>
        </w:rPr>
        <w:t xml:space="preserve"> The Jew in the Court of the Foreign King</w:t>
      </w:r>
      <w:r w:rsidRPr="00A42549">
        <w:rPr>
          <w:sz w:val="22"/>
          <w:szCs w:val="22"/>
        </w:rPr>
        <w:t>. The “wisdom court legend” is “a legend of a revered figure set in the royal court which has the wisdom of the protagonist as a principle motif” (37).</w:t>
      </w:r>
    </w:p>
  </w:footnote>
  <w:footnote w:id="25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Humphreys, “A Life-style for Diaspora”; Davies, </w:t>
      </w:r>
      <w:r w:rsidRPr="00A42549">
        <w:rPr>
          <w:i/>
          <w:sz w:val="22"/>
          <w:szCs w:val="22"/>
        </w:rPr>
        <w:t>Daniel</w:t>
      </w:r>
      <w:r w:rsidRPr="00A42549">
        <w:rPr>
          <w:sz w:val="22"/>
          <w:szCs w:val="22"/>
        </w:rPr>
        <w:t>,</w:t>
      </w:r>
      <w:r w:rsidRPr="00A42549">
        <w:rPr>
          <w:i/>
          <w:sz w:val="22"/>
          <w:szCs w:val="22"/>
        </w:rPr>
        <w:t xml:space="preserve"> </w:t>
      </w:r>
      <w:r w:rsidRPr="00A42549">
        <w:rPr>
          <w:sz w:val="22"/>
          <w:szCs w:val="22"/>
        </w:rPr>
        <w:t>51; Wahl</w:t>
      </w:r>
      <w:r w:rsidRPr="00A42549">
        <w:rPr>
          <w:b/>
          <w:sz w:val="22"/>
          <w:szCs w:val="22"/>
        </w:rPr>
        <w:t xml:space="preserve">, </w:t>
      </w:r>
      <w:r w:rsidRPr="00A42549">
        <w:rPr>
          <w:sz w:val="22"/>
          <w:szCs w:val="22"/>
        </w:rPr>
        <w:t>“Das Motiv des ‘Aufstiegs’ in der Hofgeschichte.”</w:t>
      </w:r>
    </w:p>
  </w:footnote>
  <w:footnote w:id="25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which see Berger, “Hellenistische Gattungen im NT,” 1218–31.</w:t>
      </w:r>
    </w:p>
  </w:footnote>
  <w:footnote w:id="25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Mitchell (“Shared Vocabulary in the Pentateuch and the Book of Daniel”) notes further links.</w:t>
      </w:r>
    </w:p>
  </w:footnote>
  <w:footnote w:id="25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Heaton, </w:t>
      </w:r>
      <w:r w:rsidRPr="00A42549">
        <w:rPr>
          <w:i/>
          <w:sz w:val="22"/>
          <w:szCs w:val="22"/>
        </w:rPr>
        <w:t>Daniel</w:t>
      </w:r>
      <w:r w:rsidRPr="00A42549">
        <w:rPr>
          <w:sz w:val="22"/>
          <w:szCs w:val="22"/>
        </w:rPr>
        <w:t>, on the passage.</w:t>
      </w:r>
    </w:p>
  </w:footnote>
  <w:footnote w:id="256">
    <w:p w:rsidR="00786194" w:rsidRPr="00A42549" w:rsidRDefault="00786194">
      <w:pPr>
        <w:pStyle w:val="FootnoteText"/>
        <w:rPr>
          <w:i/>
          <w:sz w:val="22"/>
          <w:szCs w:val="22"/>
        </w:rPr>
      </w:pPr>
      <w:r w:rsidRPr="00A42549">
        <w:rPr>
          <w:rStyle w:val="FootnoteReference"/>
          <w:sz w:val="22"/>
          <w:szCs w:val="22"/>
        </w:rPr>
        <w:footnoteRef/>
      </w:r>
      <w:r w:rsidRPr="00A42549">
        <w:rPr>
          <w:sz w:val="22"/>
          <w:szCs w:val="22"/>
        </w:rPr>
        <w:t xml:space="preserve"> See e.g., Wahl, “Noah, Daniel und Hiob”; though there the name is spelled </w:t>
      </w:r>
      <w:r w:rsidRPr="00A42549">
        <w:rPr>
          <w:sz w:val="22"/>
          <w:szCs w:val="22"/>
          <w:rtl/>
          <w:lang w:bidi="he-IL"/>
        </w:rPr>
        <w:t>דנאל</w:t>
      </w:r>
      <w:r w:rsidRPr="00A42549">
        <w:rPr>
          <w:sz w:val="22"/>
          <w:szCs w:val="22"/>
        </w:rPr>
        <w:t xml:space="preserve"> K, </w:t>
      </w:r>
      <w:r w:rsidRPr="00A42549">
        <w:rPr>
          <w:sz w:val="22"/>
          <w:szCs w:val="22"/>
          <w:rtl/>
          <w:lang w:bidi="he-IL"/>
        </w:rPr>
        <w:t>דָּנִיאֵל</w:t>
      </w:r>
      <w:r w:rsidRPr="00A42549">
        <w:rPr>
          <w:sz w:val="22"/>
          <w:szCs w:val="22"/>
        </w:rPr>
        <w:t xml:space="preserve"> Q (also the form here in a Cairo geniza ms) not </w:t>
      </w:r>
      <w:r w:rsidRPr="00A42549">
        <w:rPr>
          <w:sz w:val="22"/>
          <w:szCs w:val="22"/>
          <w:rtl/>
          <w:lang w:bidi="he-IL"/>
        </w:rPr>
        <w:t>דָנִיֵּאל</w:t>
      </w:r>
      <w:r w:rsidRPr="00A42549">
        <w:rPr>
          <w:sz w:val="22"/>
          <w:szCs w:val="22"/>
        </w:rPr>
        <w:t xml:space="preserve"> as here.</w:t>
      </w:r>
    </w:p>
  </w:footnote>
  <w:footnote w:id="25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ANET</w:t>
      </w:r>
      <w:r w:rsidRPr="00A42549">
        <w:rPr>
          <w:sz w:val="22"/>
          <w:szCs w:val="22"/>
        </w:rPr>
        <w:t xml:space="preserve"> 149–55; </w:t>
      </w:r>
      <w:r w:rsidRPr="00A42549">
        <w:rPr>
          <w:i/>
          <w:sz w:val="22"/>
          <w:szCs w:val="22"/>
        </w:rPr>
        <w:t>DOTT</w:t>
      </w:r>
      <w:r w:rsidRPr="00A42549">
        <w:rPr>
          <w:sz w:val="22"/>
          <w:szCs w:val="22"/>
        </w:rPr>
        <w:t xml:space="preserve"> 124–28.</w:t>
      </w:r>
    </w:p>
  </w:footnote>
  <w:footnote w:id="25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Young, </w:t>
      </w:r>
      <w:r w:rsidRPr="00A42549">
        <w:rPr>
          <w:i/>
          <w:sz w:val="22"/>
          <w:szCs w:val="22"/>
        </w:rPr>
        <w:t xml:space="preserve">Daniel, </w:t>
      </w:r>
      <w:r w:rsidRPr="00A42549">
        <w:rPr>
          <w:sz w:val="22"/>
          <w:szCs w:val="22"/>
        </w:rPr>
        <w:t>25</w:t>
      </w:r>
    </w:p>
  </w:footnote>
  <w:footnote w:id="25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Newsom, </w:t>
      </w:r>
      <w:r w:rsidRPr="00A42549">
        <w:rPr>
          <w:i/>
          <w:sz w:val="22"/>
          <w:szCs w:val="22"/>
        </w:rPr>
        <w:t>Daniel</w:t>
      </w:r>
      <w:r w:rsidRPr="00A42549">
        <w:rPr>
          <w:sz w:val="22"/>
          <w:szCs w:val="22"/>
        </w:rPr>
        <w:t>, 38.</w:t>
      </w:r>
    </w:p>
  </w:footnote>
  <w:footnote w:id="26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recently Koch, </w:t>
      </w:r>
      <w:r w:rsidRPr="00A42549">
        <w:rPr>
          <w:i/>
          <w:sz w:val="22"/>
          <w:szCs w:val="22"/>
        </w:rPr>
        <w:t>Daniel 1—4</w:t>
      </w:r>
      <w:r w:rsidRPr="00A42549">
        <w:rPr>
          <w:sz w:val="22"/>
          <w:szCs w:val="22"/>
        </w:rPr>
        <w:t xml:space="preserve">, 16-18; contrast </w:t>
      </w:r>
      <w:r w:rsidRPr="00A42549">
        <w:rPr>
          <w:iCs/>
          <w:sz w:val="22"/>
          <w:szCs w:val="22"/>
        </w:rPr>
        <w:t>Van Deventer</w:t>
      </w:r>
      <w:r w:rsidRPr="00A42549">
        <w:rPr>
          <w:sz w:val="22"/>
          <w:szCs w:val="22"/>
        </w:rPr>
        <w:t>, “Testing-Testing.”</w:t>
      </w:r>
    </w:p>
  </w:footnote>
  <w:footnote w:id="2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De</w:t>
      </w:r>
      <w:r w:rsidRPr="00A42549">
        <w:rPr>
          <w:b/>
          <w:sz w:val="22"/>
          <w:szCs w:val="22"/>
        </w:rPr>
        <w:t xml:space="preserve"> </w:t>
      </w:r>
      <w:r w:rsidRPr="00A42549">
        <w:rPr>
          <w:sz w:val="22"/>
          <w:szCs w:val="22"/>
        </w:rPr>
        <w:t>Bruyn</w:t>
      </w:r>
      <w:r w:rsidRPr="00A42549">
        <w:rPr>
          <w:b/>
          <w:sz w:val="22"/>
          <w:szCs w:val="22"/>
        </w:rPr>
        <w:t>, “</w:t>
      </w:r>
      <w:r w:rsidRPr="00A42549">
        <w:rPr>
          <w:bCs/>
          <w:sz w:val="22"/>
          <w:szCs w:val="22"/>
        </w:rPr>
        <w:t>A Clash of Gods,” 5.</w:t>
      </w:r>
    </w:p>
  </w:footnote>
  <w:footnote w:id="262">
    <w:p w:rsidR="00786194" w:rsidRPr="00A42549" w:rsidRDefault="00786194" w:rsidP="00E50028">
      <w:pPr>
        <w:pStyle w:val="FootnoteText"/>
        <w:rPr>
          <w:sz w:val="22"/>
          <w:szCs w:val="22"/>
        </w:rPr>
      </w:pPr>
      <w:r w:rsidRPr="00A42549">
        <w:rPr>
          <w:rStyle w:val="FootnoteReference"/>
          <w:sz w:val="22"/>
          <w:szCs w:val="22"/>
        </w:rPr>
        <w:footnoteRef/>
      </w:r>
      <w:r w:rsidRPr="00A42549">
        <w:rPr>
          <w:sz w:val="22"/>
          <w:szCs w:val="22"/>
        </w:rPr>
        <w:t xml:space="preserve"> Cf. Koch, </w:t>
      </w:r>
      <w:r w:rsidRPr="00A42549">
        <w:rPr>
          <w:i/>
          <w:sz w:val="22"/>
          <w:szCs w:val="22"/>
        </w:rPr>
        <w:t>Daniel 1—4</w:t>
      </w:r>
      <w:r w:rsidRPr="00A42549">
        <w:rPr>
          <w:sz w:val="22"/>
          <w:szCs w:val="22"/>
        </w:rPr>
        <w:t>, 12. MT pointedly omits the term is v. 18; OG, Syr, and Vg provide it.</w:t>
      </w:r>
    </w:p>
  </w:footnote>
  <w:footnote w:id="263">
    <w:p w:rsidR="00786194" w:rsidRPr="00A42549" w:rsidRDefault="00786194" w:rsidP="00F165FA">
      <w:pPr>
        <w:pStyle w:val="FootnoteText"/>
        <w:rPr>
          <w:sz w:val="22"/>
          <w:szCs w:val="22"/>
        </w:rPr>
      </w:pPr>
      <w:r w:rsidRPr="00A42549">
        <w:rPr>
          <w:rStyle w:val="FootnoteReference"/>
          <w:sz w:val="22"/>
          <w:szCs w:val="22"/>
        </w:rPr>
        <w:footnoteRef/>
      </w:r>
      <w:r w:rsidRPr="00A42549">
        <w:rPr>
          <w:sz w:val="22"/>
          <w:szCs w:val="22"/>
        </w:rPr>
        <w:t xml:space="preserve"> Cf. Arnold, “Word Play,” 236-41.</w:t>
      </w:r>
    </w:p>
  </w:footnote>
  <w:footnote w:id="26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Plöger, </w:t>
      </w:r>
      <w:r w:rsidRPr="00A42549">
        <w:rPr>
          <w:i/>
          <w:sz w:val="22"/>
          <w:szCs w:val="22"/>
        </w:rPr>
        <w:t>Daniel</w:t>
      </w:r>
      <w:r w:rsidRPr="00A42549">
        <w:rPr>
          <w:sz w:val="22"/>
          <w:szCs w:val="22"/>
        </w:rPr>
        <w:t>, on the passage.</w:t>
      </w:r>
    </w:p>
  </w:footnote>
  <w:footnote w:id="265">
    <w:p w:rsidR="00786194" w:rsidRPr="00A42549" w:rsidRDefault="00786194" w:rsidP="00352F48">
      <w:pPr>
        <w:pStyle w:val="FootnoteText"/>
        <w:rPr>
          <w:b/>
          <w:bCs/>
          <w:sz w:val="22"/>
          <w:szCs w:val="22"/>
        </w:rPr>
      </w:pPr>
      <w:r w:rsidRPr="00A42549">
        <w:rPr>
          <w:rStyle w:val="FootnoteReference"/>
          <w:sz w:val="22"/>
          <w:szCs w:val="22"/>
        </w:rPr>
        <w:footnoteRef/>
      </w:r>
      <w:r w:rsidRPr="00A42549">
        <w:rPr>
          <w:sz w:val="22"/>
          <w:szCs w:val="22"/>
        </w:rPr>
        <w:t xml:space="preserve"> Cf. </w:t>
      </w:r>
      <w:r w:rsidRPr="00A42549">
        <w:rPr>
          <w:bCs/>
          <w:sz w:val="22"/>
          <w:szCs w:val="22"/>
        </w:rPr>
        <w:t xml:space="preserve">Nolan Fewell, </w:t>
      </w:r>
      <w:r w:rsidRPr="00A42549">
        <w:rPr>
          <w:bCs/>
          <w:i/>
          <w:sz w:val="22"/>
          <w:szCs w:val="22"/>
        </w:rPr>
        <w:t>The Children of Israel</w:t>
      </w:r>
      <w:r w:rsidRPr="00A42549">
        <w:rPr>
          <w:bCs/>
          <w:sz w:val="22"/>
          <w:szCs w:val="22"/>
        </w:rPr>
        <w:t>, 117-30.</w:t>
      </w:r>
    </w:p>
  </w:footnote>
  <w:footnote w:id="266">
    <w:p w:rsidR="00786194" w:rsidRPr="00A42549" w:rsidRDefault="00786194" w:rsidP="00EE6739">
      <w:pPr>
        <w:pStyle w:val="FootnoteText"/>
        <w:rPr>
          <w:sz w:val="22"/>
          <w:szCs w:val="22"/>
        </w:rPr>
      </w:pPr>
      <w:r w:rsidRPr="00A42549">
        <w:rPr>
          <w:rStyle w:val="FootnoteReference"/>
          <w:sz w:val="22"/>
          <w:szCs w:val="22"/>
        </w:rPr>
        <w:footnoteRef/>
      </w:r>
      <w:r w:rsidRPr="00A42549">
        <w:rPr>
          <w:sz w:val="22"/>
          <w:szCs w:val="22"/>
        </w:rPr>
        <w:t xml:space="preserve"> Walters</w:t>
      </w:r>
      <w:r w:rsidRPr="00A42549">
        <w:rPr>
          <w:b/>
          <w:sz w:val="22"/>
          <w:szCs w:val="22"/>
        </w:rPr>
        <w:t xml:space="preserve">, </w:t>
      </w:r>
      <w:r w:rsidRPr="00A42549">
        <w:rPr>
          <w:sz w:val="22"/>
          <w:szCs w:val="22"/>
        </w:rPr>
        <w:t>“Daniel: Book for All Seasons,” 39.</w:t>
      </w:r>
    </w:p>
  </w:footnote>
  <w:footnote w:id="26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Barr, “Daniel,” and Porteous, </w:t>
      </w:r>
      <w:r w:rsidRPr="00A42549">
        <w:rPr>
          <w:i/>
          <w:sz w:val="22"/>
          <w:szCs w:val="22"/>
        </w:rPr>
        <w:t>Daniel</w:t>
      </w:r>
      <w:r w:rsidRPr="00A42549">
        <w:rPr>
          <w:sz w:val="22"/>
          <w:szCs w:val="22"/>
        </w:rPr>
        <w:t>, on the chapter.</w:t>
      </w:r>
    </w:p>
  </w:footnote>
  <w:footnote w:id="26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Collins, </w:t>
      </w:r>
      <w:r w:rsidRPr="00A42549">
        <w:rPr>
          <w:i/>
          <w:sz w:val="22"/>
          <w:szCs w:val="22"/>
        </w:rPr>
        <w:t>Daniel with an Introduction to Apocalyptic Literature</w:t>
      </w:r>
      <w:r w:rsidRPr="00A42549">
        <w:rPr>
          <w:sz w:val="22"/>
          <w:szCs w:val="22"/>
        </w:rPr>
        <w:t>, 34-36; against Steck, “Weltgeschehen und Gottesvolk im Buche Daniel.”</w:t>
      </w:r>
    </w:p>
  </w:footnote>
  <w:footnote w:id="269">
    <w:p w:rsidR="00786194" w:rsidRPr="00A42549" w:rsidRDefault="00786194" w:rsidP="000679CC">
      <w:pPr>
        <w:pStyle w:val="FootnoteText"/>
        <w:rPr>
          <w:sz w:val="22"/>
          <w:szCs w:val="22"/>
        </w:rPr>
      </w:pPr>
      <w:r w:rsidRPr="00A42549">
        <w:rPr>
          <w:rStyle w:val="FootnoteReference"/>
          <w:sz w:val="22"/>
          <w:szCs w:val="22"/>
        </w:rPr>
        <w:footnoteRef/>
      </w:r>
      <w:r w:rsidRPr="00A42549">
        <w:rPr>
          <w:sz w:val="22"/>
          <w:szCs w:val="22"/>
        </w:rPr>
        <w:t xml:space="preserve"> Gowan, </w:t>
      </w:r>
      <w:r w:rsidRPr="00A42549">
        <w:rPr>
          <w:i/>
          <w:sz w:val="22"/>
          <w:szCs w:val="22"/>
        </w:rPr>
        <w:t>Daniel</w:t>
      </w:r>
      <w:r w:rsidRPr="00A42549">
        <w:rPr>
          <w:sz w:val="22"/>
          <w:szCs w:val="22"/>
        </w:rPr>
        <w:t>, on the passage.</w:t>
      </w:r>
    </w:p>
  </w:footnote>
  <w:footnote w:id="270">
    <w:p w:rsidR="00786194" w:rsidRPr="00A42549" w:rsidRDefault="00786194" w:rsidP="000679CC">
      <w:pPr>
        <w:pStyle w:val="FootnoteText"/>
        <w:rPr>
          <w:sz w:val="22"/>
          <w:szCs w:val="22"/>
        </w:rPr>
      </w:pPr>
      <w:r w:rsidRPr="00A42549">
        <w:rPr>
          <w:rStyle w:val="FootnoteReference"/>
          <w:sz w:val="22"/>
          <w:szCs w:val="22"/>
        </w:rPr>
        <w:footnoteRef/>
      </w:r>
      <w:r w:rsidRPr="00A42549">
        <w:rPr>
          <w:sz w:val="22"/>
          <w:szCs w:val="22"/>
        </w:rPr>
        <w:t xml:space="preserve"> Mills, “Household and Table,” 409.</w:t>
      </w:r>
    </w:p>
  </w:footnote>
  <w:footnote w:id="27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t>
      </w:r>
      <w:r w:rsidRPr="00A42549">
        <w:rPr>
          <w:bCs/>
          <w:sz w:val="22"/>
          <w:szCs w:val="22"/>
        </w:rPr>
        <w:t>Berquist</w:t>
      </w:r>
      <w:r w:rsidRPr="00A42549">
        <w:rPr>
          <w:b/>
          <w:bCs/>
          <w:sz w:val="22"/>
          <w:szCs w:val="22"/>
        </w:rPr>
        <w:t xml:space="preserve">, </w:t>
      </w:r>
      <w:r w:rsidRPr="00A42549">
        <w:rPr>
          <w:bCs/>
          <w:sz w:val="22"/>
          <w:szCs w:val="22"/>
        </w:rPr>
        <w:t>“Resistance and Accommodation in the Persian Empire.”</w:t>
      </w:r>
    </w:p>
  </w:footnote>
  <w:footnote w:id="272">
    <w:p w:rsidR="00786194" w:rsidRPr="00A42549" w:rsidRDefault="00786194" w:rsidP="00454A28">
      <w:pPr>
        <w:pStyle w:val="FootnoteText"/>
        <w:rPr>
          <w:sz w:val="22"/>
          <w:szCs w:val="22"/>
        </w:rPr>
      </w:pPr>
      <w:r w:rsidRPr="00A42549">
        <w:rPr>
          <w:rStyle w:val="FootnoteReference"/>
          <w:sz w:val="22"/>
          <w:szCs w:val="22"/>
        </w:rPr>
        <w:footnoteRef/>
      </w:r>
      <w:r w:rsidRPr="00A42549">
        <w:rPr>
          <w:sz w:val="22"/>
          <w:szCs w:val="22"/>
        </w:rPr>
        <w:t xml:space="preserve"> Cf. Henze, “The Narrative Frame of Daniel.”</w:t>
      </w:r>
    </w:p>
  </w:footnote>
  <w:footnote w:id="273">
    <w:p w:rsidR="00786194" w:rsidRPr="00A42549" w:rsidRDefault="00786194">
      <w:pPr>
        <w:pStyle w:val="FootnoteText"/>
        <w:rPr>
          <w:b/>
          <w:sz w:val="22"/>
          <w:szCs w:val="22"/>
        </w:rPr>
      </w:pPr>
      <w:r w:rsidRPr="00A42549">
        <w:rPr>
          <w:rStyle w:val="FootnoteReference"/>
          <w:sz w:val="22"/>
          <w:szCs w:val="22"/>
        </w:rPr>
        <w:footnoteRef/>
      </w:r>
      <w:r w:rsidRPr="00A42549">
        <w:rPr>
          <w:sz w:val="22"/>
          <w:szCs w:val="22"/>
        </w:rPr>
        <w:t xml:space="preserve"> But see Patterson</w:t>
      </w:r>
      <w:r w:rsidRPr="00A42549">
        <w:rPr>
          <w:b/>
          <w:sz w:val="22"/>
          <w:szCs w:val="22"/>
        </w:rPr>
        <w:t>, “</w:t>
      </w:r>
      <w:r w:rsidRPr="00A42549">
        <w:rPr>
          <w:sz w:val="22"/>
          <w:szCs w:val="22"/>
        </w:rPr>
        <w:t>Holding onto Daniel’s Court Tales.”</w:t>
      </w:r>
    </w:p>
  </w:footnote>
  <w:footnote w:id="27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Wacholder, </w:t>
      </w:r>
      <w:r w:rsidRPr="00A42549">
        <w:rPr>
          <w:i/>
          <w:sz w:val="22"/>
          <w:szCs w:val="22"/>
        </w:rPr>
        <w:t>Dawn of Qumran</w:t>
      </w:r>
      <w:r w:rsidRPr="00A42549">
        <w:rPr>
          <w:sz w:val="22"/>
          <w:szCs w:val="22"/>
        </w:rPr>
        <w:t xml:space="preserve">, 212–15; Frye, </w:t>
      </w:r>
      <w:r w:rsidRPr="00A42549">
        <w:rPr>
          <w:i/>
          <w:sz w:val="22"/>
          <w:szCs w:val="22"/>
        </w:rPr>
        <w:t>Heritage of Persia</w:t>
      </w:r>
      <w:r w:rsidRPr="00A42549">
        <w:rPr>
          <w:sz w:val="22"/>
          <w:szCs w:val="22"/>
        </w:rPr>
        <w:t>, 143.</w:t>
      </w:r>
    </w:p>
  </w:footnote>
  <w:footnote w:id="27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Tcherikover, </w:t>
      </w:r>
      <w:r w:rsidRPr="00A42549">
        <w:rPr>
          <w:i/>
          <w:sz w:val="22"/>
          <w:szCs w:val="22"/>
        </w:rPr>
        <w:t>Hellenistic Civilization and the Jews</w:t>
      </w:r>
      <w:r w:rsidRPr="00A42549">
        <w:rPr>
          <w:sz w:val="22"/>
          <w:szCs w:val="22"/>
        </w:rPr>
        <w:t>, 346-47, 460.</w:t>
      </w:r>
    </w:p>
  </w:footnote>
  <w:footnote w:id="27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Hall, </w:t>
      </w:r>
      <w:r w:rsidRPr="00A42549">
        <w:rPr>
          <w:i/>
          <w:sz w:val="22"/>
          <w:szCs w:val="22"/>
        </w:rPr>
        <w:t>Post-exilic Theological Streams and the Book of Daniel</w:t>
      </w:r>
      <w:r w:rsidRPr="00A42549">
        <w:rPr>
          <w:sz w:val="22"/>
          <w:szCs w:val="22"/>
        </w:rPr>
        <w:t xml:space="preserve">, 159, 154-56. </w:t>
      </w:r>
    </w:p>
  </w:footnote>
  <w:footnote w:id="27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Plöger, </w:t>
      </w:r>
      <w:r w:rsidRPr="00A42549">
        <w:rPr>
          <w:i/>
          <w:sz w:val="22"/>
          <w:szCs w:val="22"/>
        </w:rPr>
        <w:t>Daniel</w:t>
      </w:r>
      <w:r w:rsidRPr="00A42549">
        <w:rPr>
          <w:sz w:val="22"/>
          <w:szCs w:val="22"/>
        </w:rPr>
        <w:t xml:space="preserve">, and Hartman/Di Lella, </w:t>
      </w:r>
      <w:r w:rsidRPr="00A42549">
        <w:rPr>
          <w:i/>
          <w:sz w:val="22"/>
          <w:szCs w:val="22"/>
        </w:rPr>
        <w:t>Daniel</w:t>
      </w:r>
      <w:r w:rsidRPr="00A42549">
        <w:rPr>
          <w:sz w:val="22"/>
          <w:szCs w:val="22"/>
        </w:rPr>
        <w:t>,</w:t>
      </w:r>
      <w:r w:rsidRPr="00A42549">
        <w:rPr>
          <w:i/>
          <w:sz w:val="22"/>
          <w:szCs w:val="22"/>
        </w:rPr>
        <w:t xml:space="preserve"> </w:t>
      </w:r>
      <w:r w:rsidRPr="00A42549">
        <w:rPr>
          <w:sz w:val="22"/>
          <w:szCs w:val="22"/>
        </w:rPr>
        <w:t>on the chapter.</w:t>
      </w:r>
    </w:p>
  </w:footnote>
  <w:footnote w:id="278">
    <w:p w:rsidR="00786194" w:rsidRPr="00A42549" w:rsidRDefault="00786194">
      <w:pPr>
        <w:pStyle w:val="FootnoteText"/>
        <w:rPr>
          <w:b/>
          <w:sz w:val="22"/>
          <w:szCs w:val="22"/>
        </w:rPr>
      </w:pPr>
      <w:r w:rsidRPr="00A42549">
        <w:rPr>
          <w:rStyle w:val="FootnoteReference"/>
          <w:sz w:val="22"/>
          <w:szCs w:val="22"/>
        </w:rPr>
        <w:footnoteRef/>
      </w:r>
      <w:r w:rsidRPr="00A42549">
        <w:rPr>
          <w:sz w:val="22"/>
          <w:szCs w:val="22"/>
        </w:rPr>
        <w:t xml:space="preserve"> On the stories as a collection against the background of a “story-collection genre” in the medieval and ancitn world, see T. L. Holm</w:t>
      </w:r>
      <w:r w:rsidRPr="00A42549">
        <w:rPr>
          <w:b/>
          <w:sz w:val="22"/>
          <w:szCs w:val="22"/>
        </w:rPr>
        <w:t xml:space="preserve">, </w:t>
      </w:r>
      <w:r w:rsidRPr="00A42549">
        <w:rPr>
          <w:i/>
          <w:sz w:val="22"/>
          <w:szCs w:val="22"/>
        </w:rPr>
        <w:t>Of Courtiers and Kings</w:t>
      </w:r>
      <w:r w:rsidRPr="00A42549">
        <w:rPr>
          <w:sz w:val="22"/>
          <w:szCs w:val="22"/>
        </w:rPr>
        <w:t xml:space="preserve">; more briefly, </w:t>
      </w:r>
      <w:r w:rsidRPr="00A42549">
        <w:rPr>
          <w:b/>
          <w:sz w:val="22"/>
          <w:szCs w:val="22"/>
        </w:rPr>
        <w:t>———,</w:t>
      </w:r>
      <w:r w:rsidRPr="00A42549">
        <w:rPr>
          <w:sz w:val="22"/>
          <w:szCs w:val="22"/>
        </w:rPr>
        <w:t xml:space="preserve"> “Daniel 1-6,” in Brant et. al, </w:t>
      </w:r>
      <w:r w:rsidRPr="00A42549">
        <w:rPr>
          <w:i/>
          <w:sz w:val="22"/>
          <w:szCs w:val="22"/>
        </w:rPr>
        <w:t>Ancient Fiction</w:t>
      </w:r>
      <w:r w:rsidRPr="00A42549">
        <w:rPr>
          <w:sz w:val="22"/>
          <w:szCs w:val="22"/>
        </w:rPr>
        <w:t xml:space="preserve">, </w:t>
      </w:r>
      <w:r w:rsidRPr="00A42549">
        <w:rPr>
          <w:iCs/>
          <w:sz w:val="22"/>
          <w:szCs w:val="22"/>
        </w:rPr>
        <w:t>149-66.</w:t>
      </w:r>
    </w:p>
  </w:footnote>
  <w:footnote w:id="279">
    <w:p w:rsidR="00786194" w:rsidRPr="00A42549" w:rsidRDefault="00786194" w:rsidP="00B67445">
      <w:pPr>
        <w:pStyle w:val="FootnoteText"/>
        <w:rPr>
          <w:sz w:val="22"/>
          <w:szCs w:val="22"/>
        </w:rPr>
      </w:pPr>
      <w:r w:rsidRPr="00A42549">
        <w:rPr>
          <w:rStyle w:val="FootnoteReference"/>
          <w:sz w:val="22"/>
          <w:szCs w:val="22"/>
        </w:rPr>
        <w:footnoteRef/>
      </w:r>
      <w:r w:rsidRPr="00A42549">
        <w:rPr>
          <w:sz w:val="22"/>
          <w:szCs w:val="22"/>
        </w:rPr>
        <w:t xml:space="preserve"> Cf. Yamakazi-Ransom’s study of “Gentile Rulers in the Old Testament and Second Temple Jewish Literature,” in </w:t>
      </w:r>
      <w:r w:rsidRPr="00A42549">
        <w:rPr>
          <w:i/>
          <w:sz w:val="22"/>
          <w:szCs w:val="22"/>
        </w:rPr>
        <w:t>The Roman Empire in Luke’s Narrative</w:t>
      </w:r>
      <w:r w:rsidRPr="00A42549">
        <w:rPr>
          <w:sz w:val="22"/>
          <w:szCs w:val="22"/>
        </w:rPr>
        <w:t>, 17-67.</w:t>
      </w:r>
    </w:p>
  </w:footnote>
  <w:footnote w:id="280">
    <w:p w:rsidR="00786194" w:rsidRPr="00A42549" w:rsidRDefault="00786194">
      <w:pPr>
        <w:pStyle w:val="FootnoteText"/>
        <w:rPr>
          <w:bCs/>
          <w:sz w:val="22"/>
          <w:szCs w:val="22"/>
        </w:rPr>
      </w:pPr>
      <w:r w:rsidRPr="00A42549">
        <w:rPr>
          <w:rStyle w:val="FootnoteReference"/>
          <w:sz w:val="22"/>
          <w:szCs w:val="22"/>
        </w:rPr>
        <w:footnoteRef/>
      </w:r>
      <w:r w:rsidRPr="00A42549">
        <w:rPr>
          <w:sz w:val="22"/>
          <w:szCs w:val="22"/>
        </w:rPr>
        <w:t xml:space="preserve"> Bruce (“Discourse Theme and the Narratives of Daniel”) sees God’s sovereignty as </w:t>
      </w:r>
      <w:r w:rsidRPr="00A42549">
        <w:rPr>
          <w:i/>
          <w:sz w:val="22"/>
          <w:szCs w:val="22"/>
        </w:rPr>
        <w:t xml:space="preserve">the </w:t>
      </w:r>
      <w:r w:rsidRPr="00A42549">
        <w:rPr>
          <w:sz w:val="22"/>
          <w:szCs w:val="22"/>
        </w:rPr>
        <w:t>theme of the book as a whole</w:t>
      </w:r>
      <w:r w:rsidRPr="00A42549">
        <w:rPr>
          <w:bCs/>
          <w:sz w:val="22"/>
          <w:szCs w:val="22"/>
        </w:rPr>
        <w:t>.</w:t>
      </w:r>
    </w:p>
  </w:footnote>
  <w:footnote w:id="28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Collins, </w:t>
      </w:r>
      <w:r w:rsidRPr="00A42549">
        <w:rPr>
          <w:i/>
          <w:sz w:val="22"/>
          <w:szCs w:val="22"/>
        </w:rPr>
        <w:t>Apocalyptic Vision of the Book of Daniel</w:t>
      </w:r>
      <w:r w:rsidRPr="00A42549">
        <w:rPr>
          <w:sz w:val="22"/>
          <w:szCs w:val="22"/>
        </w:rPr>
        <w:t>, 30.</w:t>
      </w:r>
    </w:p>
  </w:footnote>
  <w:footnote w:id="28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Haag, “Israels Exil im Lande Schinar.”</w:t>
      </w:r>
    </w:p>
  </w:footnote>
  <w:footnote w:id="28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Lacocque, </w:t>
      </w:r>
      <w:r w:rsidRPr="00A42549">
        <w:rPr>
          <w:i/>
          <w:sz w:val="22"/>
          <w:szCs w:val="22"/>
        </w:rPr>
        <w:t>Daniel</w:t>
      </w:r>
      <w:r w:rsidRPr="00A42549">
        <w:rPr>
          <w:sz w:val="22"/>
          <w:szCs w:val="22"/>
        </w:rPr>
        <w:t>, and</w:t>
      </w:r>
      <w:r w:rsidRPr="00A42549">
        <w:rPr>
          <w:i/>
          <w:sz w:val="22"/>
          <w:szCs w:val="22"/>
        </w:rPr>
        <w:t xml:space="preserve"> </w:t>
      </w:r>
      <w:r w:rsidRPr="00A42549">
        <w:rPr>
          <w:sz w:val="22"/>
          <w:szCs w:val="22"/>
        </w:rPr>
        <w:t xml:space="preserve">Plöger, </w:t>
      </w:r>
      <w:r w:rsidRPr="00A42549">
        <w:rPr>
          <w:i/>
          <w:sz w:val="22"/>
          <w:szCs w:val="22"/>
        </w:rPr>
        <w:t>Daniel</w:t>
      </w:r>
      <w:r w:rsidRPr="00A42549">
        <w:rPr>
          <w:sz w:val="22"/>
          <w:szCs w:val="22"/>
        </w:rPr>
        <w:t>, on the passage.</w:t>
      </w:r>
    </w:p>
  </w:footnote>
  <w:footnote w:id="28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Grayson, </w:t>
      </w:r>
      <w:r w:rsidRPr="00A42549">
        <w:rPr>
          <w:i/>
          <w:sz w:val="22"/>
          <w:szCs w:val="22"/>
        </w:rPr>
        <w:t>Assyrian and Babylonian Chronicles</w:t>
      </w:r>
      <w:r w:rsidRPr="00A42549">
        <w:rPr>
          <w:sz w:val="22"/>
          <w:szCs w:val="22"/>
        </w:rPr>
        <w:t>.</w:t>
      </w:r>
    </w:p>
  </w:footnote>
  <w:footnote w:id="28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Hobbs, </w:t>
      </w:r>
      <w:r w:rsidRPr="00A42549">
        <w:rPr>
          <w:i/>
          <w:sz w:val="22"/>
          <w:szCs w:val="22"/>
        </w:rPr>
        <w:t>2 Kings,</w:t>
      </w:r>
      <w:r w:rsidRPr="00A42549">
        <w:rPr>
          <w:sz w:val="22"/>
          <w:szCs w:val="22"/>
        </w:rPr>
        <w:t xml:space="preserve"> on 2 Kgs 24; Kuhrt, </w:t>
      </w:r>
      <w:r w:rsidRPr="00A42549">
        <w:rPr>
          <w:i/>
          <w:sz w:val="22"/>
          <w:szCs w:val="22"/>
        </w:rPr>
        <w:t xml:space="preserve">The Ancient Near East </w:t>
      </w:r>
      <w:r w:rsidRPr="00A42549">
        <w:rPr>
          <w:sz w:val="22"/>
          <w:szCs w:val="22"/>
        </w:rPr>
        <w:t>2:590-93.</w:t>
      </w:r>
    </w:p>
  </w:footnote>
  <w:footnote w:id="28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Bruce, “Chronology of Daniel 1:1”; Wiseman, </w:t>
      </w:r>
      <w:r w:rsidRPr="00A42549">
        <w:rPr>
          <w:i/>
          <w:sz w:val="22"/>
          <w:szCs w:val="22"/>
        </w:rPr>
        <w:t>Notes on Some Problems in the Book of Daniel</w:t>
      </w:r>
      <w:r w:rsidRPr="00A42549">
        <w:rPr>
          <w:sz w:val="22"/>
          <w:szCs w:val="22"/>
        </w:rPr>
        <w:t>, 16–18.</w:t>
      </w:r>
    </w:p>
  </w:footnote>
  <w:footnote w:id="28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Plöger, </w:t>
      </w:r>
      <w:r w:rsidRPr="00A42549">
        <w:rPr>
          <w:i/>
          <w:sz w:val="22"/>
          <w:szCs w:val="22"/>
        </w:rPr>
        <w:t>Daniel,</w:t>
      </w:r>
      <w:r w:rsidRPr="00A42549">
        <w:rPr>
          <w:sz w:val="22"/>
          <w:szCs w:val="22"/>
        </w:rPr>
        <w:t xml:space="preserve"> on the passage.</w:t>
      </w:r>
    </w:p>
  </w:footnote>
  <w:footnote w:id="28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Segal, “Numerals in the OT.”</w:t>
      </w:r>
    </w:p>
  </w:footnote>
  <w:footnote w:id="28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But further on ways of making the chronology work, see Wilson</w:t>
      </w:r>
      <w:r w:rsidRPr="00A42549">
        <w:rPr>
          <w:b/>
          <w:sz w:val="22"/>
          <w:szCs w:val="22"/>
        </w:rPr>
        <w:t xml:space="preserve">, </w:t>
      </w:r>
      <w:r w:rsidRPr="00A42549">
        <w:rPr>
          <w:i/>
          <w:sz w:val="22"/>
          <w:szCs w:val="22"/>
        </w:rPr>
        <w:t>Studies in the Book of Daniel;</w:t>
      </w:r>
      <w:r w:rsidRPr="00A42549">
        <w:rPr>
          <w:sz w:val="22"/>
          <w:szCs w:val="22"/>
        </w:rPr>
        <w:t xml:space="preserve"> Mercer</w:t>
      </w:r>
      <w:r w:rsidRPr="00A42549">
        <w:rPr>
          <w:b/>
          <w:sz w:val="22"/>
          <w:szCs w:val="22"/>
        </w:rPr>
        <w:t>,</w:t>
      </w:r>
      <w:r w:rsidRPr="00A42549">
        <w:rPr>
          <w:sz w:val="22"/>
          <w:szCs w:val="22"/>
        </w:rPr>
        <w:t xml:space="preserve"> “Daniel 1:1”; Hill, “Daniel,” 45-46.</w:t>
      </w:r>
    </w:p>
  </w:footnote>
  <w:footnote w:id="29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Bruce, “The Oldest Greek Version of Daniel,” 27–28.</w:t>
      </w:r>
    </w:p>
  </w:footnote>
  <w:footnote w:id="29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Larssen, “When Did the Babylonian Captivity Begin?”</w:t>
      </w:r>
    </w:p>
  </w:footnote>
  <w:footnote w:id="29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Calvin, </w:t>
      </w:r>
      <w:r w:rsidRPr="00A42549">
        <w:rPr>
          <w:i/>
          <w:sz w:val="22"/>
          <w:szCs w:val="22"/>
        </w:rPr>
        <w:t>Daniel 1—6</w:t>
      </w:r>
      <w:r w:rsidRPr="00A42549">
        <w:rPr>
          <w:sz w:val="22"/>
          <w:szCs w:val="22"/>
        </w:rPr>
        <w:t>, 20.</w:t>
      </w:r>
    </w:p>
  </w:footnote>
  <w:footnote w:id="293">
    <w:p w:rsidR="00786194" w:rsidRPr="00A42549" w:rsidRDefault="00786194" w:rsidP="006421DF">
      <w:pPr>
        <w:pStyle w:val="FootnoteText"/>
        <w:rPr>
          <w:sz w:val="22"/>
          <w:szCs w:val="22"/>
        </w:rPr>
      </w:pPr>
      <w:r w:rsidRPr="00A42549">
        <w:rPr>
          <w:rStyle w:val="FootnoteReference"/>
          <w:sz w:val="22"/>
          <w:szCs w:val="22"/>
        </w:rPr>
        <w:footnoteRef/>
      </w:r>
      <w:r w:rsidRPr="00A42549">
        <w:rPr>
          <w:sz w:val="22"/>
          <w:szCs w:val="22"/>
        </w:rPr>
        <w:t xml:space="preserve"> Bergsma</w:t>
      </w:r>
      <w:r w:rsidRPr="00A42549">
        <w:rPr>
          <w:b/>
          <w:sz w:val="22"/>
          <w:szCs w:val="22"/>
        </w:rPr>
        <w:t xml:space="preserve">, </w:t>
      </w:r>
      <w:r w:rsidRPr="00A42549">
        <w:rPr>
          <w:sz w:val="22"/>
          <w:szCs w:val="22"/>
        </w:rPr>
        <w:t xml:space="preserve">“Cultic Kingdoms in Conflict,” 48; cf. Vogel, “Cultic Motifs and Themes in the Book of Daniel,” 27; </w:t>
      </w:r>
      <w:r w:rsidRPr="00A42549">
        <w:rPr>
          <w:b/>
          <w:sz w:val="22"/>
          <w:szCs w:val="22"/>
        </w:rPr>
        <w:t xml:space="preserve">———, </w:t>
      </w:r>
      <w:r w:rsidRPr="00A42549">
        <w:rPr>
          <w:i/>
          <w:sz w:val="22"/>
          <w:szCs w:val="22"/>
        </w:rPr>
        <w:t>The Cultic Motif in the Book of Daniel</w:t>
      </w:r>
      <w:r w:rsidRPr="00A42549">
        <w:rPr>
          <w:sz w:val="22"/>
          <w:szCs w:val="22"/>
        </w:rPr>
        <w:t>, e.g., 72-77; Bohnet</w:t>
      </w:r>
      <w:r w:rsidRPr="00A42549">
        <w:rPr>
          <w:b/>
          <w:sz w:val="22"/>
          <w:szCs w:val="22"/>
        </w:rPr>
        <w:t xml:space="preserve">, </w:t>
      </w:r>
      <w:r w:rsidRPr="00A42549">
        <w:rPr>
          <w:sz w:val="22"/>
          <w:szCs w:val="22"/>
        </w:rPr>
        <w:t>“Kultbezüge in Danielbuch.”</w:t>
      </w:r>
    </w:p>
  </w:footnote>
  <w:footnote w:id="29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Buchanan, </w:t>
      </w:r>
      <w:r w:rsidRPr="00A42549">
        <w:rPr>
          <w:i/>
          <w:sz w:val="22"/>
          <w:szCs w:val="22"/>
        </w:rPr>
        <w:t>Daniel</w:t>
      </w:r>
      <w:r w:rsidRPr="00A42549">
        <w:rPr>
          <w:sz w:val="22"/>
          <w:szCs w:val="22"/>
        </w:rPr>
        <w:t>, 20.</w:t>
      </w:r>
    </w:p>
  </w:footnote>
  <w:footnote w:id="29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Güterbock, “Sargon of Akkad,” 3; Zadok, “The Origin of the Name Shinar.”</w:t>
      </w:r>
    </w:p>
  </w:footnote>
  <w:footnote w:id="296">
    <w:p w:rsidR="00786194" w:rsidRPr="00A42549" w:rsidRDefault="00786194">
      <w:pPr>
        <w:pStyle w:val="FootnoteText"/>
        <w:rPr>
          <w:bCs/>
          <w:sz w:val="22"/>
          <w:szCs w:val="22"/>
        </w:rPr>
      </w:pPr>
      <w:r w:rsidRPr="00A42549">
        <w:rPr>
          <w:rStyle w:val="FootnoteReference"/>
          <w:sz w:val="22"/>
          <w:szCs w:val="22"/>
        </w:rPr>
        <w:footnoteRef/>
      </w:r>
      <w:r w:rsidRPr="00A42549">
        <w:rPr>
          <w:sz w:val="22"/>
          <w:szCs w:val="22"/>
        </w:rPr>
        <w:t xml:space="preserve"> S. M. Paul compares the process of induction portrayed in one of the Mari letters (</w:t>
      </w:r>
      <w:r w:rsidRPr="00A42549">
        <w:rPr>
          <w:bCs/>
          <w:sz w:val="22"/>
          <w:szCs w:val="22"/>
        </w:rPr>
        <w:t xml:space="preserve">“The Mesopotamian Background of Daniel 1—6,” in Collins/Flint (eds.), </w:t>
      </w:r>
      <w:r w:rsidRPr="00A42549">
        <w:rPr>
          <w:bCs/>
          <w:i/>
          <w:sz w:val="22"/>
          <w:szCs w:val="22"/>
        </w:rPr>
        <w:t>The Book of Daniel</w:t>
      </w:r>
      <w:r w:rsidRPr="00A42549">
        <w:rPr>
          <w:bCs/>
          <w:sz w:val="22"/>
          <w:szCs w:val="22"/>
        </w:rPr>
        <w:t xml:space="preserve"> 1:55-68 [62-65]).</w:t>
      </w:r>
    </w:p>
  </w:footnote>
  <w:footnote w:id="29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Newsom, </w:t>
      </w:r>
      <w:r w:rsidRPr="00A42549">
        <w:rPr>
          <w:i/>
          <w:sz w:val="22"/>
          <w:szCs w:val="22"/>
        </w:rPr>
        <w:t>Daniel</w:t>
      </w:r>
      <w:r w:rsidRPr="00A42549">
        <w:rPr>
          <w:sz w:val="22"/>
          <w:szCs w:val="22"/>
        </w:rPr>
        <w:t>, and her references.</w:t>
      </w:r>
    </w:p>
  </w:footnote>
  <w:footnote w:id="29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Towner, </w:t>
      </w:r>
      <w:r w:rsidRPr="00A42549">
        <w:rPr>
          <w:i/>
          <w:sz w:val="22"/>
          <w:szCs w:val="22"/>
        </w:rPr>
        <w:t>Daniel</w:t>
      </w:r>
      <w:r w:rsidRPr="00A42549">
        <w:rPr>
          <w:sz w:val="22"/>
          <w:szCs w:val="22"/>
        </w:rPr>
        <w:t>, 21.</w:t>
      </w:r>
    </w:p>
  </w:footnote>
  <w:footnote w:id="29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Whybray, </w:t>
      </w:r>
      <w:r w:rsidRPr="00A42549">
        <w:rPr>
          <w:i/>
          <w:sz w:val="22"/>
          <w:szCs w:val="22"/>
        </w:rPr>
        <w:t>The Intellectual Tradition in the OT</w:t>
      </w:r>
      <w:r w:rsidRPr="00A42549">
        <w:rPr>
          <w:sz w:val="22"/>
          <w:szCs w:val="22"/>
        </w:rPr>
        <w:t>, 101–4.</w:t>
      </w:r>
    </w:p>
  </w:footnote>
  <w:footnote w:id="30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ANET</w:t>
      </w:r>
      <w:r w:rsidRPr="00A42549">
        <w:rPr>
          <w:sz w:val="22"/>
          <w:szCs w:val="22"/>
        </w:rPr>
        <w:t xml:space="preserve"> 427–30; Hays, </w:t>
      </w:r>
      <w:r w:rsidRPr="00A42549">
        <w:rPr>
          <w:i/>
          <w:sz w:val="22"/>
          <w:szCs w:val="22"/>
        </w:rPr>
        <w:t>Hidden Riches</w:t>
      </w:r>
      <w:r w:rsidRPr="00A42549">
        <w:rPr>
          <w:sz w:val="22"/>
          <w:szCs w:val="22"/>
        </w:rPr>
        <w:t>, 97-112.</w:t>
      </w:r>
    </w:p>
  </w:footnote>
  <w:footnote w:id="30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Collins notes that the use of “Chaldean” to refer to Aramaic was based on a misconception (</w:t>
      </w:r>
      <w:r w:rsidRPr="00A42549">
        <w:rPr>
          <w:i/>
          <w:sz w:val="22"/>
          <w:szCs w:val="22"/>
        </w:rPr>
        <w:t>Daniel</w:t>
      </w:r>
      <w:r w:rsidRPr="00A42549">
        <w:rPr>
          <w:sz w:val="22"/>
          <w:szCs w:val="22"/>
        </w:rPr>
        <w:t xml:space="preserve">, 138). </w:t>
      </w:r>
    </w:p>
  </w:footnote>
  <w:footnote w:id="30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Koch, </w:t>
      </w:r>
      <w:r w:rsidRPr="00A42549">
        <w:rPr>
          <w:i/>
          <w:sz w:val="22"/>
          <w:szCs w:val="22"/>
        </w:rPr>
        <w:t>Daniel 1—4</w:t>
      </w:r>
      <w:r w:rsidRPr="00A42549">
        <w:rPr>
          <w:sz w:val="22"/>
          <w:szCs w:val="22"/>
        </w:rPr>
        <w:t>, 44.</w:t>
      </w:r>
    </w:p>
  </w:footnote>
  <w:footnote w:id="30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Rowley, “The Chaldaeans in the Book of Daniel,” 425–26</w:t>
      </w:r>
    </w:p>
  </w:footnote>
  <w:footnote w:id="30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the scholars and their work, see, e.g., </w:t>
      </w:r>
      <w:r w:rsidRPr="00A42549">
        <w:rPr>
          <w:i/>
          <w:sz w:val="22"/>
          <w:szCs w:val="22"/>
        </w:rPr>
        <w:t>La divination en Mésopotamie ancienne</w:t>
      </w:r>
      <w:r w:rsidRPr="00A42549">
        <w:rPr>
          <w:sz w:val="22"/>
          <w:szCs w:val="22"/>
        </w:rPr>
        <w:t xml:space="preserve">; Oppenheim, </w:t>
      </w:r>
      <w:r w:rsidRPr="00A42549">
        <w:rPr>
          <w:i/>
          <w:sz w:val="22"/>
          <w:szCs w:val="22"/>
        </w:rPr>
        <w:t xml:space="preserve">Ancient Mesopotamia; </w:t>
      </w:r>
      <w:r w:rsidRPr="00A42549">
        <w:rPr>
          <w:sz w:val="22"/>
          <w:szCs w:val="22"/>
        </w:rPr>
        <w:t xml:space="preserve">also “A Babylonian Diviner’s Manual”; Saggs, </w:t>
      </w:r>
      <w:r w:rsidRPr="00A42549">
        <w:rPr>
          <w:i/>
          <w:sz w:val="22"/>
          <w:szCs w:val="22"/>
        </w:rPr>
        <w:t>The Greatness That Was Babylon</w:t>
      </w:r>
      <w:r w:rsidRPr="00A42549">
        <w:rPr>
          <w:sz w:val="22"/>
          <w:szCs w:val="22"/>
        </w:rPr>
        <w:t xml:space="preserve">; Sachs, “Babylonian Horoscopes”; Lambert, “Dingir.š̀.dib.ba. Incantations”; Leichty, </w:t>
      </w:r>
      <w:r w:rsidRPr="00A42549">
        <w:rPr>
          <w:i/>
          <w:sz w:val="22"/>
          <w:szCs w:val="22"/>
        </w:rPr>
        <w:t>The Omen Series</w:t>
      </w:r>
      <w:r w:rsidRPr="00A42549">
        <w:rPr>
          <w:sz w:val="22"/>
          <w:szCs w:val="22"/>
        </w:rPr>
        <w:t xml:space="preserve"> </w:t>
      </w:r>
      <w:r w:rsidRPr="00A42549">
        <w:rPr>
          <w:i/>
          <w:sz w:val="22"/>
          <w:szCs w:val="22"/>
        </w:rPr>
        <w:t>Šumma Izbu</w:t>
      </w:r>
      <w:r w:rsidRPr="00A42549">
        <w:rPr>
          <w:sz w:val="22"/>
          <w:szCs w:val="22"/>
        </w:rPr>
        <w:t>.</w:t>
      </w:r>
    </w:p>
  </w:footnote>
  <w:footnote w:id="30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Oppenheim, </w:t>
      </w:r>
      <w:r w:rsidRPr="00A42549">
        <w:rPr>
          <w:i/>
          <w:sz w:val="22"/>
          <w:szCs w:val="22"/>
        </w:rPr>
        <w:t>Ancient Mesopotamia</w:t>
      </w:r>
      <w:r w:rsidRPr="00A42549">
        <w:rPr>
          <w:sz w:val="22"/>
          <w:szCs w:val="22"/>
        </w:rPr>
        <w:t xml:space="preserve">, 105, 104, 101; Kuhrt provides a more recent general picture in </w:t>
      </w:r>
      <w:r w:rsidRPr="00A42549">
        <w:rPr>
          <w:i/>
          <w:sz w:val="22"/>
          <w:szCs w:val="22"/>
        </w:rPr>
        <w:t xml:space="preserve">The Ancient Near East </w:t>
      </w:r>
      <w:r w:rsidRPr="00A42549">
        <w:rPr>
          <w:sz w:val="22"/>
          <w:szCs w:val="22"/>
        </w:rPr>
        <w:t>2:603-10.</w:t>
      </w:r>
    </w:p>
  </w:footnote>
  <w:footnote w:id="30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ANET</w:t>
      </w:r>
      <w:r w:rsidRPr="00A42549">
        <w:rPr>
          <w:sz w:val="22"/>
          <w:szCs w:val="22"/>
        </w:rPr>
        <w:t xml:space="preserve">, 308b; </w:t>
      </w:r>
      <w:r w:rsidRPr="00A42549">
        <w:rPr>
          <w:i/>
          <w:sz w:val="22"/>
          <w:szCs w:val="22"/>
        </w:rPr>
        <w:t>DOTT</w:t>
      </w:r>
      <w:r w:rsidRPr="00A42549">
        <w:rPr>
          <w:sz w:val="22"/>
          <w:szCs w:val="22"/>
        </w:rPr>
        <w:t>, 84–86.</w:t>
      </w:r>
    </w:p>
  </w:footnote>
  <w:footnote w:id="307">
    <w:p w:rsidR="00786194" w:rsidRPr="00A42549" w:rsidRDefault="00786194" w:rsidP="00563131">
      <w:pPr>
        <w:pStyle w:val="FootnoteText"/>
        <w:rPr>
          <w:sz w:val="22"/>
          <w:szCs w:val="22"/>
        </w:rPr>
      </w:pPr>
      <w:r w:rsidRPr="00A42549">
        <w:rPr>
          <w:rStyle w:val="FootnoteReference"/>
          <w:sz w:val="22"/>
          <w:szCs w:val="22"/>
        </w:rPr>
        <w:footnoteRef/>
      </w:r>
      <w:r w:rsidRPr="00A42549">
        <w:rPr>
          <w:sz w:val="22"/>
          <w:szCs w:val="22"/>
        </w:rPr>
        <w:t xml:space="preserve"> Against Gammie, “Intention and Sources of Daniel i—vi,” 283; Lacocque, </w:t>
      </w:r>
      <w:r w:rsidRPr="00A42549">
        <w:rPr>
          <w:i/>
          <w:sz w:val="22"/>
          <w:szCs w:val="22"/>
        </w:rPr>
        <w:t>Daniel</w:t>
      </w:r>
      <w:r w:rsidRPr="00A42549">
        <w:rPr>
          <w:sz w:val="22"/>
          <w:szCs w:val="22"/>
        </w:rPr>
        <w:t>, on the passage.</w:t>
      </w:r>
    </w:p>
  </w:footnote>
  <w:footnote w:id="3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Lacocque, </w:t>
      </w:r>
      <w:r w:rsidRPr="00A42549">
        <w:rPr>
          <w:i/>
          <w:sz w:val="22"/>
          <w:szCs w:val="22"/>
        </w:rPr>
        <w:t>Daniel</w:t>
      </w:r>
      <w:r w:rsidRPr="00A42549">
        <w:rPr>
          <w:sz w:val="22"/>
          <w:szCs w:val="22"/>
        </w:rPr>
        <w:t>, on the passage.</w:t>
      </w:r>
    </w:p>
  </w:footnote>
  <w:footnote w:id="30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Eissfeldt, “Renaming in the OT.”</w:t>
      </w:r>
    </w:p>
  </w:footnote>
  <w:footnote w:id="31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this discussion, see Towner, “Daniel 1 in the Context of the Canon.”</w:t>
      </w:r>
    </w:p>
  </w:footnote>
  <w:footnote w:id="31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Bentzen, </w:t>
      </w:r>
      <w:r w:rsidRPr="00A42549">
        <w:rPr>
          <w:i/>
          <w:sz w:val="22"/>
          <w:szCs w:val="22"/>
        </w:rPr>
        <w:t>Daniel</w:t>
      </w:r>
      <w:r w:rsidRPr="00A42549">
        <w:rPr>
          <w:sz w:val="22"/>
          <w:szCs w:val="22"/>
        </w:rPr>
        <w:t xml:space="preserve">, on the passage. On everyday food and on sacrifices in Babylonia, see Saggs, </w:t>
      </w:r>
      <w:r w:rsidRPr="00A42549">
        <w:rPr>
          <w:i/>
          <w:sz w:val="22"/>
          <w:szCs w:val="22"/>
        </w:rPr>
        <w:t>The Greatness That Was Babylon</w:t>
      </w:r>
      <w:r w:rsidRPr="00A42549">
        <w:rPr>
          <w:sz w:val="22"/>
          <w:szCs w:val="22"/>
        </w:rPr>
        <w:t xml:space="preserve">, 172–76, 351–54; Oppenheim, </w:t>
      </w:r>
      <w:r w:rsidRPr="00A42549">
        <w:rPr>
          <w:i/>
          <w:sz w:val="22"/>
          <w:szCs w:val="22"/>
        </w:rPr>
        <w:t>Ancient Mesopotamia</w:t>
      </w:r>
      <w:r w:rsidRPr="00A42549">
        <w:rPr>
          <w:sz w:val="22"/>
          <w:szCs w:val="22"/>
        </w:rPr>
        <w:t>, 42–45, 188–93.</w:t>
      </w:r>
    </w:p>
  </w:footnote>
  <w:footnote w:id="31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Bevan, </w:t>
      </w:r>
      <w:r w:rsidRPr="00A42549">
        <w:rPr>
          <w:i/>
          <w:sz w:val="22"/>
          <w:szCs w:val="22"/>
        </w:rPr>
        <w:t>Daniel</w:t>
      </w:r>
      <w:r w:rsidRPr="00A42549">
        <w:rPr>
          <w:sz w:val="22"/>
          <w:szCs w:val="22"/>
        </w:rPr>
        <w:t>, on the passage.</w:t>
      </w:r>
    </w:p>
  </w:footnote>
  <w:footnote w:id="31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Hengel, </w:t>
      </w:r>
      <w:r w:rsidRPr="00A42549">
        <w:rPr>
          <w:i/>
          <w:sz w:val="22"/>
          <w:szCs w:val="22"/>
        </w:rPr>
        <w:t>Judentum und Hellenismus</w:t>
      </w:r>
      <w:r w:rsidRPr="00A42549">
        <w:rPr>
          <w:sz w:val="22"/>
          <w:szCs w:val="22"/>
        </w:rPr>
        <w:t xml:space="preserve">, 387 (ET 1:213); cf. Cranfield, </w:t>
      </w:r>
      <w:r w:rsidRPr="00A42549">
        <w:rPr>
          <w:i/>
          <w:sz w:val="22"/>
          <w:szCs w:val="22"/>
        </w:rPr>
        <w:t>Romans</w:t>
      </w:r>
      <w:r w:rsidRPr="00A42549">
        <w:rPr>
          <w:sz w:val="22"/>
          <w:szCs w:val="22"/>
        </w:rPr>
        <w:t>, 694.</w:t>
      </w:r>
    </w:p>
  </w:footnote>
  <w:footnote w:id="31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J. Behm, </w:t>
      </w:r>
      <w:r w:rsidRPr="00A42549">
        <w:rPr>
          <w:i/>
          <w:sz w:val="22"/>
          <w:szCs w:val="22"/>
        </w:rPr>
        <w:t>TWNT</w:t>
      </w:r>
      <w:r w:rsidRPr="00A42549">
        <w:rPr>
          <w:sz w:val="22"/>
          <w:szCs w:val="22"/>
        </w:rPr>
        <w:t xml:space="preserve"> 2:687–88 (ET 690).</w:t>
      </w:r>
    </w:p>
  </w:footnote>
  <w:footnote w:id="31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Russell, </w:t>
      </w:r>
      <w:r w:rsidRPr="00A42549">
        <w:rPr>
          <w:i/>
          <w:sz w:val="22"/>
          <w:szCs w:val="22"/>
        </w:rPr>
        <w:t>Method and Message of Jewish Apocalyptic</w:t>
      </w:r>
      <w:r w:rsidRPr="00A42549">
        <w:rPr>
          <w:sz w:val="22"/>
          <w:szCs w:val="22"/>
        </w:rPr>
        <w:t>, 169–73)</w:t>
      </w:r>
    </w:p>
  </w:footnote>
  <w:footnote w:id="316">
    <w:p w:rsidR="00786194" w:rsidRPr="00A42549" w:rsidRDefault="00786194">
      <w:pPr>
        <w:pStyle w:val="FootnoteText"/>
        <w:rPr>
          <w:bCs/>
          <w:sz w:val="22"/>
          <w:szCs w:val="22"/>
        </w:rPr>
      </w:pPr>
      <w:r w:rsidRPr="00A42549">
        <w:rPr>
          <w:rStyle w:val="FootnoteReference"/>
          <w:sz w:val="22"/>
          <w:szCs w:val="22"/>
        </w:rPr>
        <w:footnoteRef/>
      </w:r>
      <w:r w:rsidRPr="00A42549">
        <w:rPr>
          <w:sz w:val="22"/>
          <w:szCs w:val="22"/>
        </w:rPr>
        <w:t xml:space="preserve"> Baldwin, </w:t>
      </w:r>
      <w:r w:rsidRPr="00A42549">
        <w:rPr>
          <w:i/>
          <w:sz w:val="22"/>
          <w:szCs w:val="22"/>
        </w:rPr>
        <w:t>Daniel</w:t>
      </w:r>
      <w:r w:rsidRPr="00A42549">
        <w:rPr>
          <w:sz w:val="22"/>
          <w:szCs w:val="22"/>
        </w:rPr>
        <w:t xml:space="preserve">, on the passage; cf. </w:t>
      </w:r>
      <w:r w:rsidRPr="00A42549">
        <w:rPr>
          <w:bCs/>
          <w:sz w:val="22"/>
          <w:szCs w:val="22"/>
        </w:rPr>
        <w:t>Soesilo, “Why Did Daniel Reject the King’s Delicacies?”</w:t>
      </w:r>
    </w:p>
  </w:footnote>
  <w:footnote w:id="31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Smith-Christopher, “Daniel,” 40: see further 40-42.</w:t>
      </w:r>
    </w:p>
  </w:footnote>
  <w:footnote w:id="31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Lacocque, </w:t>
      </w:r>
      <w:r w:rsidRPr="00A42549">
        <w:rPr>
          <w:i/>
          <w:sz w:val="22"/>
          <w:szCs w:val="22"/>
        </w:rPr>
        <w:t>Daniel</w:t>
      </w:r>
      <w:r w:rsidRPr="00A42549">
        <w:rPr>
          <w:sz w:val="22"/>
          <w:szCs w:val="22"/>
        </w:rPr>
        <w:t>, on the passage.</w:t>
      </w:r>
    </w:p>
  </w:footnote>
  <w:footnote w:id="31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Venter</w:t>
      </w:r>
      <w:r w:rsidRPr="00A42549">
        <w:rPr>
          <w:b/>
          <w:sz w:val="22"/>
          <w:szCs w:val="22"/>
        </w:rPr>
        <w:t xml:space="preserve">, </w:t>
      </w:r>
      <w:r w:rsidRPr="00A42549">
        <w:rPr>
          <w:sz w:val="22"/>
          <w:szCs w:val="22"/>
        </w:rPr>
        <w:t>“A Study of Space in Daniel 1.”</w:t>
      </w:r>
    </w:p>
  </w:footnote>
  <w:footnote w:id="32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Wallis’s account of a slave’s failure to gain his liberty in Babylon, “Aus dem Leben jüdischen Sklaven in Babylon.”</w:t>
      </w:r>
    </w:p>
  </w:footnote>
  <w:footnote w:id="32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Calvin, </w:t>
      </w:r>
      <w:r w:rsidRPr="00A42549">
        <w:rPr>
          <w:i/>
          <w:sz w:val="22"/>
          <w:szCs w:val="22"/>
        </w:rPr>
        <w:t>Daniel 1—6</w:t>
      </w:r>
      <w:r w:rsidRPr="00A42549">
        <w:rPr>
          <w:sz w:val="22"/>
          <w:szCs w:val="22"/>
        </w:rPr>
        <w:t>, 35.</w:t>
      </w:r>
    </w:p>
  </w:footnote>
  <w:footnote w:id="322">
    <w:p w:rsidR="00786194" w:rsidRPr="00A42549" w:rsidRDefault="00786194" w:rsidP="0040621D">
      <w:pPr>
        <w:pStyle w:val="FootnoteText"/>
        <w:rPr>
          <w:sz w:val="22"/>
          <w:szCs w:val="22"/>
        </w:rPr>
      </w:pPr>
      <w:r w:rsidRPr="00A42549">
        <w:rPr>
          <w:rStyle w:val="FootnoteReference"/>
          <w:sz w:val="22"/>
          <w:szCs w:val="22"/>
        </w:rPr>
        <w:footnoteRef/>
      </w:r>
      <w:r w:rsidRPr="00A42549">
        <w:rPr>
          <w:sz w:val="22"/>
          <w:szCs w:val="22"/>
        </w:rPr>
        <w:t xml:space="preserve"> See Newsom, </w:t>
      </w:r>
      <w:r w:rsidRPr="00A42549">
        <w:rPr>
          <w:i/>
          <w:sz w:val="22"/>
          <w:szCs w:val="22"/>
        </w:rPr>
        <w:t>Daniel</w:t>
      </w:r>
      <w:r w:rsidRPr="00A42549">
        <w:rPr>
          <w:sz w:val="22"/>
          <w:szCs w:val="22"/>
        </w:rPr>
        <w:t>, 49.</w:t>
      </w:r>
    </w:p>
  </w:footnote>
  <w:footnote w:id="32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Bentzen, </w:t>
      </w:r>
      <w:r w:rsidRPr="00A42549">
        <w:rPr>
          <w:i/>
          <w:sz w:val="22"/>
          <w:szCs w:val="22"/>
        </w:rPr>
        <w:t>Daniel</w:t>
      </w:r>
      <w:r w:rsidRPr="00A42549">
        <w:rPr>
          <w:sz w:val="22"/>
          <w:szCs w:val="22"/>
        </w:rPr>
        <w:t>, on the passage; he refers to Rev 2:10, but it is surely dependent on Dan 1.</w:t>
      </w:r>
    </w:p>
  </w:footnote>
  <w:footnote w:id="32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Brongers, “Die Zehnzahl in der Bibel und ihrer Umwelt”; P. Hauck, </w:t>
      </w:r>
      <w:r w:rsidRPr="00A42549">
        <w:rPr>
          <w:i/>
          <w:sz w:val="22"/>
          <w:szCs w:val="22"/>
        </w:rPr>
        <w:t>TWNT</w:t>
      </w:r>
      <w:r w:rsidRPr="00A42549">
        <w:rPr>
          <w:sz w:val="22"/>
          <w:szCs w:val="22"/>
        </w:rPr>
        <w:t xml:space="preserve"> 2:35–36 (ET 36–37).</w:t>
      </w:r>
    </w:p>
  </w:footnote>
  <w:footnote w:id="32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Hill, “Daniel,” 56.</w:t>
      </w:r>
    </w:p>
  </w:footnote>
  <w:footnote w:id="326">
    <w:p w:rsidR="00786194" w:rsidRPr="00A42549" w:rsidRDefault="00786194" w:rsidP="008F346F">
      <w:pPr>
        <w:pStyle w:val="FootnoteText"/>
        <w:rPr>
          <w:bCs/>
          <w:sz w:val="22"/>
          <w:szCs w:val="22"/>
        </w:rPr>
      </w:pPr>
      <w:r w:rsidRPr="00A42549">
        <w:rPr>
          <w:rStyle w:val="FootnoteReference"/>
          <w:sz w:val="22"/>
          <w:szCs w:val="22"/>
        </w:rPr>
        <w:footnoteRef/>
      </w:r>
      <w:r w:rsidRPr="00A42549">
        <w:rPr>
          <w:sz w:val="22"/>
          <w:szCs w:val="22"/>
        </w:rPr>
        <w:t xml:space="preserve"> Müller, “Magisch-mantische Weisheit und die Gestalt Daniels,” 86; see the comments on </w:t>
      </w:r>
      <w:r w:rsidRPr="00A42549">
        <w:rPr>
          <w:i/>
          <w:sz w:val="22"/>
          <w:szCs w:val="22"/>
        </w:rPr>
        <w:t>Streams of Tradition behind Daniel</w:t>
      </w:r>
      <w:r w:rsidRPr="00A42549">
        <w:rPr>
          <w:sz w:val="22"/>
          <w:szCs w:val="22"/>
        </w:rPr>
        <w:t xml:space="preserve"> in the Conclusion to this commentary.</w:t>
      </w:r>
    </w:p>
    <w:p w:rsidR="00786194" w:rsidRPr="00A42549" w:rsidRDefault="00786194">
      <w:pPr>
        <w:pStyle w:val="FootnoteText"/>
        <w:rPr>
          <w:sz w:val="22"/>
          <w:szCs w:val="22"/>
        </w:rPr>
      </w:pPr>
      <w:r w:rsidRPr="00A42549">
        <w:rPr>
          <w:sz w:val="22"/>
          <w:szCs w:val="22"/>
        </w:rPr>
        <w:t xml:space="preserve">. On dream interpretation, see further chapter 2 </w:t>
      </w:r>
      <w:r w:rsidRPr="00A42549">
        <w:rPr>
          <w:i/>
          <w:sz w:val="22"/>
          <w:szCs w:val="22"/>
        </w:rPr>
        <w:t>Comment</w:t>
      </w:r>
      <w:r w:rsidRPr="00A42549">
        <w:rPr>
          <w:sz w:val="22"/>
          <w:szCs w:val="22"/>
        </w:rPr>
        <w:t>.</w:t>
      </w:r>
    </w:p>
  </w:footnote>
  <w:footnote w:id="32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Montgomery, </w:t>
      </w:r>
      <w:r w:rsidRPr="00A42549">
        <w:rPr>
          <w:i/>
          <w:sz w:val="22"/>
          <w:szCs w:val="22"/>
        </w:rPr>
        <w:t>Daniel</w:t>
      </w:r>
      <w:r w:rsidRPr="00A42549">
        <w:rPr>
          <w:sz w:val="22"/>
          <w:szCs w:val="22"/>
        </w:rPr>
        <w:t>, on the passage.</w:t>
      </w:r>
    </w:p>
  </w:footnote>
  <w:footnote w:id="32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Young, </w:t>
      </w:r>
      <w:r w:rsidRPr="00A42549">
        <w:rPr>
          <w:i/>
          <w:sz w:val="22"/>
          <w:szCs w:val="22"/>
        </w:rPr>
        <w:t>Daniel</w:t>
      </w:r>
      <w:r w:rsidRPr="00A42549">
        <w:rPr>
          <w:sz w:val="22"/>
          <w:szCs w:val="22"/>
        </w:rPr>
        <w:t>, on the passage.</w:t>
      </w:r>
    </w:p>
  </w:footnote>
  <w:footnote w:id="32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Koch, </w:t>
      </w:r>
      <w:r w:rsidRPr="00A42549">
        <w:rPr>
          <w:i/>
          <w:sz w:val="22"/>
          <w:szCs w:val="22"/>
        </w:rPr>
        <w:t>Daniel 1—4</w:t>
      </w:r>
      <w:r w:rsidRPr="00A42549">
        <w:rPr>
          <w:sz w:val="22"/>
          <w:szCs w:val="22"/>
        </w:rPr>
        <w:t>, 71.</w:t>
      </w:r>
    </w:p>
  </w:footnote>
  <w:footnote w:id="330">
    <w:p w:rsidR="00786194" w:rsidRPr="00A42549" w:rsidRDefault="00786194" w:rsidP="00E96377">
      <w:pPr>
        <w:pStyle w:val="FootnoteText"/>
        <w:rPr>
          <w:sz w:val="22"/>
          <w:szCs w:val="22"/>
        </w:rPr>
      </w:pPr>
      <w:r w:rsidRPr="00A42549">
        <w:rPr>
          <w:rStyle w:val="FootnoteReference"/>
          <w:sz w:val="22"/>
          <w:szCs w:val="22"/>
        </w:rPr>
        <w:footnoteRef/>
      </w:r>
      <w:r w:rsidRPr="00A42549">
        <w:rPr>
          <w:sz w:val="22"/>
          <w:szCs w:val="22"/>
        </w:rPr>
        <w:t xml:space="preserve"> Cf. Koch, </w:t>
      </w:r>
      <w:r w:rsidRPr="00A42549">
        <w:rPr>
          <w:i/>
          <w:sz w:val="22"/>
          <w:szCs w:val="22"/>
        </w:rPr>
        <w:t>Daniel 1—4</w:t>
      </w:r>
      <w:r w:rsidRPr="00A42549">
        <w:rPr>
          <w:sz w:val="22"/>
          <w:szCs w:val="22"/>
        </w:rPr>
        <w:t>, 78. See further Grabbe, “Daniel: Sage, Seer... and Prophet?”</w:t>
      </w:r>
    </w:p>
  </w:footnote>
  <w:footnote w:id="33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Hammer (</w:t>
      </w:r>
      <w:r w:rsidRPr="00A42549">
        <w:rPr>
          <w:i/>
          <w:sz w:val="22"/>
          <w:szCs w:val="22"/>
        </w:rPr>
        <w:t>Daniel</w:t>
      </w:r>
      <w:r w:rsidRPr="00A42549">
        <w:rPr>
          <w:sz w:val="22"/>
          <w:szCs w:val="22"/>
        </w:rPr>
        <w:t>, on the passage)</w:t>
      </w:r>
      <w:r w:rsidRPr="00A42549">
        <w:rPr>
          <w:i/>
          <w:sz w:val="22"/>
          <w:szCs w:val="22"/>
        </w:rPr>
        <w:t xml:space="preserve"> </w:t>
      </w:r>
      <w:r w:rsidRPr="00A42549">
        <w:rPr>
          <w:sz w:val="22"/>
          <w:szCs w:val="22"/>
        </w:rPr>
        <w:t>suggests he was in retirement at 10:1.</w:t>
      </w:r>
    </w:p>
  </w:footnote>
  <w:footnote w:id="33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Poole, </w:t>
      </w:r>
      <w:r w:rsidRPr="00A42549">
        <w:rPr>
          <w:i/>
          <w:sz w:val="22"/>
          <w:szCs w:val="22"/>
        </w:rPr>
        <w:t>Annotations</w:t>
      </w:r>
      <w:r w:rsidRPr="00A42549">
        <w:rPr>
          <w:sz w:val="22"/>
          <w:szCs w:val="22"/>
        </w:rPr>
        <w:t>,</w:t>
      </w:r>
      <w:r w:rsidRPr="00A42549">
        <w:rPr>
          <w:i/>
          <w:sz w:val="22"/>
          <w:szCs w:val="22"/>
        </w:rPr>
        <w:t xml:space="preserve"> </w:t>
      </w:r>
      <w:r w:rsidRPr="00A42549">
        <w:rPr>
          <w:sz w:val="22"/>
          <w:szCs w:val="22"/>
        </w:rPr>
        <w:t>on the passage.</w:t>
      </w:r>
    </w:p>
  </w:footnote>
  <w:footnote w:id="33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Ackroyd, “The Temple Vessels.”</w:t>
      </w:r>
    </w:p>
  </w:footnote>
  <w:footnote w:id="33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Nebuchadnezzar, see e.g., Wiseman, </w:t>
      </w:r>
      <w:r w:rsidRPr="00A42549">
        <w:rPr>
          <w:i/>
          <w:sz w:val="22"/>
          <w:szCs w:val="22"/>
        </w:rPr>
        <w:t>Nebuchadrezzar and Babylon</w:t>
      </w:r>
      <w:r w:rsidRPr="00A42549">
        <w:rPr>
          <w:sz w:val="22"/>
          <w:szCs w:val="22"/>
        </w:rPr>
        <w:t>.</w:t>
      </w:r>
    </w:p>
  </w:footnote>
  <w:footnote w:id="33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the binary relationship of Judah-Babylon and Jerusalem-Shinar, see </w:t>
      </w:r>
      <w:r w:rsidRPr="00A42549">
        <w:rPr>
          <w:bCs/>
          <w:sz w:val="22"/>
          <w:szCs w:val="22"/>
        </w:rPr>
        <w:t>Nel</w:t>
      </w:r>
      <w:r w:rsidRPr="00A42549">
        <w:rPr>
          <w:b/>
          <w:bCs/>
          <w:sz w:val="22"/>
          <w:szCs w:val="22"/>
        </w:rPr>
        <w:t xml:space="preserve">, </w:t>
      </w:r>
      <w:r w:rsidRPr="00A42549">
        <w:rPr>
          <w:bCs/>
          <w:sz w:val="22"/>
          <w:szCs w:val="22"/>
        </w:rPr>
        <w:t>“Function of Space in Daniel 1”; and Mills’s comments on “border crossing” (“Household and Table,” 412).</w:t>
      </w:r>
    </w:p>
  </w:footnote>
  <w:footnote w:id="33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Longman, </w:t>
      </w:r>
      <w:r w:rsidRPr="00A42549">
        <w:rPr>
          <w:i/>
          <w:sz w:val="22"/>
          <w:szCs w:val="22"/>
        </w:rPr>
        <w:t>Daniel</w:t>
      </w:r>
      <w:r w:rsidRPr="00A42549">
        <w:rPr>
          <w:sz w:val="22"/>
          <w:szCs w:val="22"/>
        </w:rPr>
        <w:t xml:space="preserve">, 43; cf. Nolan Fewell, </w:t>
      </w:r>
      <w:r w:rsidRPr="00A42549">
        <w:rPr>
          <w:i/>
          <w:sz w:val="22"/>
          <w:szCs w:val="22"/>
        </w:rPr>
        <w:t>Circle of Sovereignty</w:t>
      </w:r>
      <w:r w:rsidRPr="00A42549">
        <w:rPr>
          <w:sz w:val="22"/>
          <w:szCs w:val="22"/>
        </w:rPr>
        <w:t>, 13.</w:t>
      </w:r>
    </w:p>
  </w:footnote>
  <w:footnote w:id="337">
    <w:p w:rsidR="00786194" w:rsidRPr="00A42549" w:rsidRDefault="00786194" w:rsidP="00EC4A54">
      <w:pPr>
        <w:pStyle w:val="FootnoteText"/>
        <w:rPr>
          <w:sz w:val="22"/>
          <w:szCs w:val="22"/>
        </w:rPr>
      </w:pPr>
      <w:r w:rsidRPr="00A42549">
        <w:rPr>
          <w:rStyle w:val="FootnoteReference"/>
          <w:sz w:val="22"/>
          <w:szCs w:val="22"/>
        </w:rPr>
        <w:footnoteRef/>
      </w:r>
      <w:r w:rsidRPr="00A42549">
        <w:rPr>
          <w:sz w:val="22"/>
          <w:szCs w:val="22"/>
        </w:rPr>
        <w:t xml:space="preserve"> Hebbard, </w:t>
      </w:r>
      <w:r w:rsidRPr="00A42549">
        <w:rPr>
          <w:i/>
          <w:sz w:val="22"/>
          <w:szCs w:val="22"/>
        </w:rPr>
        <w:t>Reading Daniel</w:t>
      </w:r>
      <w:r w:rsidRPr="00A42549">
        <w:rPr>
          <w:sz w:val="22"/>
          <w:szCs w:val="22"/>
        </w:rPr>
        <w:t>, 55, 56.</w:t>
      </w:r>
    </w:p>
  </w:footnote>
  <w:footnote w:id="33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Wright, </w:t>
      </w:r>
      <w:r w:rsidRPr="00A42549">
        <w:rPr>
          <w:i/>
          <w:sz w:val="22"/>
          <w:szCs w:val="22"/>
        </w:rPr>
        <w:t>Hearing the Message of Daniel</w:t>
      </w:r>
      <w:r w:rsidRPr="00A42549">
        <w:rPr>
          <w:sz w:val="22"/>
          <w:szCs w:val="22"/>
        </w:rPr>
        <w:t>, 21.</w:t>
      </w:r>
    </w:p>
  </w:footnote>
  <w:footnote w:id="33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Sumner, “Daniel,” 121.</w:t>
      </w:r>
    </w:p>
  </w:footnote>
  <w:footnote w:id="34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Theodoret, </w:t>
      </w:r>
      <w:r w:rsidRPr="00A42549">
        <w:rPr>
          <w:i/>
          <w:sz w:val="22"/>
          <w:szCs w:val="22"/>
        </w:rPr>
        <w:t>Daniel</w:t>
      </w:r>
      <w:r w:rsidRPr="00A42549">
        <w:rPr>
          <w:sz w:val="22"/>
          <w:szCs w:val="22"/>
        </w:rPr>
        <w:t>, 18-19.</w:t>
      </w:r>
    </w:p>
  </w:footnote>
  <w:footnote w:id="341">
    <w:p w:rsidR="00786194" w:rsidRPr="00A42549" w:rsidRDefault="00786194" w:rsidP="00C8215B">
      <w:pPr>
        <w:pStyle w:val="FootnoteText"/>
        <w:rPr>
          <w:sz w:val="22"/>
          <w:szCs w:val="22"/>
        </w:rPr>
      </w:pPr>
      <w:r w:rsidRPr="00A42549">
        <w:rPr>
          <w:rStyle w:val="FootnoteReference"/>
          <w:sz w:val="22"/>
          <w:szCs w:val="22"/>
        </w:rPr>
        <w:footnoteRef/>
      </w:r>
      <w:r w:rsidRPr="00A42549">
        <w:rPr>
          <w:sz w:val="22"/>
          <w:szCs w:val="22"/>
        </w:rPr>
        <w:t xml:space="preserve"> Miller, </w:t>
      </w:r>
      <w:r w:rsidRPr="00A42549">
        <w:rPr>
          <w:i/>
          <w:sz w:val="22"/>
          <w:szCs w:val="22"/>
        </w:rPr>
        <w:t>Daniel</w:t>
      </w:r>
      <w:r w:rsidRPr="00A42549">
        <w:rPr>
          <w:sz w:val="22"/>
          <w:szCs w:val="22"/>
        </w:rPr>
        <w:t>, 57.</w:t>
      </w:r>
    </w:p>
  </w:footnote>
  <w:footnote w:id="34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Alomía, </w:t>
      </w:r>
      <w:r w:rsidRPr="00A42549">
        <w:rPr>
          <w:i/>
          <w:sz w:val="22"/>
          <w:szCs w:val="22"/>
        </w:rPr>
        <w:t xml:space="preserve">Daniel </w:t>
      </w:r>
      <w:r w:rsidRPr="00A42549">
        <w:rPr>
          <w:sz w:val="22"/>
          <w:szCs w:val="22"/>
        </w:rPr>
        <w:t>2:15.</w:t>
      </w:r>
    </w:p>
  </w:footnote>
  <w:footnote w:id="343">
    <w:p w:rsidR="00786194" w:rsidRPr="00A42549" w:rsidRDefault="00786194" w:rsidP="00C8215B">
      <w:pPr>
        <w:pStyle w:val="FootnoteText"/>
        <w:rPr>
          <w:sz w:val="22"/>
          <w:szCs w:val="22"/>
        </w:rPr>
      </w:pPr>
      <w:r w:rsidRPr="00A42549">
        <w:rPr>
          <w:rStyle w:val="FootnoteReference"/>
          <w:sz w:val="22"/>
          <w:szCs w:val="22"/>
        </w:rPr>
        <w:footnoteRef/>
      </w:r>
      <w:r w:rsidRPr="00A42549">
        <w:rPr>
          <w:sz w:val="22"/>
          <w:szCs w:val="22"/>
        </w:rPr>
        <w:t xml:space="preserve"> Wright, </w:t>
      </w:r>
      <w:r w:rsidRPr="00A42549">
        <w:rPr>
          <w:i/>
          <w:sz w:val="22"/>
          <w:szCs w:val="22"/>
        </w:rPr>
        <w:t>Hearing the Message of Daniel</w:t>
      </w:r>
      <w:r w:rsidRPr="00A42549">
        <w:rPr>
          <w:sz w:val="22"/>
          <w:szCs w:val="22"/>
        </w:rPr>
        <w:t>, 24.</w:t>
      </w:r>
    </w:p>
  </w:footnote>
  <w:footnote w:id="344">
    <w:p w:rsidR="00786194" w:rsidRPr="00A42549" w:rsidRDefault="00786194" w:rsidP="00252620">
      <w:pPr>
        <w:pStyle w:val="FootnoteText"/>
        <w:rPr>
          <w:sz w:val="22"/>
          <w:szCs w:val="22"/>
        </w:rPr>
      </w:pPr>
      <w:r w:rsidRPr="00A42549">
        <w:rPr>
          <w:rStyle w:val="FootnoteReference"/>
          <w:sz w:val="22"/>
          <w:szCs w:val="22"/>
        </w:rPr>
        <w:footnoteRef/>
      </w:r>
      <w:r w:rsidRPr="00A42549">
        <w:rPr>
          <w:sz w:val="22"/>
          <w:szCs w:val="22"/>
        </w:rPr>
        <w:t xml:space="preserve"> Berrigan, </w:t>
      </w:r>
      <w:r w:rsidRPr="00A42549">
        <w:rPr>
          <w:i/>
          <w:sz w:val="22"/>
          <w:szCs w:val="22"/>
        </w:rPr>
        <w:t>Daniel</w:t>
      </w:r>
      <w:r w:rsidRPr="00A42549">
        <w:rPr>
          <w:sz w:val="22"/>
          <w:szCs w:val="22"/>
        </w:rPr>
        <w:t>, 4.</w:t>
      </w:r>
    </w:p>
  </w:footnote>
  <w:footnote w:id="34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the note.</w:t>
      </w:r>
    </w:p>
  </w:footnote>
  <w:footnote w:id="34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Koch, “Die Weltreiche im Danielbuche,” 830.</w:t>
      </w:r>
    </w:p>
  </w:footnote>
  <w:footnote w:id="34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Newsom, </w:t>
      </w:r>
      <w:r w:rsidRPr="00A42549">
        <w:rPr>
          <w:i/>
          <w:sz w:val="22"/>
          <w:szCs w:val="22"/>
        </w:rPr>
        <w:t>Daniel</w:t>
      </w:r>
      <w:r w:rsidRPr="00A42549">
        <w:rPr>
          <w:sz w:val="22"/>
          <w:szCs w:val="22"/>
        </w:rPr>
        <w:t>, 47.</w:t>
      </w:r>
    </w:p>
  </w:footnote>
  <w:footnote w:id="348">
    <w:p w:rsidR="00786194" w:rsidRPr="00A42549" w:rsidRDefault="00786194" w:rsidP="003457E5">
      <w:pPr>
        <w:pStyle w:val="FootnoteText"/>
        <w:rPr>
          <w:sz w:val="22"/>
          <w:szCs w:val="22"/>
        </w:rPr>
      </w:pPr>
      <w:r w:rsidRPr="00A42549">
        <w:rPr>
          <w:rStyle w:val="FootnoteReference"/>
          <w:sz w:val="22"/>
          <w:szCs w:val="22"/>
        </w:rPr>
        <w:footnoteRef/>
      </w:r>
      <w:r w:rsidRPr="00A42549">
        <w:rPr>
          <w:sz w:val="22"/>
          <w:szCs w:val="22"/>
        </w:rPr>
        <w:t xml:space="preserve"> Cf. Hebbard, </w:t>
      </w:r>
      <w:r w:rsidRPr="00A42549">
        <w:rPr>
          <w:i/>
          <w:sz w:val="22"/>
          <w:szCs w:val="22"/>
        </w:rPr>
        <w:t>Reading Daniel</w:t>
      </w:r>
      <w:r w:rsidRPr="00A42549">
        <w:rPr>
          <w:sz w:val="22"/>
          <w:szCs w:val="22"/>
        </w:rPr>
        <w:t>, 61.</w:t>
      </w:r>
    </w:p>
  </w:footnote>
  <w:footnote w:id="349">
    <w:p w:rsidR="00786194" w:rsidRPr="00A42549" w:rsidRDefault="00786194" w:rsidP="00EE3870">
      <w:pPr>
        <w:pStyle w:val="FootnoteText"/>
        <w:rPr>
          <w:sz w:val="22"/>
          <w:szCs w:val="22"/>
        </w:rPr>
      </w:pPr>
      <w:r w:rsidRPr="00A42549">
        <w:rPr>
          <w:rStyle w:val="FootnoteReference"/>
          <w:sz w:val="22"/>
          <w:szCs w:val="22"/>
        </w:rPr>
        <w:footnoteRef/>
      </w:r>
      <w:r w:rsidRPr="00A42549">
        <w:rPr>
          <w:sz w:val="22"/>
          <w:szCs w:val="22"/>
        </w:rPr>
        <w:t xml:space="preserve"> Chia, “On Naming the Subject,” 175.</w:t>
      </w:r>
    </w:p>
  </w:footnote>
  <w:footnote w:id="350">
    <w:p w:rsidR="00786194" w:rsidRPr="00A42549" w:rsidRDefault="00786194" w:rsidP="00A674CF">
      <w:pPr>
        <w:pStyle w:val="FootnoteText"/>
        <w:rPr>
          <w:sz w:val="22"/>
          <w:szCs w:val="22"/>
        </w:rPr>
      </w:pPr>
      <w:r w:rsidRPr="00A42549">
        <w:rPr>
          <w:rStyle w:val="FootnoteReference"/>
          <w:sz w:val="22"/>
          <w:szCs w:val="22"/>
        </w:rPr>
        <w:footnoteRef/>
      </w:r>
      <w:r w:rsidRPr="00A42549">
        <w:rPr>
          <w:sz w:val="22"/>
          <w:szCs w:val="22"/>
        </w:rPr>
        <w:t xml:space="preserve"> </w:t>
      </w:r>
      <w:r w:rsidRPr="00A42549">
        <w:rPr>
          <w:bCs/>
          <w:sz w:val="22"/>
          <w:szCs w:val="22"/>
        </w:rPr>
        <w:t>Sang Tin Uk</w:t>
      </w:r>
      <w:r w:rsidRPr="00A42549">
        <w:rPr>
          <w:b/>
          <w:bCs/>
          <w:sz w:val="22"/>
          <w:szCs w:val="22"/>
        </w:rPr>
        <w:t xml:space="preserve">, </w:t>
      </w:r>
      <w:r w:rsidRPr="00A42549">
        <w:rPr>
          <w:bCs/>
          <w:sz w:val="22"/>
          <w:szCs w:val="22"/>
        </w:rPr>
        <w:t>“Daniel,” 37-38.</w:t>
      </w:r>
    </w:p>
  </w:footnote>
  <w:footnote w:id="351">
    <w:p w:rsidR="00786194" w:rsidRPr="00A42549" w:rsidRDefault="00786194" w:rsidP="00512535">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25.</w:t>
      </w:r>
    </w:p>
  </w:footnote>
  <w:footnote w:id="35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Seow, </w:t>
      </w:r>
      <w:r w:rsidRPr="00A42549">
        <w:rPr>
          <w:i/>
          <w:sz w:val="22"/>
          <w:szCs w:val="22"/>
        </w:rPr>
        <w:t>Daniel</w:t>
      </w:r>
      <w:r w:rsidRPr="00A42549">
        <w:rPr>
          <w:sz w:val="22"/>
          <w:szCs w:val="22"/>
        </w:rPr>
        <w:t>, 23.</w:t>
      </w:r>
    </w:p>
  </w:footnote>
  <w:footnote w:id="35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Kirkpatrick, </w:t>
      </w:r>
      <w:r w:rsidRPr="00A42549">
        <w:rPr>
          <w:i/>
          <w:sz w:val="22"/>
          <w:szCs w:val="22"/>
        </w:rPr>
        <w:t>Competing for Honor</w:t>
      </w:r>
      <w:r w:rsidRPr="00A42549">
        <w:rPr>
          <w:sz w:val="22"/>
          <w:szCs w:val="22"/>
        </w:rPr>
        <w:t>, 41.</w:t>
      </w:r>
    </w:p>
  </w:footnote>
  <w:footnote w:id="354">
    <w:p w:rsidR="00786194" w:rsidRPr="00A42549" w:rsidRDefault="00786194" w:rsidP="00233AAF">
      <w:pPr>
        <w:pStyle w:val="FootnoteText"/>
        <w:rPr>
          <w:sz w:val="22"/>
          <w:szCs w:val="22"/>
        </w:rPr>
      </w:pPr>
      <w:r w:rsidRPr="00A42549">
        <w:rPr>
          <w:rStyle w:val="FootnoteReference"/>
          <w:sz w:val="22"/>
          <w:szCs w:val="22"/>
        </w:rPr>
        <w:footnoteRef/>
      </w:r>
      <w:r w:rsidRPr="00A42549">
        <w:rPr>
          <w:sz w:val="22"/>
          <w:szCs w:val="22"/>
        </w:rPr>
        <w:t xml:space="preserve"> Alomía, </w:t>
      </w:r>
      <w:r w:rsidRPr="00A42549">
        <w:rPr>
          <w:i/>
          <w:sz w:val="22"/>
          <w:szCs w:val="22"/>
        </w:rPr>
        <w:t xml:space="preserve">Daniel </w:t>
      </w:r>
      <w:r w:rsidRPr="00A42549">
        <w:rPr>
          <w:sz w:val="22"/>
          <w:szCs w:val="22"/>
        </w:rPr>
        <w:t xml:space="preserve">2:21: nicely though misleadingly, the Spanish is </w:t>
      </w:r>
      <w:r w:rsidRPr="00A42549">
        <w:rPr>
          <w:bCs/>
          <w:sz w:val="22"/>
          <w:szCs w:val="22"/>
        </w:rPr>
        <w:t>bagaje cultural.</w:t>
      </w:r>
    </w:p>
  </w:footnote>
  <w:footnote w:id="35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Hippolytus, </w:t>
      </w:r>
      <w:r w:rsidRPr="00A42549">
        <w:rPr>
          <w:i/>
          <w:sz w:val="22"/>
          <w:szCs w:val="22"/>
        </w:rPr>
        <w:t>Daniel</w:t>
      </w:r>
      <w:r w:rsidRPr="00A42549">
        <w:rPr>
          <w:sz w:val="22"/>
          <w:szCs w:val="22"/>
        </w:rPr>
        <w:t xml:space="preserve"> 1.9</w:t>
      </w:r>
    </w:p>
  </w:footnote>
  <w:footnote w:id="35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his </w:t>
      </w:r>
      <w:r w:rsidRPr="00A42549">
        <w:rPr>
          <w:i/>
          <w:sz w:val="22"/>
          <w:szCs w:val="22"/>
        </w:rPr>
        <w:t>Christ and Culture</w:t>
      </w:r>
      <w:r w:rsidRPr="00A42549">
        <w:rPr>
          <w:sz w:val="22"/>
          <w:szCs w:val="22"/>
        </w:rPr>
        <w:t>.</w:t>
      </w:r>
    </w:p>
  </w:footnote>
  <w:footnote w:id="35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Pace, </w:t>
      </w:r>
      <w:r w:rsidRPr="00A42549">
        <w:rPr>
          <w:i/>
          <w:sz w:val="22"/>
          <w:szCs w:val="22"/>
        </w:rPr>
        <w:t>Daniel</w:t>
      </w:r>
      <w:r w:rsidRPr="00A42549">
        <w:rPr>
          <w:sz w:val="22"/>
          <w:szCs w:val="22"/>
        </w:rPr>
        <w:t>, 28.</w:t>
      </w:r>
    </w:p>
  </w:footnote>
  <w:footnote w:id="35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Plöger, </w:t>
      </w:r>
      <w:r w:rsidRPr="00A42549">
        <w:rPr>
          <w:i/>
          <w:sz w:val="22"/>
          <w:szCs w:val="22"/>
        </w:rPr>
        <w:t>Daniel</w:t>
      </w:r>
      <w:r w:rsidRPr="00A42549">
        <w:rPr>
          <w:sz w:val="22"/>
          <w:szCs w:val="22"/>
        </w:rPr>
        <w:t>, on the passage.</w:t>
      </w:r>
    </w:p>
  </w:footnote>
  <w:footnote w:id="359">
    <w:p w:rsidR="00786194" w:rsidRPr="00A42549" w:rsidRDefault="00786194" w:rsidP="001C5DAE">
      <w:pPr>
        <w:pStyle w:val="FootnoteText"/>
        <w:rPr>
          <w:sz w:val="22"/>
          <w:szCs w:val="22"/>
        </w:rPr>
      </w:pPr>
      <w:r w:rsidRPr="00A42549">
        <w:rPr>
          <w:rStyle w:val="FootnoteReference"/>
          <w:sz w:val="22"/>
          <w:szCs w:val="22"/>
        </w:rPr>
        <w:footnoteRef/>
      </w:r>
      <w:r w:rsidRPr="00A42549">
        <w:rPr>
          <w:sz w:val="22"/>
          <w:szCs w:val="22"/>
        </w:rPr>
        <w:t xml:space="preserve"> Pace, </w:t>
      </w:r>
      <w:r w:rsidRPr="00A42549">
        <w:rPr>
          <w:i/>
          <w:sz w:val="22"/>
          <w:szCs w:val="22"/>
        </w:rPr>
        <w:t>Daniel</w:t>
      </w:r>
      <w:r w:rsidRPr="00A42549">
        <w:rPr>
          <w:sz w:val="22"/>
          <w:szCs w:val="22"/>
        </w:rPr>
        <w:t>, 42.</w:t>
      </w:r>
    </w:p>
  </w:footnote>
  <w:footnote w:id="36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Berrigan, </w:t>
      </w:r>
      <w:r w:rsidRPr="00A42549">
        <w:rPr>
          <w:i/>
          <w:sz w:val="22"/>
          <w:szCs w:val="22"/>
        </w:rPr>
        <w:t>Daniel</w:t>
      </w:r>
      <w:r w:rsidRPr="00A42549">
        <w:rPr>
          <w:sz w:val="22"/>
          <w:szCs w:val="22"/>
        </w:rPr>
        <w:t>, 9.</w:t>
      </w:r>
    </w:p>
  </w:footnote>
  <w:footnote w:id="3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Towner, </w:t>
      </w:r>
      <w:r w:rsidRPr="00A42549">
        <w:rPr>
          <w:i/>
          <w:sz w:val="22"/>
          <w:szCs w:val="22"/>
        </w:rPr>
        <w:t>Daniel</w:t>
      </w:r>
      <w:r w:rsidRPr="00A42549">
        <w:rPr>
          <w:sz w:val="22"/>
          <w:szCs w:val="22"/>
        </w:rPr>
        <w:t>, 23, 28.</w:t>
      </w:r>
    </w:p>
  </w:footnote>
  <w:footnote w:id="362">
    <w:p w:rsidR="00786194" w:rsidRPr="00A42549" w:rsidRDefault="00786194" w:rsidP="00A674CF">
      <w:pPr>
        <w:pStyle w:val="FootnoteText"/>
        <w:rPr>
          <w:sz w:val="22"/>
          <w:szCs w:val="22"/>
        </w:rPr>
      </w:pPr>
      <w:r w:rsidRPr="00A42549">
        <w:rPr>
          <w:rStyle w:val="FootnoteReference"/>
          <w:sz w:val="22"/>
          <w:szCs w:val="22"/>
        </w:rPr>
        <w:footnoteRef/>
      </w:r>
      <w:r w:rsidRPr="00A42549">
        <w:rPr>
          <w:sz w:val="22"/>
          <w:szCs w:val="22"/>
        </w:rPr>
        <w:t xml:space="preserve"> Cf. Lucas, </w:t>
      </w:r>
      <w:r w:rsidRPr="00A42549">
        <w:rPr>
          <w:i/>
          <w:sz w:val="22"/>
          <w:szCs w:val="22"/>
        </w:rPr>
        <w:t>Daniel</w:t>
      </w:r>
      <w:r w:rsidRPr="00A42549">
        <w:rPr>
          <w:sz w:val="22"/>
          <w:szCs w:val="22"/>
        </w:rPr>
        <w:t>, 57.</w:t>
      </w:r>
    </w:p>
  </w:footnote>
  <w:footnote w:id="363">
    <w:p w:rsidR="00786194" w:rsidRPr="00A42549" w:rsidRDefault="00786194" w:rsidP="005916FC">
      <w:pPr>
        <w:pStyle w:val="FootnoteText"/>
        <w:rPr>
          <w:sz w:val="22"/>
          <w:szCs w:val="22"/>
        </w:rPr>
      </w:pPr>
      <w:r w:rsidRPr="00A42549">
        <w:rPr>
          <w:rStyle w:val="FootnoteReference"/>
          <w:sz w:val="22"/>
          <w:szCs w:val="22"/>
        </w:rPr>
        <w:footnoteRef/>
      </w:r>
      <w:r w:rsidRPr="00A42549">
        <w:rPr>
          <w:sz w:val="22"/>
          <w:szCs w:val="22"/>
        </w:rPr>
        <w:t xml:space="preserve"> Sumner, “Daniel,” 125.</w:t>
      </w:r>
    </w:p>
  </w:footnote>
  <w:footnote w:id="364">
    <w:p w:rsidR="00786194" w:rsidRPr="00A42549" w:rsidRDefault="00786194" w:rsidP="00FA3BDB">
      <w:pPr>
        <w:pStyle w:val="FootnoteText"/>
        <w:rPr>
          <w:sz w:val="22"/>
          <w:szCs w:val="22"/>
        </w:rPr>
      </w:pPr>
      <w:r w:rsidRPr="00A42549">
        <w:rPr>
          <w:rStyle w:val="FootnoteReference"/>
          <w:sz w:val="22"/>
          <w:szCs w:val="22"/>
        </w:rPr>
        <w:footnoteRef/>
      </w:r>
      <w:r w:rsidRPr="00A42549">
        <w:rPr>
          <w:sz w:val="22"/>
          <w:szCs w:val="22"/>
        </w:rPr>
        <w:t xml:space="preserve"> Collins (</w:t>
      </w:r>
      <w:r w:rsidRPr="00A42549">
        <w:rPr>
          <w:i/>
          <w:sz w:val="22"/>
          <w:szCs w:val="22"/>
        </w:rPr>
        <w:t>Daniel</w:t>
      </w:r>
      <w:r w:rsidRPr="00A42549">
        <w:rPr>
          <w:sz w:val="22"/>
          <w:szCs w:val="22"/>
        </w:rPr>
        <w:t xml:space="preserve">, 146) thus refers to Douglas, </w:t>
      </w:r>
      <w:r w:rsidRPr="00A42549">
        <w:rPr>
          <w:i/>
          <w:sz w:val="22"/>
          <w:szCs w:val="22"/>
        </w:rPr>
        <w:t>Purity and Danger</w:t>
      </w:r>
      <w:r w:rsidRPr="00A42549">
        <w:rPr>
          <w:sz w:val="22"/>
          <w:szCs w:val="22"/>
        </w:rPr>
        <w:t>.</w:t>
      </w:r>
    </w:p>
  </w:footnote>
  <w:footnote w:id="36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Meadowcroft, “‘</w:t>
      </w:r>
      <w:r w:rsidRPr="00A42549">
        <w:rPr>
          <w:rFonts w:eastAsiaTheme="minorHAnsi" w:cs="Brill-Bold"/>
          <w:bCs/>
          <w:sz w:val="22"/>
          <w:szCs w:val="22"/>
        </w:rPr>
        <w:t>Belteshazzar, Chief of the Magicians.’”</w:t>
      </w:r>
    </w:p>
  </w:footnote>
  <w:footnote w:id="36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t>
      </w:r>
      <w:r w:rsidRPr="00A42549">
        <w:rPr>
          <w:iCs/>
          <w:sz w:val="22"/>
          <w:szCs w:val="22"/>
        </w:rPr>
        <w:t>Michael</w:t>
      </w:r>
      <w:r w:rsidRPr="00A42549">
        <w:rPr>
          <w:b/>
          <w:iCs/>
          <w:sz w:val="22"/>
          <w:szCs w:val="22"/>
        </w:rPr>
        <w:t>, “</w:t>
      </w:r>
      <w:r w:rsidRPr="00A42549">
        <w:rPr>
          <w:bCs/>
          <w:sz w:val="22"/>
          <w:szCs w:val="22"/>
        </w:rPr>
        <w:t>Daniel at the Beauty Pageant and Esther in the Lion’s Den.”</w:t>
      </w:r>
    </w:p>
  </w:footnote>
  <w:footnote w:id="36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Porteous, </w:t>
      </w:r>
      <w:r w:rsidRPr="00A42549">
        <w:rPr>
          <w:i/>
          <w:sz w:val="22"/>
          <w:szCs w:val="22"/>
        </w:rPr>
        <w:t>Daniel</w:t>
      </w:r>
      <w:r w:rsidRPr="00A42549">
        <w:rPr>
          <w:sz w:val="22"/>
          <w:szCs w:val="22"/>
        </w:rPr>
        <w:t>,</w:t>
      </w:r>
      <w:r w:rsidRPr="00A42549">
        <w:rPr>
          <w:i/>
          <w:sz w:val="22"/>
          <w:szCs w:val="22"/>
        </w:rPr>
        <w:t xml:space="preserve"> </w:t>
      </w:r>
      <w:r w:rsidRPr="00A42549">
        <w:rPr>
          <w:sz w:val="22"/>
          <w:szCs w:val="22"/>
        </w:rPr>
        <w:t>on the passage.</w:t>
      </w:r>
    </w:p>
  </w:footnote>
  <w:footnote w:id="36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Novak, “Abandoned in a Toxic Culture”; cf. Longman, </w:t>
      </w:r>
      <w:r w:rsidRPr="00A42549">
        <w:rPr>
          <w:i/>
          <w:sz w:val="22"/>
          <w:szCs w:val="22"/>
        </w:rPr>
        <w:t>Daniel</w:t>
      </w:r>
      <w:r w:rsidRPr="00A42549">
        <w:rPr>
          <w:sz w:val="22"/>
          <w:szCs w:val="22"/>
        </w:rPr>
        <w:t>, 62.</w:t>
      </w:r>
    </w:p>
  </w:footnote>
  <w:footnote w:id="369">
    <w:p w:rsidR="00786194" w:rsidRPr="00A42549" w:rsidRDefault="00786194" w:rsidP="001C5DAE">
      <w:pPr>
        <w:pStyle w:val="FootnoteText"/>
        <w:rPr>
          <w:sz w:val="22"/>
          <w:szCs w:val="22"/>
        </w:rPr>
      </w:pPr>
      <w:r w:rsidRPr="00A42549">
        <w:rPr>
          <w:rStyle w:val="FootnoteReference"/>
          <w:sz w:val="22"/>
          <w:szCs w:val="22"/>
        </w:rPr>
        <w:footnoteRef/>
      </w:r>
      <w:r w:rsidRPr="00A42549">
        <w:rPr>
          <w:sz w:val="22"/>
          <w:szCs w:val="22"/>
        </w:rPr>
        <w:t xml:space="preserve"> </w:t>
      </w:r>
      <w:r w:rsidRPr="00A42549">
        <w:rPr>
          <w:bCs/>
          <w:sz w:val="22"/>
          <w:szCs w:val="22"/>
        </w:rPr>
        <w:t>Horsley</w:t>
      </w:r>
      <w:r w:rsidRPr="00A42549">
        <w:rPr>
          <w:b/>
          <w:bCs/>
          <w:sz w:val="22"/>
          <w:szCs w:val="22"/>
        </w:rPr>
        <w:t xml:space="preserve">, </w:t>
      </w:r>
      <w:r w:rsidRPr="00A42549">
        <w:rPr>
          <w:bCs/>
          <w:i/>
          <w:sz w:val="22"/>
          <w:szCs w:val="22"/>
        </w:rPr>
        <w:t>Scribes, Visionaries, and the Politics of Second Temple Judea</w:t>
      </w:r>
      <w:r w:rsidRPr="00A42549">
        <w:rPr>
          <w:bCs/>
          <w:sz w:val="22"/>
          <w:szCs w:val="22"/>
        </w:rPr>
        <w:t>, 173 (though “all about” is an exaggeration).</w:t>
      </w:r>
    </w:p>
  </w:footnote>
  <w:footnote w:id="370">
    <w:p w:rsidR="00786194" w:rsidRPr="00A42549" w:rsidRDefault="00786194" w:rsidP="00AD298A">
      <w:pPr>
        <w:pStyle w:val="FootnoteText"/>
        <w:rPr>
          <w:i/>
          <w:sz w:val="22"/>
          <w:szCs w:val="22"/>
        </w:rPr>
      </w:pPr>
      <w:r w:rsidRPr="00A42549">
        <w:rPr>
          <w:rStyle w:val="FootnoteReference"/>
          <w:sz w:val="22"/>
          <w:szCs w:val="22"/>
        </w:rPr>
        <w:footnoteRef/>
      </w:r>
      <w:r w:rsidRPr="00A42549">
        <w:rPr>
          <w:sz w:val="22"/>
          <w:szCs w:val="22"/>
        </w:rPr>
        <w:t xml:space="preserve"> Smith-Christopher, “Daniel</w:t>
      </w:r>
      <w:r w:rsidRPr="00A42549">
        <w:rPr>
          <w:i/>
          <w:sz w:val="22"/>
          <w:szCs w:val="22"/>
        </w:rPr>
        <w:t>,” 45.</w:t>
      </w:r>
    </w:p>
  </w:footnote>
  <w:footnote w:id="371">
    <w:p w:rsidR="00786194" w:rsidRPr="00A42549" w:rsidRDefault="00786194" w:rsidP="00AD298A">
      <w:pPr>
        <w:pStyle w:val="FootnoteText"/>
        <w:rPr>
          <w:sz w:val="22"/>
          <w:szCs w:val="22"/>
        </w:rPr>
      </w:pPr>
      <w:r w:rsidRPr="00A42549">
        <w:rPr>
          <w:rStyle w:val="FootnoteReference"/>
          <w:sz w:val="22"/>
          <w:szCs w:val="22"/>
        </w:rPr>
        <w:footnoteRef/>
      </w:r>
      <w:r w:rsidRPr="00A42549">
        <w:rPr>
          <w:sz w:val="22"/>
          <w:szCs w:val="22"/>
        </w:rPr>
        <w:t xml:space="preserve"> Valeta, “Polyglossia and Parody,” 100.</w:t>
      </w:r>
    </w:p>
  </w:footnote>
  <w:footnote w:id="37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 1—</w:t>
      </w:r>
      <w:r w:rsidRPr="00A42549">
        <w:rPr>
          <w:sz w:val="22"/>
          <w:szCs w:val="22"/>
        </w:rPr>
        <w:t>6, 34-35.</w:t>
      </w:r>
    </w:p>
  </w:footnote>
  <w:footnote w:id="373">
    <w:p w:rsidR="00786194" w:rsidRPr="00A42549" w:rsidRDefault="00786194" w:rsidP="00A674CF">
      <w:pPr>
        <w:pStyle w:val="FootnoteText"/>
        <w:rPr>
          <w:sz w:val="22"/>
          <w:szCs w:val="22"/>
        </w:rPr>
      </w:pPr>
      <w:r w:rsidRPr="00A42549">
        <w:rPr>
          <w:rStyle w:val="FootnoteReference"/>
          <w:sz w:val="22"/>
          <w:szCs w:val="22"/>
        </w:rPr>
        <w:footnoteRef/>
      </w:r>
      <w:r w:rsidRPr="00A42549">
        <w:rPr>
          <w:sz w:val="22"/>
          <w:szCs w:val="22"/>
        </w:rPr>
        <w:t xml:space="preserve"> Chia, On Naming the Subject,” 179.</w:t>
      </w:r>
    </w:p>
  </w:footnote>
  <w:footnote w:id="37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19.</w:t>
      </w:r>
    </w:p>
  </w:footnote>
  <w:footnote w:id="37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Jerome, </w:t>
      </w:r>
      <w:r w:rsidRPr="00A42549">
        <w:rPr>
          <w:i/>
          <w:sz w:val="22"/>
          <w:szCs w:val="22"/>
        </w:rPr>
        <w:t xml:space="preserve">Daniel, </w:t>
      </w:r>
      <w:r w:rsidRPr="00A42549">
        <w:rPr>
          <w:sz w:val="22"/>
          <w:szCs w:val="22"/>
        </w:rPr>
        <w:t xml:space="preserve">22; contrast Calvin, </w:t>
      </w:r>
      <w:r w:rsidRPr="00A42549">
        <w:rPr>
          <w:i/>
          <w:sz w:val="22"/>
          <w:szCs w:val="22"/>
        </w:rPr>
        <w:t>Daniel 1—6</w:t>
      </w:r>
      <w:r w:rsidRPr="00A42549">
        <w:rPr>
          <w:sz w:val="22"/>
          <w:szCs w:val="22"/>
        </w:rPr>
        <w:t>, 37.</w:t>
      </w:r>
    </w:p>
  </w:footnote>
  <w:footnote w:id="37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Hippolytus, </w:t>
      </w:r>
      <w:r w:rsidRPr="00A42549">
        <w:rPr>
          <w:i/>
          <w:sz w:val="22"/>
          <w:szCs w:val="22"/>
        </w:rPr>
        <w:t>Daniel</w:t>
      </w:r>
      <w:r w:rsidRPr="00A42549">
        <w:rPr>
          <w:sz w:val="22"/>
          <w:szCs w:val="22"/>
        </w:rPr>
        <w:t xml:space="preserve"> 1.10.</w:t>
      </w:r>
    </w:p>
  </w:footnote>
  <w:footnote w:id="37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40.</w:t>
      </w:r>
    </w:p>
  </w:footnote>
  <w:footnote w:id="37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Lebram, “Nachbiblische Weisheitstraditionen,” 234–37</w:t>
      </w:r>
    </w:p>
  </w:footnote>
  <w:footnote w:id="37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Joubert, </w:t>
      </w:r>
      <w:r w:rsidRPr="00A42549">
        <w:rPr>
          <w:i/>
          <w:sz w:val="22"/>
          <w:szCs w:val="22"/>
        </w:rPr>
        <w:t>Power and Responsibility in the Book of Daniel</w:t>
      </w:r>
      <w:r w:rsidRPr="00A42549">
        <w:rPr>
          <w:sz w:val="22"/>
          <w:szCs w:val="22"/>
        </w:rPr>
        <w:t>, on the chapter.</w:t>
      </w:r>
    </w:p>
  </w:footnote>
  <w:footnote w:id="38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Lüthi, </w:t>
      </w:r>
      <w:r w:rsidRPr="00A42549">
        <w:rPr>
          <w:i/>
          <w:sz w:val="22"/>
          <w:szCs w:val="22"/>
        </w:rPr>
        <w:t>The Church to Come</w:t>
      </w:r>
      <w:r w:rsidRPr="00A42549">
        <w:rPr>
          <w:sz w:val="22"/>
          <w:szCs w:val="22"/>
        </w:rPr>
        <w:t>,</w:t>
      </w:r>
      <w:r w:rsidRPr="00A42549">
        <w:rPr>
          <w:i/>
          <w:sz w:val="22"/>
          <w:szCs w:val="22"/>
        </w:rPr>
        <w:t xml:space="preserve"> </w:t>
      </w:r>
      <w:r w:rsidRPr="00A42549">
        <w:rPr>
          <w:sz w:val="22"/>
          <w:szCs w:val="22"/>
        </w:rPr>
        <w:t>24.</w:t>
      </w:r>
    </w:p>
  </w:footnote>
  <w:footnote w:id="38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Seow, “The Rule of God in the Book of Daniel,” 220.</w:t>
      </w:r>
    </w:p>
  </w:footnote>
  <w:footnote w:id="38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Boehmer, </w:t>
      </w:r>
      <w:r w:rsidRPr="00A42549">
        <w:rPr>
          <w:i/>
          <w:sz w:val="22"/>
          <w:szCs w:val="22"/>
        </w:rPr>
        <w:t>Reich Gottes und Menschensohn im Buch Daniel,</w:t>
      </w:r>
      <w:r w:rsidRPr="00A42549">
        <w:rPr>
          <w:sz w:val="22"/>
          <w:szCs w:val="22"/>
        </w:rPr>
        <w:t xml:space="preserve"> 62–63.</w:t>
      </w:r>
    </w:p>
  </w:footnote>
  <w:footnote w:id="38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bCs/>
          <w:sz w:val="22"/>
          <w:szCs w:val="22"/>
        </w:rPr>
        <w:t>Reid</w:t>
      </w:r>
      <w:r w:rsidRPr="00A42549">
        <w:rPr>
          <w:b/>
          <w:bCs/>
          <w:sz w:val="22"/>
          <w:szCs w:val="22"/>
        </w:rPr>
        <w:t xml:space="preserve"> </w:t>
      </w:r>
      <w:r w:rsidRPr="00A42549">
        <w:rPr>
          <w:bCs/>
          <w:sz w:val="22"/>
          <w:szCs w:val="22"/>
        </w:rPr>
        <w:t>(“The Theology of the Book of Daniel and the Political Theory of W. E. B. DuBois”) compares DuBois’s stress on the leadership role of “the ‘talented tenth’ of the Negro race.</w:t>
      </w:r>
    </w:p>
  </w:footnote>
  <w:footnote w:id="384">
    <w:p w:rsidR="00786194" w:rsidRPr="00A42549" w:rsidRDefault="00786194" w:rsidP="00AD298A">
      <w:pPr>
        <w:pStyle w:val="FootnoteText"/>
        <w:rPr>
          <w:sz w:val="22"/>
          <w:szCs w:val="22"/>
        </w:rPr>
      </w:pPr>
      <w:r w:rsidRPr="00A42549">
        <w:rPr>
          <w:rStyle w:val="FootnoteReference"/>
          <w:sz w:val="22"/>
          <w:szCs w:val="22"/>
        </w:rPr>
        <w:footnoteRef/>
      </w:r>
      <w:r w:rsidRPr="00A42549">
        <w:rPr>
          <w:sz w:val="22"/>
          <w:szCs w:val="22"/>
        </w:rPr>
        <w:t xml:space="preserve"> Smith-Christopher, “Daniel,” 44.</w:t>
      </w:r>
    </w:p>
  </w:footnote>
  <w:footnote w:id="38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Theodoret, </w:t>
      </w:r>
      <w:r w:rsidRPr="00A42549">
        <w:rPr>
          <w:i/>
          <w:sz w:val="22"/>
          <w:szCs w:val="22"/>
        </w:rPr>
        <w:t>Daniel</w:t>
      </w:r>
      <w:r w:rsidRPr="00A42549">
        <w:rPr>
          <w:sz w:val="22"/>
          <w:szCs w:val="22"/>
        </w:rPr>
        <w:t>, 32-33.</w:t>
      </w:r>
    </w:p>
  </w:footnote>
  <w:footnote w:id="38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Gnuse (““From Prison to Prestige”). adds Herodotus.</w:t>
      </w:r>
    </w:p>
  </w:footnote>
  <w:footnote w:id="38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Redford, </w:t>
      </w:r>
      <w:r w:rsidRPr="00A42549">
        <w:rPr>
          <w:i/>
          <w:sz w:val="22"/>
          <w:szCs w:val="22"/>
        </w:rPr>
        <w:t>Study of the Biblical Story of Joseph</w:t>
      </w:r>
      <w:r w:rsidRPr="00A42549">
        <w:rPr>
          <w:sz w:val="22"/>
          <w:szCs w:val="22"/>
        </w:rPr>
        <w:t>, 94–97; Humphreys, “Life-style for Diaspora”; Niditch/Doran, “The Success Story of the Wise Courtier.”</w:t>
      </w:r>
    </w:p>
  </w:footnote>
  <w:footnote w:id="38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Nel, “Daniël 2 as Satire.”</w:t>
      </w:r>
    </w:p>
  </w:footnote>
  <w:footnote w:id="38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Humphreys, “Life-style for Diaspora,” 221.</w:t>
      </w:r>
    </w:p>
  </w:footnote>
  <w:footnote w:id="39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Ehrlich, </w:t>
      </w:r>
      <w:r w:rsidRPr="00A42549">
        <w:rPr>
          <w:i/>
          <w:sz w:val="22"/>
          <w:szCs w:val="22"/>
        </w:rPr>
        <w:t>Der Traum im AT</w:t>
      </w:r>
      <w:r w:rsidRPr="00A42549">
        <w:rPr>
          <w:sz w:val="22"/>
          <w:szCs w:val="22"/>
        </w:rPr>
        <w:t>, 112</w:t>
      </w:r>
    </w:p>
  </w:footnote>
  <w:footnote w:id="39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Hengel, </w:t>
      </w:r>
      <w:r w:rsidRPr="00A42549">
        <w:rPr>
          <w:i/>
          <w:sz w:val="22"/>
          <w:szCs w:val="22"/>
        </w:rPr>
        <w:t>Judentum und Hellenismus</w:t>
      </w:r>
      <w:r w:rsidRPr="00A42549">
        <w:rPr>
          <w:sz w:val="22"/>
          <w:szCs w:val="22"/>
        </w:rPr>
        <w:t>, 205–6 [ET 1:111–12]; cf. Berger, “Hellenistische Gattungen im NT,” 1210–31 and references.</w:t>
      </w:r>
    </w:p>
  </w:footnote>
  <w:footnote w:id="39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Davies, </w:t>
      </w:r>
      <w:r w:rsidRPr="00A42549">
        <w:rPr>
          <w:i/>
          <w:sz w:val="22"/>
          <w:szCs w:val="22"/>
        </w:rPr>
        <w:t>Daniel</w:t>
      </w:r>
      <w:r w:rsidRPr="00A42549">
        <w:rPr>
          <w:sz w:val="22"/>
          <w:szCs w:val="22"/>
        </w:rPr>
        <w:t>,</w:t>
      </w:r>
      <w:r w:rsidRPr="00A42549">
        <w:rPr>
          <w:i/>
          <w:sz w:val="22"/>
          <w:szCs w:val="22"/>
        </w:rPr>
        <w:t xml:space="preserve"> </w:t>
      </w:r>
      <w:r w:rsidRPr="00A42549">
        <w:rPr>
          <w:sz w:val="22"/>
          <w:szCs w:val="22"/>
        </w:rPr>
        <w:t>52.</w:t>
      </w:r>
    </w:p>
  </w:footnote>
  <w:footnote w:id="393">
    <w:p w:rsidR="00786194" w:rsidRPr="00A42549" w:rsidRDefault="00786194">
      <w:pPr>
        <w:pStyle w:val="FootnoteText"/>
        <w:rPr>
          <w:bCs/>
          <w:i/>
          <w:sz w:val="22"/>
          <w:szCs w:val="22"/>
        </w:rPr>
      </w:pPr>
      <w:r w:rsidRPr="00A42549">
        <w:rPr>
          <w:rStyle w:val="FootnoteReference"/>
          <w:sz w:val="22"/>
          <w:szCs w:val="22"/>
        </w:rPr>
        <w:footnoteRef/>
      </w:r>
      <w:r w:rsidRPr="00A42549">
        <w:rPr>
          <w:sz w:val="22"/>
          <w:szCs w:val="22"/>
        </w:rPr>
        <w:t xml:space="preserve"> So Farrar, </w:t>
      </w:r>
      <w:r w:rsidRPr="00A42549">
        <w:rPr>
          <w:i/>
          <w:sz w:val="22"/>
          <w:szCs w:val="22"/>
        </w:rPr>
        <w:t xml:space="preserve">Daniel, </w:t>
      </w:r>
      <w:r w:rsidRPr="00A42549">
        <w:rPr>
          <w:sz w:val="22"/>
          <w:szCs w:val="22"/>
        </w:rPr>
        <w:t xml:space="preserve">and Lacocque, </w:t>
      </w:r>
      <w:r w:rsidRPr="00A42549">
        <w:rPr>
          <w:i/>
          <w:sz w:val="22"/>
          <w:szCs w:val="22"/>
        </w:rPr>
        <w:t>Daniel</w:t>
      </w:r>
      <w:r w:rsidRPr="00A42549">
        <w:rPr>
          <w:sz w:val="22"/>
          <w:szCs w:val="22"/>
        </w:rPr>
        <w:t xml:space="preserve"> on the chapter. Wesselius sees a broader influence of the Joseph story on the book of Daniel (“Discontinuity, Congruance and the Making of the Hebrew Bible,” 67). But </w:t>
      </w:r>
      <w:r w:rsidRPr="00A42549">
        <w:rPr>
          <w:iCs/>
          <w:sz w:val="22"/>
          <w:szCs w:val="22"/>
        </w:rPr>
        <w:t>Labonté</w:t>
      </w:r>
      <w:r w:rsidRPr="00A42549">
        <w:rPr>
          <w:sz w:val="22"/>
          <w:szCs w:val="22"/>
        </w:rPr>
        <w:t xml:space="preserve"> (“Genèse 41 et Daniel 2”) argues that they come from the same period, and Koch (</w:t>
      </w:r>
      <w:r w:rsidRPr="00A42549">
        <w:rPr>
          <w:i/>
          <w:sz w:val="22"/>
          <w:szCs w:val="22"/>
        </w:rPr>
        <w:t>Daniel 1—4</w:t>
      </w:r>
      <w:r w:rsidRPr="00A42549">
        <w:rPr>
          <w:sz w:val="22"/>
          <w:szCs w:val="22"/>
        </w:rPr>
        <w:t>, 123) sees the designation “midrash” as involving an “inflationary” use of that idea.</w:t>
      </w:r>
    </w:p>
  </w:footnote>
  <w:footnote w:id="39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the parallels and contrasts with the Joseph story, see further on </w:t>
      </w:r>
      <w:r w:rsidRPr="00A42549">
        <w:rPr>
          <w:i/>
          <w:sz w:val="22"/>
          <w:szCs w:val="22"/>
        </w:rPr>
        <w:t>Structure</w:t>
      </w:r>
      <w:r w:rsidRPr="00A42549">
        <w:rPr>
          <w:sz w:val="22"/>
          <w:szCs w:val="22"/>
        </w:rPr>
        <w:t xml:space="preserve"> below.</w:t>
      </w:r>
    </w:p>
  </w:footnote>
  <w:footnote w:id="39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Barr, “Daniel,” on the passage; and Kim, </w:t>
      </w:r>
      <w:r w:rsidRPr="00A42549">
        <w:rPr>
          <w:rFonts w:eastAsiaTheme="minorHAnsi" w:cs="Times New Roman"/>
          <w:bCs/>
          <w:i/>
          <w:sz w:val="22"/>
          <w:szCs w:val="22"/>
        </w:rPr>
        <w:t>Biblical Interpretation in the Book of Daniel</w:t>
      </w:r>
      <w:r w:rsidRPr="00A42549">
        <w:rPr>
          <w:rFonts w:eastAsiaTheme="minorHAnsi" w:cs="Times New Roman"/>
          <w:bCs/>
          <w:sz w:val="22"/>
          <w:szCs w:val="22"/>
        </w:rPr>
        <w:t>, 77-89.</w:t>
      </w:r>
    </w:p>
  </w:footnote>
  <w:footnote w:id="39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Fröhlich</w:t>
      </w:r>
      <w:r w:rsidRPr="00A42549">
        <w:rPr>
          <w:b/>
          <w:sz w:val="22"/>
          <w:szCs w:val="22"/>
        </w:rPr>
        <w:t xml:space="preserve">, </w:t>
      </w:r>
      <w:r w:rsidRPr="00A42549">
        <w:rPr>
          <w:sz w:val="22"/>
          <w:szCs w:val="22"/>
        </w:rPr>
        <w:t>“Daniel 2 and Deutero-Isaiah.”</w:t>
      </w:r>
    </w:p>
  </w:footnote>
  <w:footnote w:id="39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Fröhlich</w:t>
      </w:r>
      <w:r w:rsidRPr="00A42549">
        <w:rPr>
          <w:b/>
          <w:sz w:val="22"/>
          <w:szCs w:val="22"/>
        </w:rPr>
        <w:t xml:space="preserve">, </w:t>
      </w:r>
      <w:r w:rsidRPr="00A42549">
        <w:rPr>
          <w:i/>
          <w:iCs/>
          <w:sz w:val="22"/>
          <w:szCs w:val="22"/>
        </w:rPr>
        <w:t xml:space="preserve">“Time and Times and Half a Time,” </w:t>
      </w:r>
      <w:r w:rsidRPr="00A42549">
        <w:rPr>
          <w:iCs/>
          <w:sz w:val="22"/>
          <w:szCs w:val="22"/>
        </w:rPr>
        <w:t>47 (Fröhlich dates an earlier form of Dan 2 in the time of Isa 40—55).</w:t>
      </w:r>
    </w:p>
  </w:footnote>
  <w:footnote w:id="39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Towner, “The Poetic Passages in Daniel 1–6,” 318–24; cf. Mowinckel, </w:t>
      </w:r>
      <w:r w:rsidRPr="00A42549">
        <w:rPr>
          <w:i/>
          <w:sz w:val="22"/>
          <w:szCs w:val="22"/>
        </w:rPr>
        <w:t>Psalms in Israel’s Worship</w:t>
      </w:r>
      <w:r w:rsidRPr="00A42549">
        <w:rPr>
          <w:sz w:val="22"/>
          <w:szCs w:val="22"/>
        </w:rPr>
        <w:t xml:space="preserve"> 2:104–25.</w:t>
      </w:r>
    </w:p>
  </w:footnote>
  <w:footnote w:id="399">
    <w:p w:rsidR="00786194" w:rsidRPr="00A42549" w:rsidRDefault="00786194" w:rsidP="00C61E0E">
      <w:pPr>
        <w:autoSpaceDE w:val="0"/>
        <w:autoSpaceDN w:val="0"/>
        <w:adjustRightInd w:val="0"/>
      </w:pPr>
      <w:r w:rsidRPr="00A42549">
        <w:rPr>
          <w:rStyle w:val="FootnoteReference"/>
        </w:rPr>
        <w:footnoteRef/>
      </w:r>
      <w:r w:rsidRPr="00A42549">
        <w:t xml:space="preserve"> Venter (“</w:t>
      </w:r>
      <w:r w:rsidRPr="00A42549">
        <w:rPr>
          <w:bCs/>
        </w:rPr>
        <w:t>The Function of Poetic Speech in the narrative in Daniel 2,” 1011) analyses the lines slightly differently, dividing the 4-stress cola</w:t>
      </w:r>
      <w:r w:rsidRPr="00A42549">
        <w:t>; Lee (</w:t>
      </w:r>
      <w:r w:rsidRPr="00A42549">
        <w:rPr>
          <w:i/>
        </w:rPr>
        <w:t>Aramaic Poetry in Qumran</w:t>
      </w:r>
      <w:r w:rsidRPr="00A42549">
        <w:t>, 70-84) takes three of the six lines as tricola.</w:t>
      </w:r>
    </w:p>
  </w:footnote>
  <w:footnote w:id="400">
    <w:p w:rsidR="00786194" w:rsidRPr="00A42549" w:rsidRDefault="00786194" w:rsidP="00C61E0E">
      <w:pPr>
        <w:pStyle w:val="FootnoteText"/>
        <w:rPr>
          <w:sz w:val="22"/>
          <w:szCs w:val="22"/>
        </w:rPr>
      </w:pPr>
      <w:r w:rsidRPr="00A42549">
        <w:rPr>
          <w:rStyle w:val="FootnoteReference"/>
          <w:sz w:val="22"/>
          <w:szCs w:val="22"/>
        </w:rPr>
        <w:footnoteRef/>
      </w:r>
      <w:r w:rsidRPr="00A42549">
        <w:rPr>
          <w:sz w:val="22"/>
          <w:szCs w:val="22"/>
        </w:rPr>
        <w:t xml:space="preserve"> Cf. Calvin’s comment (</w:t>
      </w:r>
      <w:r w:rsidRPr="00A42549">
        <w:rPr>
          <w:i/>
          <w:sz w:val="22"/>
          <w:szCs w:val="22"/>
        </w:rPr>
        <w:t>Daniel 1—6</w:t>
      </w:r>
      <w:r w:rsidRPr="00A42549">
        <w:rPr>
          <w:sz w:val="22"/>
          <w:szCs w:val="22"/>
        </w:rPr>
        <w:t>, 67-68) that the thanksgiving does not really fit the occasion, and Haag’s conclusion (“Weisheit und Heilsgeschichte”) that it was composed later than its context.</w:t>
      </w:r>
    </w:p>
  </w:footnote>
  <w:footnote w:id="40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Towner, “Blessed be YHWH and Blessed art thou, YHWH”; Westermann, </w:t>
      </w:r>
      <w:r w:rsidRPr="00A42549">
        <w:rPr>
          <w:i/>
          <w:sz w:val="22"/>
          <w:szCs w:val="22"/>
        </w:rPr>
        <w:t>Lob und Klage in den Psalmen</w:t>
      </w:r>
      <w:r w:rsidRPr="00A42549">
        <w:rPr>
          <w:sz w:val="22"/>
          <w:szCs w:val="22"/>
        </w:rPr>
        <w:t>, 61–102 (ET 81–135).</w:t>
      </w:r>
    </w:p>
  </w:footnote>
  <w:footnote w:id="40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Oppenheim, ““Interpretation of Dreams”; J. S. Hanson, “Dreams and Visions.”</w:t>
      </w:r>
    </w:p>
  </w:footnote>
  <w:footnote w:id="40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Brooke, “Qumran Pesher”; Finkel, “The Pesher of Dreams and Scriptures”; Silberman, “Unriddling the Riddle.”</w:t>
      </w:r>
    </w:p>
  </w:footnote>
  <w:footnote w:id="40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Mertens, </w:t>
      </w:r>
      <w:r w:rsidRPr="00A42549">
        <w:rPr>
          <w:i/>
          <w:sz w:val="22"/>
          <w:szCs w:val="22"/>
        </w:rPr>
        <w:t>Das Buch Daniel</w:t>
      </w:r>
      <w:r w:rsidRPr="00A42549">
        <w:rPr>
          <w:sz w:val="22"/>
          <w:szCs w:val="22"/>
        </w:rPr>
        <w:t>,</w:t>
      </w:r>
      <w:r w:rsidRPr="00A42549">
        <w:rPr>
          <w:i/>
          <w:sz w:val="22"/>
          <w:szCs w:val="22"/>
        </w:rPr>
        <w:t xml:space="preserve"> </w:t>
      </w:r>
      <w:r w:rsidRPr="00A42549">
        <w:rPr>
          <w:sz w:val="22"/>
          <w:szCs w:val="22"/>
        </w:rPr>
        <w:t>117; cf. n. 34.b.</w:t>
      </w:r>
    </w:p>
  </w:footnote>
  <w:footnote w:id="40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
          <w:sz w:val="22"/>
          <w:szCs w:val="22"/>
        </w:rPr>
        <w:t>ANET</w:t>
      </w:r>
      <w:r w:rsidRPr="00A42549">
        <w:rPr>
          <w:sz w:val="22"/>
          <w:szCs w:val="22"/>
        </w:rPr>
        <w:t xml:space="preserve"> 449–51 (cf. 605–6), 623–26.</w:t>
      </w:r>
    </w:p>
  </w:footnote>
  <w:footnote w:id="40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
          <w:sz w:val="22"/>
          <w:szCs w:val="22"/>
        </w:rPr>
        <w:t>NERT</w:t>
      </w:r>
      <w:r w:rsidRPr="00A42549">
        <w:rPr>
          <w:sz w:val="22"/>
          <w:szCs w:val="22"/>
        </w:rPr>
        <w:t xml:space="preserve"> 118–22; Grayson, </w:t>
      </w:r>
      <w:r w:rsidRPr="00A42549">
        <w:rPr>
          <w:i/>
          <w:sz w:val="22"/>
          <w:szCs w:val="22"/>
        </w:rPr>
        <w:t>Babylonian Historical-Literary Texts</w:t>
      </w:r>
      <w:r w:rsidRPr="00A42549">
        <w:rPr>
          <w:sz w:val="22"/>
          <w:szCs w:val="22"/>
        </w:rPr>
        <w:t xml:space="preserve">; Grayson and Lambert, “Akkadian Prophecies”; Biggs, “More Babylonian Prophecies”; Borger, “Gott Marduk und Gott-König Šulgi als Propheten”; Ringgren, “Akkadian Apocalypses”; Baldwin, “Some Literary Affinities of the Book of Daniel”; Hunger and Kaufman, “A New Akkadian Prophecy Text”; Lambert, </w:t>
      </w:r>
      <w:r w:rsidRPr="00A42549">
        <w:rPr>
          <w:i/>
          <w:sz w:val="22"/>
          <w:szCs w:val="22"/>
        </w:rPr>
        <w:t>Background</w:t>
      </w:r>
      <w:r w:rsidRPr="00A42549">
        <w:rPr>
          <w:sz w:val="22"/>
          <w:szCs w:val="22"/>
        </w:rPr>
        <w:t xml:space="preserve"> </w:t>
      </w:r>
      <w:r w:rsidRPr="00A42549">
        <w:rPr>
          <w:i/>
          <w:sz w:val="22"/>
          <w:szCs w:val="22"/>
        </w:rPr>
        <w:t>of Jewish Apocalyptic</w:t>
      </w:r>
      <w:r w:rsidRPr="00A42549">
        <w:rPr>
          <w:sz w:val="22"/>
          <w:szCs w:val="22"/>
        </w:rPr>
        <w:t>; Ellis</w:t>
      </w:r>
      <w:r w:rsidRPr="00A42549">
        <w:rPr>
          <w:b/>
          <w:sz w:val="22"/>
          <w:szCs w:val="22"/>
        </w:rPr>
        <w:t xml:space="preserve">, </w:t>
      </w:r>
      <w:r w:rsidRPr="00A42549">
        <w:rPr>
          <w:sz w:val="22"/>
          <w:szCs w:val="22"/>
        </w:rPr>
        <w:t xml:space="preserve">“Observations on Mesopotamian Oracles and Prophetic Texts”; Lucas,  </w:t>
      </w:r>
      <w:r w:rsidRPr="00A42549">
        <w:rPr>
          <w:rFonts w:eastAsiaTheme="minorHAnsi" w:cs="Courier"/>
          <w:bCs/>
          <w:i/>
          <w:sz w:val="22"/>
          <w:szCs w:val="22"/>
        </w:rPr>
        <w:t>Akkadian Prophecies, Omens and Myths</w:t>
      </w:r>
      <w:r w:rsidRPr="00A42549">
        <w:rPr>
          <w:rFonts w:eastAsiaTheme="minorHAnsi" w:cs="Courier"/>
          <w:bCs/>
          <w:sz w:val="22"/>
          <w:szCs w:val="22"/>
        </w:rPr>
        <w:t>;</w:t>
      </w:r>
      <w:r w:rsidRPr="00A42549">
        <w:rPr>
          <w:rFonts w:eastAsiaTheme="minorHAnsi" w:cs="Courier"/>
          <w:bCs/>
          <w:i/>
          <w:sz w:val="22"/>
          <w:szCs w:val="22"/>
        </w:rPr>
        <w:t xml:space="preserve"> </w:t>
      </w:r>
      <w:r w:rsidRPr="00A42549">
        <w:rPr>
          <w:sz w:val="22"/>
          <w:szCs w:val="22"/>
        </w:rPr>
        <w:t>Nissinen comments in a paper of this title that they are “Neither Prophecies Nor Apocalypses.”</w:t>
      </w:r>
    </w:p>
  </w:footnote>
  <w:footnote w:id="40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Hengel, </w:t>
      </w:r>
      <w:r w:rsidRPr="00A42549">
        <w:rPr>
          <w:i/>
          <w:sz w:val="22"/>
          <w:szCs w:val="22"/>
        </w:rPr>
        <w:t>Judentum</w:t>
      </w:r>
      <w:r w:rsidRPr="00A42549">
        <w:rPr>
          <w:sz w:val="22"/>
          <w:szCs w:val="22"/>
        </w:rPr>
        <w:t xml:space="preserve"> </w:t>
      </w:r>
      <w:r w:rsidRPr="00A42549">
        <w:rPr>
          <w:i/>
          <w:sz w:val="22"/>
          <w:szCs w:val="22"/>
        </w:rPr>
        <w:t>und Hellenismus</w:t>
      </w:r>
      <w:r w:rsidRPr="00A42549">
        <w:rPr>
          <w:sz w:val="22"/>
          <w:szCs w:val="22"/>
        </w:rPr>
        <w:t xml:space="preserve">, 386–89 (ET 1:184–86); McCown, “Hebrew and Egyptian Apocalyptic Literature”; Osswald, “Zum Problem der </w:t>
      </w:r>
      <w:r w:rsidRPr="00A42549">
        <w:rPr>
          <w:i/>
          <w:sz w:val="22"/>
          <w:szCs w:val="22"/>
        </w:rPr>
        <w:t>vaticinia ex eventu.</w:t>
      </w:r>
      <w:r w:rsidRPr="00A42549">
        <w:rPr>
          <w:sz w:val="22"/>
          <w:szCs w:val="22"/>
        </w:rPr>
        <w:t xml:space="preserve">” See further chaps. 10–12 </w:t>
      </w:r>
      <w:r w:rsidRPr="00A42549">
        <w:rPr>
          <w:i/>
          <w:sz w:val="22"/>
          <w:szCs w:val="22"/>
        </w:rPr>
        <w:t>Form</w:t>
      </w:r>
      <w:r w:rsidRPr="00A42549">
        <w:rPr>
          <w:sz w:val="22"/>
          <w:szCs w:val="22"/>
        </w:rPr>
        <w:t>.</w:t>
      </w:r>
    </w:p>
  </w:footnote>
  <w:footnote w:id="4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Collins, </w:t>
      </w:r>
      <w:r w:rsidRPr="00A42549">
        <w:rPr>
          <w:i/>
          <w:sz w:val="22"/>
          <w:szCs w:val="22"/>
        </w:rPr>
        <w:t>Apocalyptic Vision of the Book of Daniel</w:t>
      </w:r>
      <w:r w:rsidRPr="00A42549">
        <w:rPr>
          <w:sz w:val="22"/>
          <w:szCs w:val="22"/>
        </w:rPr>
        <w:t>, 36–43.</w:t>
      </w:r>
    </w:p>
  </w:footnote>
  <w:footnote w:id="40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Davies, “Daniel Chapter Two,” 399-400.</w:t>
      </w:r>
    </w:p>
  </w:footnote>
  <w:footnote w:id="41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
          <w:sz w:val="22"/>
          <w:szCs w:val="22"/>
        </w:rPr>
        <w:t>ANET</w:t>
      </w:r>
      <w:r w:rsidRPr="00A42549">
        <w:rPr>
          <w:sz w:val="22"/>
          <w:szCs w:val="22"/>
        </w:rPr>
        <w:t xml:space="preserve"> 309–11, 606; Oppenheim, “Interpretation of Dreams”; Butler, </w:t>
      </w:r>
      <w:r w:rsidRPr="00A42549">
        <w:rPr>
          <w:i/>
          <w:sz w:val="22"/>
          <w:szCs w:val="22"/>
        </w:rPr>
        <w:t>Mesopotamian Conceptions of Dreams</w:t>
      </w:r>
      <w:r w:rsidRPr="00A42549">
        <w:rPr>
          <w:sz w:val="22"/>
          <w:szCs w:val="22"/>
        </w:rPr>
        <w:t>.</w:t>
      </w:r>
    </w:p>
  </w:footnote>
  <w:footnote w:id="41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E.g., von Soden, “Eine babylonische Volksüberlieferung von Nabonid,” 84–85; McNamara,”Nabonidus and the Book of Daniel,” 145–148.</w:t>
      </w:r>
    </w:p>
  </w:footnote>
  <w:footnote w:id="41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References in Kuhl, </w:t>
      </w:r>
      <w:r w:rsidRPr="00A42549">
        <w:rPr>
          <w:i/>
          <w:sz w:val="22"/>
          <w:szCs w:val="22"/>
        </w:rPr>
        <w:t>Drei Männer im Feuer</w:t>
      </w:r>
      <w:r w:rsidRPr="00A42549">
        <w:rPr>
          <w:sz w:val="22"/>
          <w:szCs w:val="22"/>
        </w:rPr>
        <w:t>, 6–7.</w:t>
      </w:r>
    </w:p>
  </w:footnote>
  <w:footnote w:id="41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Pope and Tigay, “A Description of Baal,” 127; </w:t>
      </w:r>
      <w:r w:rsidRPr="00A42549">
        <w:rPr>
          <w:i/>
          <w:sz w:val="22"/>
          <w:szCs w:val="22"/>
        </w:rPr>
        <w:t>ANEP</w:t>
      </w:r>
      <w:r w:rsidRPr="00A42549">
        <w:rPr>
          <w:sz w:val="22"/>
          <w:szCs w:val="22"/>
        </w:rPr>
        <w:t xml:space="preserve"> 481–84.</w:t>
      </w:r>
    </w:p>
  </w:footnote>
  <w:footnote w:id="41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Flusser, “Four Empires,” 170.</w:t>
      </w:r>
    </w:p>
  </w:footnote>
  <w:footnote w:id="41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Bentzen, </w:t>
      </w:r>
      <w:r w:rsidRPr="00A42549">
        <w:rPr>
          <w:i/>
          <w:sz w:val="22"/>
          <w:szCs w:val="22"/>
        </w:rPr>
        <w:t>Daniel</w:t>
      </w:r>
      <w:r w:rsidRPr="00A42549">
        <w:rPr>
          <w:sz w:val="22"/>
          <w:szCs w:val="22"/>
        </w:rPr>
        <w:t>, on the passage.</w:t>
      </w:r>
    </w:p>
  </w:footnote>
  <w:footnote w:id="41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Fritz</w:t>
      </w:r>
      <w:r w:rsidRPr="00A42549">
        <w:rPr>
          <w:b/>
          <w:sz w:val="22"/>
          <w:szCs w:val="22"/>
        </w:rPr>
        <w:t xml:space="preserve">, </w:t>
      </w:r>
      <w:r w:rsidRPr="00A42549">
        <w:rPr>
          <w:sz w:val="22"/>
          <w:szCs w:val="22"/>
        </w:rPr>
        <w:t xml:space="preserve">“Weltalter und Lebenszeit”; and on the broader background, Cohn, </w:t>
      </w:r>
      <w:r w:rsidRPr="00A42549">
        <w:rPr>
          <w:i/>
          <w:sz w:val="22"/>
          <w:szCs w:val="22"/>
        </w:rPr>
        <w:t>Cosmos, Chaos and the World to Come</w:t>
      </w:r>
      <w:r w:rsidRPr="00A42549">
        <w:rPr>
          <w:sz w:val="22"/>
          <w:szCs w:val="22"/>
        </w:rPr>
        <w:t>.</w:t>
      </w:r>
    </w:p>
  </w:footnote>
  <w:footnote w:id="41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the discussion in Hellholm (ed.), </w:t>
      </w:r>
      <w:r w:rsidRPr="00A42549">
        <w:rPr>
          <w:i/>
          <w:sz w:val="22"/>
          <w:szCs w:val="22"/>
        </w:rPr>
        <w:t>Apocalypticism</w:t>
      </w:r>
      <w:r w:rsidRPr="00A42549">
        <w:rPr>
          <w:sz w:val="22"/>
          <w:szCs w:val="22"/>
        </w:rPr>
        <w:t>.</w:t>
      </w:r>
    </w:p>
  </w:footnote>
  <w:footnote w:id="41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Niskanen, </w:t>
      </w:r>
      <w:r w:rsidRPr="00A42549">
        <w:rPr>
          <w:i/>
          <w:sz w:val="22"/>
          <w:szCs w:val="22"/>
        </w:rPr>
        <w:t>The Human and the Divine in History</w:t>
      </w:r>
      <w:r w:rsidRPr="00A42549">
        <w:rPr>
          <w:sz w:val="22"/>
          <w:szCs w:val="22"/>
        </w:rPr>
        <w:t>, 27-43.</w:t>
      </w:r>
    </w:p>
  </w:footnote>
  <w:footnote w:id="41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Grayson, </w:t>
      </w:r>
      <w:r w:rsidRPr="00A42549">
        <w:rPr>
          <w:i/>
          <w:sz w:val="22"/>
          <w:szCs w:val="22"/>
        </w:rPr>
        <w:t>Babylonian Historical-Literary Texts</w:t>
      </w:r>
      <w:r w:rsidRPr="00A42549">
        <w:rPr>
          <w:sz w:val="22"/>
          <w:szCs w:val="22"/>
        </w:rPr>
        <w:t>, 6–37.</w:t>
      </w:r>
    </w:p>
  </w:footnote>
  <w:footnote w:id="420">
    <w:p w:rsidR="00786194" w:rsidRPr="00A42549" w:rsidRDefault="00786194">
      <w:pPr>
        <w:pStyle w:val="FootnoteText"/>
        <w:rPr>
          <w:bCs/>
          <w:sz w:val="22"/>
          <w:szCs w:val="22"/>
        </w:rPr>
      </w:pPr>
      <w:r w:rsidRPr="00A42549">
        <w:rPr>
          <w:rStyle w:val="FootnoteReference"/>
          <w:sz w:val="22"/>
          <w:szCs w:val="22"/>
        </w:rPr>
        <w:footnoteRef/>
      </w:r>
      <w:r w:rsidRPr="00A42549">
        <w:rPr>
          <w:sz w:val="22"/>
          <w:szCs w:val="22"/>
        </w:rPr>
        <w:t xml:space="preserve"> Cf. J. J. Collins in </w:t>
      </w:r>
      <w:r w:rsidRPr="00A42549">
        <w:rPr>
          <w:i/>
          <w:sz w:val="22"/>
          <w:szCs w:val="22"/>
        </w:rPr>
        <w:t>OTP</w:t>
      </w:r>
      <w:r w:rsidRPr="00A42549">
        <w:rPr>
          <w:sz w:val="22"/>
          <w:szCs w:val="22"/>
        </w:rPr>
        <w:t xml:space="preserve"> 1:381–89. Collins elsewhere (</w:t>
      </w:r>
      <w:r w:rsidRPr="00A42549">
        <w:rPr>
          <w:i/>
          <w:sz w:val="22"/>
          <w:szCs w:val="22"/>
        </w:rPr>
        <w:t xml:space="preserve">Daniel </w:t>
      </w:r>
      <w:r w:rsidRPr="00A42549">
        <w:rPr>
          <w:sz w:val="22"/>
          <w:szCs w:val="22"/>
        </w:rPr>
        <w:t>166-70)</w:t>
      </w:r>
      <w:r w:rsidRPr="00A42549">
        <w:rPr>
          <w:i/>
          <w:sz w:val="22"/>
          <w:szCs w:val="22"/>
        </w:rPr>
        <w:t xml:space="preserve"> .</w:t>
      </w:r>
      <w:r w:rsidRPr="00A42549">
        <w:rPr>
          <w:sz w:val="22"/>
          <w:szCs w:val="22"/>
        </w:rPr>
        <w:t>has a substantial excursus on the background of the four-empire scheme; cf. also Lucas</w:t>
      </w:r>
      <w:r w:rsidRPr="00A42549">
        <w:rPr>
          <w:b/>
          <w:sz w:val="22"/>
          <w:szCs w:val="22"/>
        </w:rPr>
        <w:t>,</w:t>
      </w:r>
      <w:r w:rsidRPr="00A42549">
        <w:rPr>
          <w:sz w:val="22"/>
          <w:szCs w:val="22"/>
        </w:rPr>
        <w:t xml:space="preserve"> “The Origin of Daniel's Four Empires Scheme.”</w:t>
      </w:r>
    </w:p>
  </w:footnote>
  <w:footnote w:id="42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But see Hallo, “Akkadian Apocalypses,” for an eschatological reading of Akkadian prophecies; also Höffken, “Heilszeitherrschererwartung im babylonischen Raum.”</w:t>
      </w:r>
    </w:p>
  </w:footnote>
  <w:footnote w:id="42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Hengel, </w:t>
      </w:r>
      <w:r w:rsidRPr="00A42549">
        <w:rPr>
          <w:i/>
          <w:sz w:val="22"/>
          <w:szCs w:val="22"/>
        </w:rPr>
        <w:t>Judentum</w:t>
      </w:r>
      <w:r w:rsidRPr="00A42549">
        <w:rPr>
          <w:sz w:val="22"/>
          <w:szCs w:val="22"/>
        </w:rPr>
        <w:t xml:space="preserve"> </w:t>
      </w:r>
      <w:r w:rsidRPr="00A42549">
        <w:rPr>
          <w:i/>
          <w:sz w:val="22"/>
          <w:szCs w:val="22"/>
        </w:rPr>
        <w:t>und Hellenismus</w:t>
      </w:r>
      <w:r w:rsidRPr="00A42549">
        <w:rPr>
          <w:sz w:val="22"/>
          <w:szCs w:val="22"/>
        </w:rPr>
        <w:t>, 331 (ET 1:181).</w:t>
      </w:r>
    </w:p>
  </w:footnote>
  <w:footnote w:id="42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Hasel, “The Four World Empires of Daniel 2,” 23.</w:t>
      </w:r>
    </w:p>
  </w:footnote>
  <w:footnote w:id="42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Baldwin, “Some Literary Affinities of the Book of Daniel,” 92–99.</w:t>
      </w:r>
    </w:p>
  </w:footnote>
  <w:footnote w:id="425">
    <w:p w:rsidR="00786194" w:rsidRPr="00A42549" w:rsidRDefault="00786194" w:rsidP="000C6120">
      <w:pPr>
        <w:pStyle w:val="FootnoteText"/>
        <w:rPr>
          <w:sz w:val="22"/>
          <w:szCs w:val="22"/>
        </w:rPr>
      </w:pPr>
      <w:r w:rsidRPr="00A42549">
        <w:rPr>
          <w:rStyle w:val="FootnoteReference"/>
          <w:sz w:val="22"/>
          <w:szCs w:val="22"/>
        </w:rPr>
        <w:footnoteRef/>
      </w:r>
      <w:r w:rsidRPr="00A42549">
        <w:rPr>
          <w:sz w:val="22"/>
          <w:szCs w:val="22"/>
        </w:rPr>
        <w:t xml:space="preserve"> Gianto, </w:t>
      </w:r>
      <w:r w:rsidRPr="00A42549">
        <w:rPr>
          <w:b/>
          <w:sz w:val="22"/>
          <w:szCs w:val="22"/>
        </w:rPr>
        <w:t xml:space="preserve"> </w:t>
      </w:r>
      <w:r w:rsidRPr="00A42549">
        <w:rPr>
          <w:sz w:val="22"/>
          <w:szCs w:val="22"/>
        </w:rPr>
        <w:t>“Notes from a Reading of Daniel 2,” 59, 60.</w:t>
      </w:r>
    </w:p>
  </w:footnote>
  <w:footnote w:id="42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Jerome, </w:t>
      </w:r>
      <w:r w:rsidRPr="00A42549">
        <w:rPr>
          <w:i/>
          <w:sz w:val="22"/>
          <w:szCs w:val="22"/>
        </w:rPr>
        <w:t>Daniel</w:t>
      </w:r>
      <w:r w:rsidRPr="00A42549">
        <w:rPr>
          <w:sz w:val="22"/>
          <w:szCs w:val="22"/>
        </w:rPr>
        <w:t>, 27.</w:t>
      </w:r>
    </w:p>
  </w:footnote>
  <w:footnote w:id="42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And cf. Koch’s analysis, </w:t>
      </w:r>
      <w:r w:rsidRPr="00A42549">
        <w:rPr>
          <w:i/>
          <w:sz w:val="22"/>
          <w:szCs w:val="22"/>
        </w:rPr>
        <w:t>Daniel 1—4</w:t>
      </w:r>
      <w:r w:rsidRPr="00A42549">
        <w:rPr>
          <w:sz w:val="22"/>
          <w:szCs w:val="22"/>
        </w:rPr>
        <w:t>, 106-10.</w:t>
      </w:r>
    </w:p>
  </w:footnote>
  <w:footnote w:id="428">
    <w:p w:rsidR="00786194" w:rsidRPr="00A42549" w:rsidRDefault="00786194" w:rsidP="00862D1E">
      <w:pPr>
        <w:pStyle w:val="FootnoteText"/>
        <w:rPr>
          <w:bCs/>
          <w:sz w:val="22"/>
          <w:szCs w:val="22"/>
        </w:rPr>
      </w:pPr>
      <w:r w:rsidRPr="00A42549">
        <w:rPr>
          <w:rStyle w:val="FootnoteReference"/>
          <w:sz w:val="22"/>
          <w:szCs w:val="22"/>
        </w:rPr>
        <w:footnoteRef/>
      </w:r>
      <w:r w:rsidRPr="00A42549">
        <w:rPr>
          <w:sz w:val="22"/>
          <w:szCs w:val="22"/>
        </w:rPr>
        <w:t xml:space="preserve"> Cf. </w:t>
      </w:r>
      <w:r w:rsidRPr="00A42549">
        <w:rPr>
          <w:bCs/>
          <w:sz w:val="22"/>
          <w:szCs w:val="22"/>
        </w:rPr>
        <w:t>Rindge</w:t>
      </w:r>
      <w:r w:rsidRPr="00A42549">
        <w:rPr>
          <w:b/>
          <w:bCs/>
          <w:sz w:val="22"/>
          <w:szCs w:val="22"/>
        </w:rPr>
        <w:t>,</w:t>
      </w:r>
      <w:r w:rsidRPr="00A42549">
        <w:rPr>
          <w:bCs/>
          <w:sz w:val="22"/>
          <w:szCs w:val="22"/>
        </w:rPr>
        <w:t xml:space="preserve"> “Jewish Identity under Foreign Rule</w:t>
      </w:r>
      <w:r w:rsidRPr="00A42549">
        <w:rPr>
          <w:bCs/>
          <w:iCs/>
          <w:sz w:val="22"/>
          <w:szCs w:val="22"/>
        </w:rPr>
        <w:t>.”</w:t>
      </w:r>
    </w:p>
  </w:footnote>
  <w:footnote w:id="429">
    <w:p w:rsidR="00786194" w:rsidRPr="00A42549" w:rsidRDefault="00786194" w:rsidP="00862D1E">
      <w:pPr>
        <w:pStyle w:val="FootnoteText"/>
        <w:rPr>
          <w:sz w:val="22"/>
          <w:szCs w:val="22"/>
        </w:rPr>
      </w:pPr>
      <w:r w:rsidRPr="00A42549">
        <w:rPr>
          <w:rStyle w:val="FootnoteReference"/>
          <w:sz w:val="22"/>
          <w:szCs w:val="22"/>
        </w:rPr>
        <w:footnoteRef/>
      </w:r>
      <w:r w:rsidRPr="00A42549">
        <w:rPr>
          <w:sz w:val="22"/>
          <w:szCs w:val="22"/>
        </w:rPr>
        <w:t xml:space="preserve"> Cf. Newsom, </w:t>
      </w:r>
      <w:r w:rsidRPr="00A42549">
        <w:rPr>
          <w:i/>
          <w:sz w:val="22"/>
          <w:szCs w:val="22"/>
        </w:rPr>
        <w:t>Daniel</w:t>
      </w:r>
      <w:r w:rsidRPr="00A42549">
        <w:rPr>
          <w:sz w:val="22"/>
          <w:szCs w:val="22"/>
        </w:rPr>
        <w:t xml:space="preserve">, 65; Husser, </w:t>
      </w:r>
      <w:r w:rsidRPr="00A42549">
        <w:rPr>
          <w:i/>
          <w:sz w:val="22"/>
          <w:szCs w:val="22"/>
        </w:rPr>
        <w:t>Dreams and Dream Narratives</w:t>
      </w:r>
      <w:r w:rsidRPr="00A42549">
        <w:rPr>
          <w:sz w:val="22"/>
          <w:szCs w:val="22"/>
        </w:rPr>
        <w:t xml:space="preserve">, 118-22; </w:t>
      </w:r>
      <w:r w:rsidRPr="00A42549">
        <w:rPr>
          <w:b/>
          <w:i/>
          <w:sz w:val="22"/>
          <w:szCs w:val="22"/>
        </w:rPr>
        <w:t xml:space="preserve">———. </w:t>
      </w:r>
      <w:r w:rsidRPr="00A42549">
        <w:rPr>
          <w:i/>
          <w:sz w:val="22"/>
          <w:szCs w:val="22"/>
        </w:rPr>
        <w:t>Le songe et la parole</w:t>
      </w:r>
      <w:r w:rsidRPr="00A42549">
        <w:rPr>
          <w:sz w:val="22"/>
          <w:szCs w:val="22"/>
        </w:rPr>
        <w:t>, 248-52.</w:t>
      </w:r>
    </w:p>
  </w:footnote>
  <w:footnote w:id="43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Jones, </w:t>
      </w:r>
      <w:r w:rsidRPr="00A42549">
        <w:rPr>
          <w:i/>
          <w:sz w:val="22"/>
          <w:szCs w:val="22"/>
        </w:rPr>
        <w:t>Ideas of History in the Book of Daniel</w:t>
      </w:r>
      <w:r w:rsidRPr="00A42549">
        <w:rPr>
          <w:sz w:val="22"/>
          <w:szCs w:val="22"/>
        </w:rPr>
        <w:t>, 86–88, commenting on von Rad.</w:t>
      </w:r>
    </w:p>
  </w:footnote>
  <w:footnote w:id="431">
    <w:p w:rsidR="00786194" w:rsidRPr="00A42549" w:rsidRDefault="00786194" w:rsidP="00862D1E">
      <w:pPr>
        <w:pStyle w:val="FootnoteText"/>
        <w:rPr>
          <w:sz w:val="22"/>
          <w:szCs w:val="22"/>
        </w:rPr>
      </w:pPr>
      <w:r w:rsidRPr="00A42549">
        <w:rPr>
          <w:rStyle w:val="FootnoteReference"/>
          <w:sz w:val="22"/>
          <w:szCs w:val="22"/>
        </w:rPr>
        <w:footnoteRef/>
      </w:r>
      <w:r w:rsidRPr="00A42549">
        <w:rPr>
          <w:sz w:val="22"/>
          <w:szCs w:val="22"/>
        </w:rPr>
        <w:t xml:space="preserve"> Against Niditch and Doran, “The Success Story of the Wise Courtier.” On the comparisons and contrasts, see e.g., Widder</w:t>
      </w:r>
      <w:r w:rsidRPr="00A42549">
        <w:rPr>
          <w:b/>
          <w:sz w:val="22"/>
          <w:szCs w:val="22"/>
        </w:rPr>
        <w:t>, “</w:t>
      </w:r>
      <w:r w:rsidRPr="00A42549">
        <w:rPr>
          <w:bCs/>
          <w:sz w:val="22"/>
          <w:szCs w:val="22"/>
        </w:rPr>
        <w:t>The Court Stories of Joseph (Gen 41) and Daniel (Dan 2) in Canonical Context.”</w:t>
      </w:r>
    </w:p>
  </w:footnote>
  <w:footnote w:id="43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Olojede</w:t>
      </w:r>
      <w:r w:rsidRPr="00A42549">
        <w:rPr>
          <w:b/>
          <w:sz w:val="22"/>
          <w:szCs w:val="22"/>
        </w:rPr>
        <w:t xml:space="preserve">, </w:t>
      </w:r>
      <w:r w:rsidRPr="00A42549">
        <w:rPr>
          <w:sz w:val="22"/>
          <w:szCs w:val="22"/>
        </w:rPr>
        <w:t>“Sapiential Elements in the Joseph and Daniel Narratives.”</w:t>
      </w:r>
    </w:p>
  </w:footnote>
  <w:footnote w:id="433">
    <w:p w:rsidR="00786194" w:rsidRPr="00A42549" w:rsidRDefault="00786194" w:rsidP="003878D8">
      <w:pPr>
        <w:pStyle w:val="FootnoteText"/>
        <w:rPr>
          <w:sz w:val="22"/>
          <w:szCs w:val="22"/>
        </w:rPr>
      </w:pPr>
      <w:r w:rsidRPr="00A42549">
        <w:rPr>
          <w:rStyle w:val="FootnoteReference"/>
          <w:sz w:val="22"/>
          <w:szCs w:val="22"/>
        </w:rPr>
        <w:footnoteRef/>
      </w:r>
      <w:r w:rsidRPr="00A42549">
        <w:rPr>
          <w:sz w:val="22"/>
          <w:szCs w:val="22"/>
        </w:rPr>
        <w:t xml:space="preserve"> Wildavsky, </w:t>
      </w:r>
      <w:r w:rsidRPr="00A42549">
        <w:rPr>
          <w:i/>
          <w:sz w:val="22"/>
          <w:szCs w:val="22"/>
        </w:rPr>
        <w:t>Assimilation versus Separation</w:t>
      </w:r>
      <w:r w:rsidRPr="00A42549">
        <w:rPr>
          <w:sz w:val="22"/>
          <w:szCs w:val="22"/>
        </w:rPr>
        <w:t>, 119, 126.</w:t>
      </w:r>
    </w:p>
  </w:footnote>
  <w:footnote w:id="43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Ehrlich, </w:t>
      </w:r>
      <w:r w:rsidRPr="00A42549">
        <w:rPr>
          <w:i/>
          <w:sz w:val="22"/>
          <w:szCs w:val="22"/>
        </w:rPr>
        <w:t>Der Traum im AT</w:t>
      </w:r>
      <w:r w:rsidRPr="00A42549">
        <w:rPr>
          <w:sz w:val="22"/>
          <w:szCs w:val="22"/>
        </w:rPr>
        <w:t>, 103).</w:t>
      </w:r>
    </w:p>
  </w:footnote>
  <w:footnote w:id="43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van der Woude</w:t>
      </w:r>
      <w:r w:rsidRPr="00A42549">
        <w:rPr>
          <w:b/>
          <w:sz w:val="22"/>
          <w:szCs w:val="22"/>
        </w:rPr>
        <w:t xml:space="preserve">, </w:t>
      </w:r>
      <w:r w:rsidRPr="00A42549">
        <w:rPr>
          <w:sz w:val="22"/>
          <w:szCs w:val="22"/>
        </w:rPr>
        <w:t>“Die Doppelsprachigkeit des Buches Daniel,” and his references.</w:t>
      </w:r>
    </w:p>
  </w:footnote>
  <w:footnote w:id="43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w:t>
      </w:r>
      <w:r w:rsidRPr="00A42549">
        <w:rPr>
          <w:b/>
          <w:sz w:val="22"/>
          <w:szCs w:val="22"/>
        </w:rPr>
        <w:t xml:space="preserve"> </w:t>
      </w:r>
      <w:r w:rsidRPr="00A42549">
        <w:rPr>
          <w:sz w:val="22"/>
          <w:szCs w:val="22"/>
        </w:rPr>
        <w:t>Snell</w:t>
      </w:r>
      <w:r w:rsidRPr="00A42549">
        <w:rPr>
          <w:b/>
          <w:sz w:val="22"/>
          <w:szCs w:val="22"/>
        </w:rPr>
        <w:t xml:space="preserve">, </w:t>
      </w:r>
      <w:r w:rsidRPr="00A42549">
        <w:rPr>
          <w:sz w:val="22"/>
          <w:szCs w:val="22"/>
        </w:rPr>
        <w:t>“Why Is There Aramaic in the Bible?”</w:t>
      </w:r>
    </w:p>
  </w:footnote>
  <w:footnote w:id="43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Arnold</w:t>
      </w:r>
      <w:r w:rsidRPr="00A42549">
        <w:rPr>
          <w:b/>
          <w:sz w:val="22"/>
          <w:szCs w:val="22"/>
        </w:rPr>
        <w:t>, “</w:t>
      </w:r>
      <w:r w:rsidRPr="00A42549">
        <w:rPr>
          <w:sz w:val="22"/>
          <w:szCs w:val="22"/>
        </w:rPr>
        <w:t>The Use of Aramaic in the Hebrew Bible.”</w:t>
      </w:r>
    </w:p>
  </w:footnote>
  <w:footnote w:id="438">
    <w:p w:rsidR="00786194" w:rsidRPr="00A42549" w:rsidRDefault="00786194" w:rsidP="00BE3FC3">
      <w:pPr>
        <w:pStyle w:val="FootnoteText"/>
        <w:rPr>
          <w:sz w:val="22"/>
          <w:szCs w:val="22"/>
        </w:rPr>
      </w:pPr>
      <w:r w:rsidRPr="00A42549">
        <w:rPr>
          <w:rStyle w:val="FootnoteReference"/>
          <w:sz w:val="22"/>
          <w:szCs w:val="22"/>
        </w:rPr>
        <w:footnoteRef/>
      </w:r>
      <w:r w:rsidRPr="00A42549">
        <w:rPr>
          <w:sz w:val="22"/>
          <w:szCs w:val="22"/>
        </w:rPr>
        <w:t xml:space="preserve"> Hebbard, </w:t>
      </w:r>
      <w:r w:rsidRPr="00A42549">
        <w:rPr>
          <w:i/>
          <w:sz w:val="22"/>
          <w:szCs w:val="22"/>
        </w:rPr>
        <w:t>Reading Daniel</w:t>
      </w:r>
      <w:r w:rsidRPr="00A42549">
        <w:rPr>
          <w:sz w:val="22"/>
          <w:szCs w:val="22"/>
        </w:rPr>
        <w:t xml:space="preserve">, 54. For the broader context, see Gzella, </w:t>
      </w:r>
      <w:r w:rsidRPr="00A42549">
        <w:rPr>
          <w:i/>
          <w:sz w:val="22"/>
          <w:szCs w:val="22"/>
        </w:rPr>
        <w:t>A Cultural History of Aramaic</w:t>
      </w:r>
      <w:r w:rsidRPr="00A42549">
        <w:rPr>
          <w:sz w:val="22"/>
          <w:szCs w:val="22"/>
        </w:rPr>
        <w:t>, esp. 205-8.</w:t>
      </w:r>
    </w:p>
  </w:footnote>
  <w:footnote w:id="43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the analogous questions raised by the use of Hebrew at Qumran (e.g., Bernstein/Koller</w:t>
      </w:r>
      <w:r w:rsidRPr="00A42549">
        <w:rPr>
          <w:b/>
          <w:sz w:val="22"/>
          <w:szCs w:val="22"/>
        </w:rPr>
        <w:t xml:space="preserve">, </w:t>
      </w:r>
      <w:r w:rsidRPr="00A42549">
        <w:rPr>
          <w:sz w:val="22"/>
          <w:szCs w:val="22"/>
        </w:rPr>
        <w:t>“The Aramaic Texts and the Hebrew and Aramaic Languages at Qumran,” 189-91).</w:t>
      </w:r>
    </w:p>
  </w:footnote>
  <w:footnote w:id="440">
    <w:p w:rsidR="00786194" w:rsidRPr="00A42549" w:rsidRDefault="00786194" w:rsidP="00DA36E3">
      <w:pPr>
        <w:pStyle w:val="FootnoteText"/>
        <w:rPr>
          <w:sz w:val="22"/>
          <w:szCs w:val="22"/>
        </w:rPr>
      </w:pPr>
      <w:r w:rsidRPr="00A42549">
        <w:rPr>
          <w:rStyle w:val="FootnoteReference"/>
          <w:sz w:val="22"/>
          <w:szCs w:val="22"/>
        </w:rPr>
        <w:footnoteRef/>
      </w:r>
      <w:r w:rsidRPr="00A42549">
        <w:rPr>
          <w:sz w:val="22"/>
          <w:szCs w:val="22"/>
        </w:rPr>
        <w:t xml:space="preserve"> Valeta, </w:t>
      </w:r>
      <w:r w:rsidRPr="00A42549">
        <w:rPr>
          <w:i/>
          <w:sz w:val="22"/>
          <w:szCs w:val="22"/>
        </w:rPr>
        <w:t>Lions and Ovens and Visions</w:t>
      </w:r>
      <w:r w:rsidRPr="00A42549">
        <w:rPr>
          <w:sz w:val="22"/>
          <w:szCs w:val="22"/>
        </w:rPr>
        <w:t>, 181.</w:t>
      </w:r>
    </w:p>
  </w:footnote>
  <w:footnote w:id="441">
    <w:p w:rsidR="00786194" w:rsidRPr="00A42549" w:rsidRDefault="00786194" w:rsidP="008A3269">
      <w:pPr>
        <w:pStyle w:val="FootnoteText"/>
        <w:rPr>
          <w:sz w:val="22"/>
          <w:szCs w:val="22"/>
        </w:rPr>
      </w:pPr>
      <w:r w:rsidRPr="00A42549">
        <w:rPr>
          <w:rStyle w:val="FootnoteReference"/>
          <w:sz w:val="22"/>
          <w:szCs w:val="22"/>
        </w:rPr>
        <w:footnoteRef/>
      </w:r>
      <w:r w:rsidRPr="00A42549">
        <w:rPr>
          <w:sz w:val="22"/>
          <w:szCs w:val="22"/>
        </w:rPr>
        <w:t xml:space="preserve"> Portier-Young,</w:t>
      </w:r>
      <w:r w:rsidRPr="00A42549">
        <w:rPr>
          <w:b/>
          <w:sz w:val="22"/>
          <w:szCs w:val="22"/>
        </w:rPr>
        <w:t xml:space="preserve"> </w:t>
      </w:r>
      <w:r w:rsidRPr="00A42549">
        <w:rPr>
          <w:sz w:val="22"/>
          <w:szCs w:val="22"/>
        </w:rPr>
        <w:t>“Languages of Identity and Obligation,” 104, 107.</w:t>
      </w:r>
    </w:p>
  </w:footnote>
  <w:footnote w:id="44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bCs/>
          <w:sz w:val="22"/>
          <w:szCs w:val="22"/>
        </w:rPr>
        <w:t>Sérandour</w:t>
      </w:r>
      <w:r w:rsidRPr="00A42549">
        <w:rPr>
          <w:b/>
          <w:bCs/>
          <w:sz w:val="22"/>
          <w:szCs w:val="22"/>
        </w:rPr>
        <w:t>, “</w:t>
      </w:r>
      <w:r w:rsidRPr="00A42549">
        <w:rPr>
          <w:bCs/>
          <w:sz w:val="22"/>
          <w:szCs w:val="22"/>
        </w:rPr>
        <w:t>Hébreu et Araméen dans la Bible</w:t>
      </w:r>
      <w:r w:rsidRPr="00A42549">
        <w:rPr>
          <w:bCs/>
          <w:i/>
          <w:sz w:val="22"/>
          <w:szCs w:val="22"/>
        </w:rPr>
        <w:t>,”</w:t>
      </w:r>
      <w:r w:rsidRPr="00A42549">
        <w:rPr>
          <w:bCs/>
          <w:sz w:val="22"/>
          <w:szCs w:val="22"/>
        </w:rPr>
        <w:t xml:space="preserve"> 345.</w:t>
      </w:r>
    </w:p>
  </w:footnote>
  <w:footnote w:id="44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Lederach, </w:t>
      </w:r>
      <w:r w:rsidRPr="00A42549">
        <w:rPr>
          <w:i/>
          <w:sz w:val="22"/>
          <w:szCs w:val="22"/>
        </w:rPr>
        <w:t>Daniel</w:t>
      </w:r>
      <w:r w:rsidRPr="00A42549">
        <w:rPr>
          <w:sz w:val="22"/>
          <w:szCs w:val="22"/>
        </w:rPr>
        <w:t>, 50.</w:t>
      </w:r>
    </w:p>
  </w:footnote>
  <w:footnote w:id="444">
    <w:p w:rsidR="00786194" w:rsidRPr="00A42549" w:rsidRDefault="00786194" w:rsidP="000840C6">
      <w:pPr>
        <w:pStyle w:val="FootnoteText"/>
        <w:rPr>
          <w:sz w:val="22"/>
          <w:szCs w:val="22"/>
        </w:rPr>
      </w:pPr>
      <w:r w:rsidRPr="00A42549">
        <w:rPr>
          <w:rStyle w:val="FootnoteReference"/>
          <w:sz w:val="22"/>
          <w:szCs w:val="22"/>
        </w:rPr>
        <w:footnoteRef/>
      </w:r>
      <w:r w:rsidRPr="00A42549">
        <w:rPr>
          <w:sz w:val="22"/>
          <w:szCs w:val="22"/>
        </w:rPr>
        <w:t xml:space="preserve"> Gowan, </w:t>
      </w:r>
      <w:r w:rsidRPr="00A42549">
        <w:rPr>
          <w:i/>
          <w:sz w:val="22"/>
          <w:szCs w:val="22"/>
        </w:rPr>
        <w:t>Daniel</w:t>
      </w:r>
      <w:r w:rsidRPr="00A42549">
        <w:rPr>
          <w:sz w:val="22"/>
          <w:szCs w:val="22"/>
        </w:rPr>
        <w:t>, on the passage.</w:t>
      </w:r>
    </w:p>
  </w:footnote>
  <w:footnote w:id="44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Smith-Christopher, </w:t>
      </w:r>
      <w:r w:rsidRPr="00A42549">
        <w:rPr>
          <w:bCs/>
          <w:sz w:val="22"/>
          <w:szCs w:val="22"/>
        </w:rPr>
        <w:t>“Prayers and Dreams.”</w:t>
      </w:r>
    </w:p>
  </w:footnote>
  <w:footnote w:id="446">
    <w:p w:rsidR="00786194" w:rsidRPr="00A42549" w:rsidRDefault="00786194" w:rsidP="00627461">
      <w:pPr>
        <w:pStyle w:val="FootnoteText"/>
        <w:rPr>
          <w:sz w:val="22"/>
          <w:szCs w:val="22"/>
        </w:rPr>
      </w:pPr>
      <w:r w:rsidRPr="00A42549">
        <w:rPr>
          <w:rStyle w:val="FootnoteReference"/>
          <w:sz w:val="22"/>
          <w:szCs w:val="22"/>
        </w:rPr>
        <w:footnoteRef/>
      </w:r>
      <w:r w:rsidRPr="00A42549">
        <w:rPr>
          <w:sz w:val="22"/>
          <w:szCs w:val="22"/>
        </w:rPr>
        <w:t xml:space="preserve"> Cf. Niditch and Doran, “The Success Story of the Wise Courtier,” 188.</w:t>
      </w:r>
    </w:p>
  </w:footnote>
  <w:footnote w:id="447">
    <w:p w:rsidR="00786194" w:rsidRPr="00A42549" w:rsidRDefault="00786194" w:rsidP="00627461">
      <w:pPr>
        <w:pStyle w:val="FootnoteText"/>
        <w:rPr>
          <w:sz w:val="22"/>
          <w:szCs w:val="22"/>
        </w:rPr>
      </w:pPr>
      <w:r w:rsidRPr="00A42549">
        <w:rPr>
          <w:rStyle w:val="FootnoteReference"/>
          <w:sz w:val="22"/>
          <w:szCs w:val="22"/>
        </w:rPr>
        <w:footnoteRef/>
      </w:r>
      <w:r w:rsidRPr="00A42549">
        <w:rPr>
          <w:sz w:val="22"/>
          <w:szCs w:val="22"/>
        </w:rPr>
        <w:t xml:space="preserve"> So Hartman/Di Lella, </w:t>
      </w:r>
      <w:r w:rsidRPr="00A42549">
        <w:rPr>
          <w:i/>
          <w:sz w:val="22"/>
          <w:szCs w:val="22"/>
        </w:rPr>
        <w:t>Daniel</w:t>
      </w:r>
      <w:r w:rsidRPr="00A42549">
        <w:rPr>
          <w:sz w:val="22"/>
          <w:szCs w:val="22"/>
        </w:rPr>
        <w:t xml:space="preserve">, on the chapter; Davies, “Daniel Chapter Two”; Steck, “Weltgeschehen und Gottesvolk im Buche Daniel,” 53–62; Schreiner, “‘…wird der Gott des Himmels ein Reich errichten,’” 133–37”; </w:t>
      </w:r>
      <w:r w:rsidRPr="00A42549">
        <w:rPr>
          <w:bCs/>
          <w:sz w:val="22"/>
          <w:szCs w:val="22"/>
        </w:rPr>
        <w:t>Segal</w:t>
      </w:r>
      <w:r w:rsidRPr="00A42549">
        <w:rPr>
          <w:b/>
          <w:bCs/>
          <w:sz w:val="22"/>
          <w:szCs w:val="22"/>
        </w:rPr>
        <w:t>,</w:t>
      </w:r>
      <w:r w:rsidRPr="00A42549">
        <w:rPr>
          <w:sz w:val="22"/>
          <w:szCs w:val="22"/>
        </w:rPr>
        <w:t>”</w:t>
      </w:r>
      <w:r w:rsidRPr="00A42549">
        <w:rPr>
          <w:bCs/>
          <w:sz w:val="22"/>
          <w:szCs w:val="22"/>
        </w:rPr>
        <w:t>From Joseph to Daniel”; Milán</w:t>
      </w:r>
      <w:r w:rsidRPr="00A42549">
        <w:rPr>
          <w:b/>
          <w:bCs/>
          <w:sz w:val="22"/>
          <w:szCs w:val="22"/>
        </w:rPr>
        <w:t xml:space="preserve">, </w:t>
      </w:r>
      <w:r w:rsidRPr="00A42549">
        <w:rPr>
          <w:bCs/>
          <w:sz w:val="22"/>
          <w:szCs w:val="22"/>
        </w:rPr>
        <w:t xml:space="preserve">“El concepto de revelación en el libro de Daniel”; </w:t>
      </w:r>
      <w:r w:rsidRPr="00A42549">
        <w:rPr>
          <w:bCs/>
          <w:iCs/>
          <w:sz w:val="22"/>
          <w:szCs w:val="22"/>
        </w:rPr>
        <w:t xml:space="preserve">Segal, </w:t>
      </w:r>
      <w:r w:rsidRPr="00A42549">
        <w:rPr>
          <w:bCs/>
          <w:i/>
          <w:iCs/>
          <w:sz w:val="22"/>
          <w:szCs w:val="22"/>
        </w:rPr>
        <w:t>Dreams, Riddles, and Visions</w:t>
      </w:r>
      <w:r w:rsidRPr="00A42549">
        <w:rPr>
          <w:bCs/>
          <w:iCs/>
          <w:sz w:val="22"/>
          <w:szCs w:val="22"/>
        </w:rPr>
        <w:t>, chap. 2; Husser</w:t>
      </w:r>
      <w:r w:rsidRPr="00A42549">
        <w:rPr>
          <w:b/>
          <w:bCs/>
          <w:iCs/>
          <w:sz w:val="22"/>
          <w:szCs w:val="22"/>
        </w:rPr>
        <w:t>,</w:t>
      </w:r>
      <w:r w:rsidRPr="00A42549">
        <w:rPr>
          <w:b/>
          <w:bCs/>
          <w:i/>
          <w:iCs/>
          <w:sz w:val="22"/>
          <w:szCs w:val="22"/>
        </w:rPr>
        <w:t xml:space="preserve"> </w:t>
      </w:r>
      <w:r w:rsidRPr="00A42549">
        <w:rPr>
          <w:bCs/>
          <w:iCs/>
          <w:sz w:val="22"/>
          <w:szCs w:val="22"/>
        </w:rPr>
        <w:t xml:space="preserve">“La fin et l’origine”; Kratz, </w:t>
      </w:r>
      <w:r w:rsidRPr="00A42549">
        <w:rPr>
          <w:bCs/>
          <w:i/>
          <w:iCs/>
          <w:sz w:val="22"/>
          <w:szCs w:val="22"/>
        </w:rPr>
        <w:t>Translatio Imperii</w:t>
      </w:r>
      <w:r w:rsidRPr="00A42549">
        <w:rPr>
          <w:bCs/>
          <w:iCs/>
          <w:sz w:val="22"/>
          <w:szCs w:val="22"/>
        </w:rPr>
        <w:t>.</w:t>
      </w:r>
      <w:r w:rsidRPr="00A42549">
        <w:rPr>
          <w:b/>
          <w:bCs/>
          <w:sz w:val="22"/>
          <w:szCs w:val="22"/>
        </w:rPr>
        <w:t xml:space="preserve"> </w:t>
      </w:r>
      <w:r w:rsidRPr="00A42549">
        <w:rPr>
          <w:sz w:val="22"/>
          <w:szCs w:val="22"/>
        </w:rPr>
        <w:t>Koch (</w:t>
      </w:r>
      <w:r w:rsidRPr="00A42549">
        <w:rPr>
          <w:i/>
          <w:sz w:val="22"/>
          <w:szCs w:val="22"/>
        </w:rPr>
        <w:t>Daniel 1—4</w:t>
      </w:r>
      <w:r w:rsidRPr="00A42549">
        <w:rPr>
          <w:sz w:val="22"/>
          <w:szCs w:val="22"/>
        </w:rPr>
        <w:t>, 110-15) links at least part of the redaction to the translation of vv. 1-4a from their original Hebrew.</w:t>
      </w:r>
    </w:p>
  </w:footnote>
  <w:footnote w:id="448">
    <w:p w:rsidR="00786194" w:rsidRPr="00A42549" w:rsidRDefault="00786194" w:rsidP="00627461">
      <w:pPr>
        <w:pStyle w:val="FootnoteText"/>
        <w:rPr>
          <w:sz w:val="22"/>
          <w:szCs w:val="22"/>
        </w:rPr>
      </w:pPr>
      <w:r w:rsidRPr="00A42549">
        <w:rPr>
          <w:rStyle w:val="FootnoteReference"/>
          <w:sz w:val="22"/>
          <w:szCs w:val="22"/>
        </w:rPr>
        <w:footnoteRef/>
      </w:r>
      <w:r w:rsidRPr="00A42549">
        <w:rPr>
          <w:sz w:val="22"/>
          <w:szCs w:val="22"/>
        </w:rPr>
        <w:t xml:space="preserve"> Ginsberg (</w:t>
      </w:r>
      <w:r w:rsidRPr="00A42549">
        <w:rPr>
          <w:i/>
          <w:sz w:val="22"/>
          <w:szCs w:val="22"/>
        </w:rPr>
        <w:t>Studies in Daniel,</w:t>
      </w:r>
      <w:r w:rsidRPr="00A42549">
        <w:rPr>
          <w:sz w:val="22"/>
          <w:szCs w:val="22"/>
        </w:rPr>
        <w:t xml:space="preserve"> 7–9) seeks to specify the date more precisely.</w:t>
      </w:r>
    </w:p>
  </w:footnote>
  <w:footnote w:id="44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Eissfeldt, “Daniels und seiner drei Gefärten Laufbahn.”</w:t>
      </w:r>
    </w:p>
  </w:footnote>
  <w:footnote w:id="45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Plöger, </w:t>
      </w:r>
      <w:r w:rsidRPr="00A42549">
        <w:rPr>
          <w:i/>
          <w:sz w:val="22"/>
          <w:szCs w:val="22"/>
        </w:rPr>
        <w:t>Daniel</w:t>
      </w:r>
      <w:r w:rsidRPr="00A42549">
        <w:rPr>
          <w:sz w:val="22"/>
          <w:szCs w:val="22"/>
        </w:rPr>
        <w:t>, on the passage.</w:t>
      </w:r>
    </w:p>
  </w:footnote>
  <w:footnote w:id="451">
    <w:p w:rsidR="00786194" w:rsidRPr="00A42549" w:rsidRDefault="00786194" w:rsidP="00DF573F">
      <w:pPr>
        <w:pStyle w:val="FootnoteText"/>
        <w:rPr>
          <w:sz w:val="22"/>
          <w:szCs w:val="22"/>
        </w:rPr>
      </w:pPr>
      <w:r w:rsidRPr="00A42549">
        <w:rPr>
          <w:rStyle w:val="FootnoteReference"/>
          <w:sz w:val="22"/>
          <w:szCs w:val="22"/>
        </w:rPr>
        <w:footnoteRef/>
      </w:r>
      <w:r w:rsidRPr="00A42549">
        <w:rPr>
          <w:sz w:val="22"/>
          <w:szCs w:val="22"/>
        </w:rPr>
        <w:t xml:space="preserve"> Cf. von der Osten-Sacken, </w:t>
      </w:r>
      <w:r w:rsidRPr="00A42549">
        <w:rPr>
          <w:i/>
          <w:sz w:val="22"/>
          <w:szCs w:val="22"/>
        </w:rPr>
        <w:t>Apokalyptik in ihrem Verhältnis zu Prophetie und Weisheit</w:t>
      </w:r>
      <w:r w:rsidRPr="00A42549">
        <w:rPr>
          <w:sz w:val="22"/>
          <w:szCs w:val="22"/>
        </w:rPr>
        <w:t xml:space="preserve">, 23–25; Gammie, “The Intention and Sources of Daniel i-vi,” 287–91; Collins, </w:t>
      </w:r>
      <w:r w:rsidRPr="00A42549">
        <w:rPr>
          <w:i/>
          <w:sz w:val="22"/>
          <w:szCs w:val="22"/>
        </w:rPr>
        <w:t>Apocalyptic Vision of the Book of Daniel</w:t>
      </w:r>
      <w:r w:rsidRPr="00A42549">
        <w:rPr>
          <w:sz w:val="22"/>
          <w:szCs w:val="22"/>
        </w:rPr>
        <w:t>, 44–45.</w:t>
      </w:r>
    </w:p>
  </w:footnote>
  <w:footnote w:id="45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Hammer, </w:t>
      </w:r>
      <w:r w:rsidRPr="00A42549">
        <w:rPr>
          <w:i/>
          <w:sz w:val="22"/>
          <w:szCs w:val="22"/>
        </w:rPr>
        <w:t>Daniel</w:t>
      </w:r>
      <w:r w:rsidRPr="00A42549">
        <w:rPr>
          <w:sz w:val="22"/>
          <w:szCs w:val="22"/>
        </w:rPr>
        <w:t>, on the passage.</w:t>
      </w:r>
    </w:p>
  </w:footnote>
  <w:footnote w:id="453">
    <w:p w:rsidR="00786194" w:rsidRPr="00A42549" w:rsidRDefault="00786194" w:rsidP="00427DDE">
      <w:pPr>
        <w:pStyle w:val="FootnoteText"/>
        <w:rPr>
          <w:sz w:val="22"/>
          <w:szCs w:val="22"/>
        </w:rPr>
      </w:pPr>
      <w:r w:rsidRPr="00A42549">
        <w:rPr>
          <w:rStyle w:val="FootnoteReference"/>
          <w:sz w:val="22"/>
          <w:szCs w:val="22"/>
        </w:rPr>
        <w:footnoteRef/>
      </w:r>
      <w:r w:rsidRPr="00A42549">
        <w:rPr>
          <w:sz w:val="22"/>
          <w:szCs w:val="22"/>
        </w:rPr>
        <w:t xml:space="preserve"> Nel,</w:t>
      </w:r>
      <w:r w:rsidRPr="00A42549">
        <w:rPr>
          <w:bCs/>
          <w:iCs/>
          <w:sz w:val="22"/>
          <w:szCs w:val="22"/>
        </w:rPr>
        <w:t xml:space="preserve"> “A Literary-Historical Analysis of Daniel 2,” 79.</w:t>
      </w:r>
    </w:p>
  </w:footnote>
  <w:footnote w:id="45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Driver, </w:t>
      </w:r>
      <w:r w:rsidRPr="00A42549">
        <w:rPr>
          <w:i/>
          <w:sz w:val="22"/>
          <w:szCs w:val="22"/>
        </w:rPr>
        <w:t>Daniel</w:t>
      </w:r>
      <w:r w:rsidRPr="00A42549">
        <w:rPr>
          <w:sz w:val="22"/>
          <w:szCs w:val="22"/>
        </w:rPr>
        <w:t xml:space="preserve">, on the passage; and the </w:t>
      </w:r>
      <w:r w:rsidRPr="00A42549">
        <w:rPr>
          <w:i/>
          <w:sz w:val="22"/>
          <w:szCs w:val="22"/>
        </w:rPr>
        <w:t>Comment</w:t>
      </w:r>
      <w:r w:rsidRPr="00A42549">
        <w:rPr>
          <w:sz w:val="22"/>
          <w:szCs w:val="22"/>
        </w:rPr>
        <w:t xml:space="preserve"> on 1:1.</w:t>
      </w:r>
    </w:p>
  </w:footnote>
  <w:footnote w:id="45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Hebbard, </w:t>
      </w:r>
      <w:r w:rsidRPr="00A42549">
        <w:rPr>
          <w:i/>
          <w:sz w:val="22"/>
          <w:szCs w:val="22"/>
        </w:rPr>
        <w:t>Reading Daniel</w:t>
      </w:r>
      <w:r w:rsidRPr="00A42549">
        <w:rPr>
          <w:sz w:val="22"/>
          <w:szCs w:val="22"/>
        </w:rPr>
        <w:t>, 80.</w:t>
      </w:r>
    </w:p>
  </w:footnote>
  <w:footnote w:id="456">
    <w:p w:rsidR="00786194" w:rsidRPr="00A42549" w:rsidRDefault="00786194" w:rsidP="007975A0">
      <w:pPr>
        <w:pStyle w:val="FootnoteText"/>
        <w:rPr>
          <w:sz w:val="22"/>
          <w:szCs w:val="22"/>
        </w:rPr>
      </w:pPr>
      <w:r w:rsidRPr="00A42549">
        <w:rPr>
          <w:rStyle w:val="FootnoteReference"/>
          <w:sz w:val="22"/>
          <w:szCs w:val="22"/>
        </w:rPr>
        <w:footnoteRef/>
      </w:r>
      <w:r w:rsidRPr="00A42549">
        <w:rPr>
          <w:sz w:val="22"/>
          <w:szCs w:val="22"/>
        </w:rPr>
        <w:t xml:space="preserve"> So e.g., Plöger, </w:t>
      </w:r>
      <w:r w:rsidRPr="00A42549">
        <w:rPr>
          <w:i/>
          <w:sz w:val="22"/>
          <w:szCs w:val="22"/>
        </w:rPr>
        <w:t>Daniel</w:t>
      </w:r>
      <w:r w:rsidRPr="00A42549">
        <w:rPr>
          <w:sz w:val="22"/>
          <w:szCs w:val="22"/>
        </w:rPr>
        <w:t>, on the passage.</w:t>
      </w:r>
    </w:p>
  </w:footnote>
  <w:footnote w:id="45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Oppenheim, “Interpretation of Dreams”; Gnuse, “Dreams and Their Theological Significance in the Biblical Tradition”; Resch, </w:t>
      </w:r>
      <w:r w:rsidRPr="00A42549">
        <w:rPr>
          <w:i/>
          <w:sz w:val="22"/>
          <w:szCs w:val="22"/>
        </w:rPr>
        <w:t>Der Traum im Heilsplan Gottes</w:t>
      </w:r>
      <w:r w:rsidRPr="00A42549">
        <w:rPr>
          <w:sz w:val="22"/>
          <w:szCs w:val="22"/>
        </w:rPr>
        <w:t xml:space="preserve">; Ehrlich, </w:t>
      </w:r>
      <w:r w:rsidRPr="00A42549">
        <w:rPr>
          <w:i/>
          <w:sz w:val="22"/>
          <w:szCs w:val="22"/>
        </w:rPr>
        <w:t>Der Traum im AT</w:t>
      </w:r>
      <w:r w:rsidRPr="00A42549">
        <w:rPr>
          <w:sz w:val="22"/>
          <w:szCs w:val="22"/>
        </w:rPr>
        <w:t xml:space="preserve">; Butler, </w:t>
      </w:r>
      <w:r w:rsidRPr="00A42549">
        <w:rPr>
          <w:i/>
          <w:sz w:val="22"/>
          <w:szCs w:val="22"/>
        </w:rPr>
        <w:t>Mesopotamian Conceptions of Dreams</w:t>
      </w:r>
      <w:r w:rsidRPr="00A42549">
        <w:rPr>
          <w:sz w:val="22"/>
          <w:szCs w:val="22"/>
        </w:rPr>
        <w:t>.</w:t>
      </w:r>
    </w:p>
  </w:footnote>
  <w:footnote w:id="45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J. Sweek, “Inquiring for the State in the Ancient Near East,” in </w:t>
      </w:r>
      <w:r w:rsidRPr="00A42549">
        <w:rPr>
          <w:bCs/>
          <w:sz w:val="22"/>
          <w:szCs w:val="22"/>
        </w:rPr>
        <w:t>Ciraolo/Lee, J. (eds.),</w:t>
      </w:r>
      <w:r w:rsidRPr="00A42549">
        <w:rPr>
          <w:b/>
          <w:bCs/>
          <w:sz w:val="22"/>
          <w:szCs w:val="22"/>
        </w:rPr>
        <w:t xml:space="preserve"> </w:t>
      </w:r>
      <w:r w:rsidRPr="00A42549">
        <w:rPr>
          <w:i/>
          <w:sz w:val="22"/>
          <w:szCs w:val="22"/>
        </w:rPr>
        <w:t xml:space="preserve">Magic and Divination in the Ancient World, </w:t>
      </w:r>
      <w:r w:rsidRPr="00A42549">
        <w:rPr>
          <w:sz w:val="22"/>
          <w:szCs w:val="22"/>
        </w:rPr>
        <w:t>41-56.</w:t>
      </w:r>
    </w:p>
  </w:footnote>
  <w:footnote w:id="45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But Cryer</w:t>
      </w:r>
      <w:r w:rsidRPr="00A42549">
        <w:rPr>
          <w:b/>
          <w:sz w:val="22"/>
          <w:szCs w:val="22"/>
        </w:rPr>
        <w:t xml:space="preserve">, </w:t>
      </w:r>
      <w:r w:rsidRPr="00A42549">
        <w:rPr>
          <w:i/>
          <w:sz w:val="22"/>
          <w:szCs w:val="22"/>
        </w:rPr>
        <w:t>Divination in Ancient Israel and Its Near Eastern Environment</w:t>
      </w:r>
      <w:r w:rsidRPr="00A42549">
        <w:rPr>
          <w:sz w:val="22"/>
          <w:szCs w:val="22"/>
        </w:rPr>
        <w:t>, notes the importance of divination in Israel.</w:t>
      </w:r>
    </w:p>
  </w:footnote>
  <w:footnote w:id="46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Oppenheim, “Interpretation of Dreams,” 238; Müller, “Der Begriff 'Rätsel' im AT,” 473.</w:t>
      </w:r>
    </w:p>
  </w:footnote>
  <w:footnote w:id="4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Oppenheim, </w:t>
      </w:r>
      <w:r w:rsidRPr="00A42549">
        <w:rPr>
          <w:i/>
          <w:sz w:val="22"/>
          <w:szCs w:val="22"/>
        </w:rPr>
        <w:t>Ancient Mesopotamia</w:t>
      </w:r>
      <w:r w:rsidRPr="00A42549">
        <w:rPr>
          <w:sz w:val="22"/>
          <w:szCs w:val="22"/>
        </w:rPr>
        <w:t xml:space="preserve">, 289–305; Saggs, </w:t>
      </w:r>
      <w:r w:rsidRPr="00A42549">
        <w:rPr>
          <w:i/>
          <w:sz w:val="22"/>
          <w:szCs w:val="22"/>
        </w:rPr>
        <w:t>The Greatness That Was Babylon</w:t>
      </w:r>
      <w:r w:rsidRPr="00A42549">
        <w:rPr>
          <w:sz w:val="22"/>
          <w:szCs w:val="22"/>
        </w:rPr>
        <w:t>, 303–28.</w:t>
      </w:r>
    </w:p>
  </w:footnote>
  <w:footnote w:id="46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MacLaurin, “Joseph and Asaph.”</w:t>
      </w:r>
    </w:p>
  </w:footnote>
  <w:footnote w:id="46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Jeffers, </w:t>
      </w:r>
      <w:r w:rsidRPr="00A42549">
        <w:rPr>
          <w:i/>
          <w:sz w:val="22"/>
          <w:szCs w:val="22"/>
        </w:rPr>
        <w:t>Magic and Divination</w:t>
      </w:r>
      <w:r w:rsidRPr="00A42549">
        <w:rPr>
          <w:sz w:val="22"/>
          <w:szCs w:val="22"/>
        </w:rPr>
        <w:t>, 28-30.</w:t>
      </w:r>
    </w:p>
  </w:footnote>
  <w:footnote w:id="46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Müller, “Magisch-mantische Weisheit und die Gestalt Daniels,” 79–85.</w:t>
      </w:r>
    </w:p>
  </w:footnote>
  <w:footnote w:id="46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t>
      </w:r>
      <w:r w:rsidRPr="00A42549">
        <w:rPr>
          <w:i/>
          <w:sz w:val="22"/>
          <w:szCs w:val="22"/>
        </w:rPr>
        <w:t>HALOT</w:t>
      </w:r>
      <w:r w:rsidRPr="00A42549">
        <w:rPr>
          <w:sz w:val="22"/>
          <w:szCs w:val="22"/>
        </w:rPr>
        <w:t>.</w:t>
      </w:r>
    </w:p>
  </w:footnote>
  <w:footnote w:id="46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Dupont-Sommer, “Exorcismes et guérisons dans les écrits de Qoumrân,” 256–58.</w:t>
      </w:r>
    </w:p>
  </w:footnote>
  <w:footnote w:id="46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Carmignac, “Un équivalent français de l’araméen ‘gazir.’”</w:t>
      </w:r>
    </w:p>
  </w:footnote>
  <w:footnote w:id="46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which see Oppenheim, </w:t>
      </w:r>
      <w:r w:rsidRPr="00A42549">
        <w:rPr>
          <w:i/>
          <w:sz w:val="22"/>
          <w:szCs w:val="22"/>
        </w:rPr>
        <w:t>Ancient Mesopotamia</w:t>
      </w:r>
      <w:r w:rsidRPr="00A42549">
        <w:rPr>
          <w:sz w:val="22"/>
          <w:szCs w:val="22"/>
        </w:rPr>
        <w:t xml:space="preserve">, 81–82; Saggs, </w:t>
      </w:r>
      <w:r w:rsidRPr="00A42549">
        <w:rPr>
          <w:i/>
          <w:sz w:val="22"/>
          <w:szCs w:val="22"/>
        </w:rPr>
        <w:t>The Greatness That Was Babylon</w:t>
      </w:r>
      <w:r w:rsidRPr="00A42549">
        <w:rPr>
          <w:sz w:val="22"/>
          <w:szCs w:val="22"/>
        </w:rPr>
        <w:t xml:space="preserve">, 346–48; Driver, </w:t>
      </w:r>
      <w:r w:rsidRPr="00A42549">
        <w:rPr>
          <w:i/>
          <w:sz w:val="22"/>
          <w:szCs w:val="22"/>
        </w:rPr>
        <w:t>Daniel</w:t>
      </w:r>
      <w:r w:rsidRPr="00A42549">
        <w:rPr>
          <w:sz w:val="22"/>
          <w:szCs w:val="22"/>
        </w:rPr>
        <w:t>,</w:t>
      </w:r>
      <w:r w:rsidRPr="00A42549">
        <w:rPr>
          <w:i/>
          <w:sz w:val="22"/>
          <w:szCs w:val="22"/>
        </w:rPr>
        <w:t xml:space="preserve"> </w:t>
      </w:r>
      <w:r w:rsidRPr="00A42549">
        <w:rPr>
          <w:sz w:val="22"/>
          <w:szCs w:val="22"/>
        </w:rPr>
        <w:t>12–16.</w:t>
      </w:r>
    </w:p>
  </w:footnote>
  <w:footnote w:id="46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the motif of the forgotten dream, see Heller, “Das Traumerraten im Buche Daniel”; Ehrlich, </w:t>
      </w:r>
      <w:r w:rsidRPr="00A42549">
        <w:rPr>
          <w:i/>
          <w:sz w:val="22"/>
          <w:szCs w:val="22"/>
        </w:rPr>
        <w:t>Der Traum im AT,</w:t>
      </w:r>
      <w:r w:rsidRPr="00A42549">
        <w:rPr>
          <w:sz w:val="22"/>
          <w:szCs w:val="22"/>
        </w:rPr>
        <w:t xml:space="preserve"> 93–100; </w:t>
      </w:r>
      <w:r w:rsidRPr="00A42549">
        <w:rPr>
          <w:i/>
          <w:sz w:val="22"/>
          <w:szCs w:val="22"/>
        </w:rPr>
        <w:t>b. Berakot</w:t>
      </w:r>
      <w:r w:rsidRPr="00A42549">
        <w:rPr>
          <w:sz w:val="22"/>
          <w:szCs w:val="22"/>
        </w:rPr>
        <w:t xml:space="preserve"> 55b.</w:t>
      </w:r>
    </w:p>
  </w:footnote>
  <w:footnote w:id="47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Butler, </w:t>
      </w:r>
      <w:r w:rsidRPr="00A42549">
        <w:rPr>
          <w:i/>
          <w:sz w:val="22"/>
          <w:szCs w:val="22"/>
        </w:rPr>
        <w:t>Mesopotamian Conceptions of Dreams</w:t>
      </w:r>
      <w:r w:rsidRPr="00A42549">
        <w:rPr>
          <w:sz w:val="22"/>
          <w:szCs w:val="22"/>
        </w:rPr>
        <w:t>, 91.</w:t>
      </w:r>
    </w:p>
  </w:footnote>
  <w:footnote w:id="47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ANET</w:t>
      </w:r>
      <w:r w:rsidRPr="00A42549">
        <w:rPr>
          <w:sz w:val="22"/>
          <w:szCs w:val="22"/>
        </w:rPr>
        <w:t>, 312–15.</w:t>
      </w:r>
    </w:p>
  </w:footnote>
  <w:footnote w:id="47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Koch, </w:t>
      </w:r>
      <w:r w:rsidRPr="00A42549">
        <w:rPr>
          <w:i/>
          <w:sz w:val="22"/>
          <w:szCs w:val="22"/>
        </w:rPr>
        <w:t>Daniel 1—4</w:t>
      </w:r>
      <w:r w:rsidRPr="00A42549">
        <w:rPr>
          <w:sz w:val="22"/>
          <w:szCs w:val="22"/>
        </w:rPr>
        <w:t>, 150.</w:t>
      </w:r>
    </w:p>
  </w:footnote>
  <w:footnote w:id="47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Plöger, </w:t>
      </w:r>
      <w:r w:rsidRPr="00A42549">
        <w:rPr>
          <w:i/>
          <w:sz w:val="22"/>
          <w:szCs w:val="22"/>
        </w:rPr>
        <w:t>Daniel</w:t>
      </w:r>
      <w:r w:rsidRPr="00A42549">
        <w:rPr>
          <w:sz w:val="22"/>
          <w:szCs w:val="22"/>
        </w:rPr>
        <w:t>, on the passage.</w:t>
      </w:r>
    </w:p>
  </w:footnote>
  <w:footnote w:id="474">
    <w:p w:rsidR="00786194" w:rsidRPr="00A42549" w:rsidRDefault="00786194" w:rsidP="00DF1EBE">
      <w:pPr>
        <w:pStyle w:val="FootnoteText"/>
        <w:rPr>
          <w:sz w:val="22"/>
          <w:szCs w:val="22"/>
        </w:rPr>
      </w:pPr>
      <w:r w:rsidRPr="00A42549">
        <w:rPr>
          <w:rStyle w:val="FootnoteReference"/>
          <w:sz w:val="22"/>
          <w:szCs w:val="22"/>
        </w:rPr>
        <w:footnoteRef/>
      </w:r>
      <w:r w:rsidRPr="00A42549">
        <w:rPr>
          <w:sz w:val="22"/>
          <w:szCs w:val="22"/>
        </w:rPr>
        <w:t xml:space="preserve"> Against Delcor, É</w:t>
      </w:r>
      <w:r w:rsidRPr="00A42549">
        <w:rPr>
          <w:i/>
          <w:sz w:val="22"/>
          <w:szCs w:val="22"/>
        </w:rPr>
        <w:t>tudes bibliques et orientales</w:t>
      </w:r>
      <w:r w:rsidRPr="00A42549">
        <w:rPr>
          <w:sz w:val="22"/>
          <w:szCs w:val="22"/>
        </w:rPr>
        <w:t>, 227.</w:t>
      </w:r>
    </w:p>
  </w:footnote>
  <w:footnote w:id="475">
    <w:p w:rsidR="00786194" w:rsidRPr="00A42549" w:rsidRDefault="00786194" w:rsidP="00AD453F">
      <w:pPr>
        <w:pStyle w:val="FootnoteText"/>
        <w:rPr>
          <w:sz w:val="22"/>
          <w:szCs w:val="22"/>
        </w:rPr>
      </w:pPr>
      <w:r w:rsidRPr="00A42549">
        <w:rPr>
          <w:rStyle w:val="FootnoteReference"/>
          <w:sz w:val="22"/>
          <w:szCs w:val="22"/>
        </w:rPr>
        <w:footnoteRef/>
      </w:r>
      <w:r w:rsidRPr="00A42549">
        <w:rPr>
          <w:sz w:val="22"/>
          <w:szCs w:val="22"/>
        </w:rPr>
        <w:t xml:space="preserve"> See Andrews, “Yahweh the God of the Heavens”; Eissfeldt, “Ba‘alšamēm und Jahwe.” </w:t>
      </w:r>
    </w:p>
  </w:footnote>
  <w:footnote w:id="47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Nel, “Pentateugtradisies en -temas in Daniël.”</w:t>
      </w:r>
    </w:p>
  </w:footnote>
  <w:footnote w:id="47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Oden, “Ba‘al šāmēm and ’El.”</w:t>
      </w:r>
    </w:p>
  </w:footnote>
  <w:footnote w:id="478">
    <w:p w:rsidR="00786194" w:rsidRPr="00A42549" w:rsidRDefault="00786194" w:rsidP="00450523">
      <w:pPr>
        <w:pStyle w:val="FootnoteText"/>
        <w:rPr>
          <w:sz w:val="22"/>
          <w:szCs w:val="22"/>
        </w:rPr>
      </w:pPr>
      <w:r w:rsidRPr="00A42549">
        <w:rPr>
          <w:rStyle w:val="FootnoteReference"/>
          <w:sz w:val="22"/>
          <w:szCs w:val="22"/>
        </w:rPr>
        <w:footnoteRef/>
      </w:r>
      <w:r w:rsidRPr="00A42549">
        <w:rPr>
          <w:sz w:val="22"/>
          <w:szCs w:val="22"/>
        </w:rPr>
        <w:t xml:space="preserve"> Koch, </w:t>
      </w:r>
      <w:r w:rsidRPr="00A42549">
        <w:rPr>
          <w:i/>
          <w:sz w:val="22"/>
          <w:szCs w:val="22"/>
        </w:rPr>
        <w:t>Daniel 1—4</w:t>
      </w:r>
      <w:r w:rsidRPr="00A42549">
        <w:rPr>
          <w:sz w:val="22"/>
          <w:szCs w:val="22"/>
        </w:rPr>
        <w:t>, 94. But OG then apparently thinks it okay when addressing the Gentile king (see vv. 28, 37, 44).</w:t>
      </w:r>
    </w:p>
  </w:footnote>
  <w:footnote w:id="47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Beyerle, “The God of Heaven.”</w:t>
      </w:r>
    </w:p>
  </w:footnote>
  <w:footnote w:id="48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 Vogt, “‘Mysteria’”; Brown, “The Pre-Christian Semitic Concept of ‘Mystery’”; Willi-Plein, “Das Geheimnis der Apokalyptik”; Gladd</w:t>
      </w:r>
      <w:r w:rsidRPr="00A42549">
        <w:rPr>
          <w:b/>
          <w:sz w:val="22"/>
          <w:szCs w:val="22"/>
        </w:rPr>
        <w:t xml:space="preserve">, </w:t>
      </w:r>
      <w:r w:rsidRPr="00A42549">
        <w:rPr>
          <w:i/>
          <w:sz w:val="22"/>
          <w:szCs w:val="22"/>
        </w:rPr>
        <w:t xml:space="preserve">Revealing the </w:t>
      </w:r>
      <w:r w:rsidRPr="00A42549">
        <w:rPr>
          <w:sz w:val="22"/>
          <w:szCs w:val="22"/>
        </w:rPr>
        <w:t>Mysterion</w:t>
      </w:r>
      <w:r w:rsidRPr="00A42549">
        <w:rPr>
          <w:rStyle w:val="descrip"/>
          <w:sz w:val="22"/>
          <w:szCs w:val="22"/>
        </w:rPr>
        <w:t>, 17-50.</w:t>
      </w:r>
    </w:p>
  </w:footnote>
  <w:footnote w:id="48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Collins, </w:t>
      </w:r>
      <w:r w:rsidRPr="00A42549">
        <w:rPr>
          <w:i/>
          <w:sz w:val="22"/>
          <w:szCs w:val="22"/>
        </w:rPr>
        <w:t>Daniel</w:t>
      </w:r>
      <w:r w:rsidRPr="00A42549">
        <w:rPr>
          <w:sz w:val="22"/>
          <w:szCs w:val="22"/>
        </w:rPr>
        <w:t>, 159, who notes that Th renders the verb ἀπεκαλύφθη</w:t>
      </w:r>
    </w:p>
  </w:footnote>
  <w:footnote w:id="48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J. Gamberoni in </w:t>
      </w:r>
      <w:r w:rsidRPr="00A42549">
        <w:rPr>
          <w:i/>
          <w:sz w:val="22"/>
          <w:szCs w:val="22"/>
        </w:rPr>
        <w:t>TWAT</w:t>
      </w:r>
      <w:r w:rsidRPr="00A42549">
        <w:rPr>
          <w:sz w:val="22"/>
          <w:szCs w:val="22"/>
        </w:rPr>
        <w:t xml:space="preserve"> on </w:t>
      </w:r>
      <w:r w:rsidRPr="00A42549">
        <w:rPr>
          <w:rFonts w:ascii="Arial" w:hAnsi="Arial" w:cs="Arial"/>
          <w:sz w:val="22"/>
          <w:szCs w:val="22"/>
        </w:rPr>
        <w:t>ברך</w:t>
      </w:r>
      <w:r w:rsidRPr="00A42549">
        <w:rPr>
          <w:sz w:val="22"/>
          <w:szCs w:val="22"/>
        </w:rPr>
        <w:t>).</w:t>
      </w:r>
    </w:p>
  </w:footnote>
  <w:footnote w:id="48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Gladd</w:t>
      </w:r>
      <w:r w:rsidRPr="00A42549">
        <w:rPr>
          <w:b/>
          <w:sz w:val="22"/>
          <w:szCs w:val="22"/>
        </w:rPr>
        <w:t xml:space="preserve">, </w:t>
      </w:r>
      <w:r w:rsidRPr="00A42549">
        <w:rPr>
          <w:i/>
          <w:sz w:val="22"/>
          <w:szCs w:val="22"/>
        </w:rPr>
        <w:t xml:space="preserve">Revealing the </w:t>
      </w:r>
      <w:r w:rsidRPr="00A42549">
        <w:rPr>
          <w:sz w:val="22"/>
          <w:szCs w:val="22"/>
        </w:rPr>
        <w:t>Mysterion, 32, 33-34.</w:t>
      </w:r>
    </w:p>
  </w:footnote>
  <w:footnote w:id="484">
    <w:p w:rsidR="00786194" w:rsidRPr="00A42549" w:rsidRDefault="00786194" w:rsidP="006F713E">
      <w:pPr>
        <w:pStyle w:val="FootnoteText"/>
        <w:rPr>
          <w:sz w:val="22"/>
          <w:szCs w:val="22"/>
        </w:rPr>
      </w:pPr>
      <w:r w:rsidRPr="00A42549">
        <w:rPr>
          <w:rStyle w:val="FootnoteReference"/>
          <w:sz w:val="22"/>
          <w:szCs w:val="22"/>
        </w:rPr>
        <w:footnoteRef/>
      </w:r>
      <w:r w:rsidRPr="00A42549">
        <w:rPr>
          <w:sz w:val="22"/>
          <w:szCs w:val="22"/>
        </w:rPr>
        <w:t xml:space="preserve"> Cf. Koch, </w:t>
      </w:r>
      <w:r w:rsidRPr="00A42549">
        <w:rPr>
          <w:i/>
          <w:sz w:val="22"/>
          <w:szCs w:val="22"/>
        </w:rPr>
        <w:t>Daniel 1—4</w:t>
      </w:r>
      <w:r w:rsidRPr="00A42549">
        <w:rPr>
          <w:sz w:val="22"/>
          <w:szCs w:val="22"/>
        </w:rPr>
        <w:t>, 172.</w:t>
      </w:r>
    </w:p>
  </w:footnote>
  <w:footnote w:id="48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Licht, “...</w:t>
      </w:r>
      <w:r w:rsidRPr="00A42549">
        <w:rPr>
          <w:rFonts w:ascii="Arial" w:hAnsi="Arial" w:cs="Arial"/>
          <w:sz w:val="22"/>
          <w:szCs w:val="22"/>
        </w:rPr>
        <w:t>ם</w:t>
      </w:r>
      <w:r w:rsidRPr="00A42549">
        <w:rPr>
          <w:sz w:val="22"/>
          <w:szCs w:val="22"/>
        </w:rPr>
        <w:t xml:space="preserve"> </w:t>
      </w:r>
      <w:r w:rsidRPr="00A42549">
        <w:rPr>
          <w:rFonts w:ascii="Arial" w:hAnsi="Arial" w:cs="Arial"/>
          <w:sz w:val="22"/>
          <w:szCs w:val="22"/>
        </w:rPr>
        <w:t>י</w:t>
      </w:r>
      <w:r w:rsidRPr="00A42549">
        <w:rPr>
          <w:sz w:val="22"/>
          <w:szCs w:val="22"/>
        </w:rPr>
        <w:t xml:space="preserve"> </w:t>
      </w:r>
      <w:r w:rsidRPr="00A42549">
        <w:rPr>
          <w:rFonts w:ascii="Arial" w:hAnsi="Arial" w:cs="Arial"/>
          <w:sz w:val="22"/>
          <w:szCs w:val="22"/>
        </w:rPr>
        <w:t>ת</w:t>
      </w:r>
      <w:r w:rsidRPr="00A42549">
        <w:rPr>
          <w:sz w:val="22"/>
          <w:szCs w:val="22"/>
        </w:rPr>
        <w:t xml:space="preserve"> </w:t>
      </w:r>
      <w:r w:rsidRPr="00A42549">
        <w:rPr>
          <w:rFonts w:ascii="Arial" w:hAnsi="Arial" w:cs="Arial"/>
          <w:sz w:val="22"/>
          <w:szCs w:val="22"/>
        </w:rPr>
        <w:t>ע</w:t>
      </w:r>
      <w:r w:rsidRPr="00A42549">
        <w:rPr>
          <w:sz w:val="22"/>
          <w:szCs w:val="22"/>
        </w:rPr>
        <w:t> </w:t>
      </w:r>
      <w:r w:rsidRPr="00A42549">
        <w:rPr>
          <w:rFonts w:ascii="Arial" w:hAnsi="Arial" w:cs="Arial"/>
          <w:sz w:val="22"/>
          <w:szCs w:val="22"/>
        </w:rPr>
        <w:t>ה</w:t>
      </w:r>
      <w:r w:rsidRPr="00A42549">
        <w:rPr>
          <w:sz w:val="22"/>
          <w:szCs w:val="22"/>
        </w:rPr>
        <w:t xml:space="preserve"> </w:t>
      </w:r>
      <w:r w:rsidRPr="00A42549">
        <w:rPr>
          <w:rFonts w:ascii="Arial" w:hAnsi="Arial" w:cs="Arial"/>
          <w:sz w:val="22"/>
          <w:szCs w:val="22"/>
        </w:rPr>
        <w:t>תורה</w:t>
      </w:r>
      <w:r w:rsidRPr="00A42549">
        <w:rPr>
          <w:sz w:val="22"/>
          <w:szCs w:val="22"/>
        </w:rPr>
        <w:t>.”</w:t>
      </w:r>
    </w:p>
  </w:footnote>
  <w:footnote w:id="48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CAD</w:t>
      </w:r>
      <w:r w:rsidRPr="00A42549">
        <w:rPr>
          <w:sz w:val="22"/>
          <w:szCs w:val="22"/>
        </w:rPr>
        <w:t xml:space="preserve"> A, 1:194.</w:t>
      </w:r>
    </w:p>
  </w:footnote>
  <w:footnote w:id="48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“the end of the days,” see H. Seebass in </w:t>
      </w:r>
      <w:r w:rsidRPr="00A42549">
        <w:rPr>
          <w:i/>
          <w:sz w:val="22"/>
          <w:szCs w:val="22"/>
        </w:rPr>
        <w:t>TWAT</w:t>
      </w:r>
      <w:r w:rsidRPr="00A42549">
        <w:rPr>
          <w:sz w:val="22"/>
          <w:szCs w:val="22"/>
        </w:rPr>
        <w:t xml:space="preserve"> on </w:t>
      </w:r>
      <w:r w:rsidRPr="00A42549">
        <w:rPr>
          <w:rFonts w:ascii="Arial" w:hAnsi="Arial" w:cs="Arial"/>
          <w:sz w:val="22"/>
          <w:szCs w:val="22"/>
        </w:rPr>
        <w:t>אחרית</w:t>
      </w:r>
      <w:r w:rsidRPr="00A42549">
        <w:rPr>
          <w:sz w:val="22"/>
          <w:szCs w:val="22"/>
        </w:rPr>
        <w:t xml:space="preserve"> ; Willis, “The Expression be’acharith hayyamim in the OT”; Staerk, “Der Gebrauch der Wendung  </w:t>
      </w:r>
      <w:r w:rsidRPr="00A42549">
        <w:rPr>
          <w:rFonts w:ascii="Arial" w:hAnsi="Arial" w:cs="Arial"/>
          <w:sz w:val="22"/>
          <w:szCs w:val="22"/>
        </w:rPr>
        <w:t>הימים</w:t>
      </w:r>
      <w:r w:rsidRPr="00A42549">
        <w:rPr>
          <w:sz w:val="22"/>
          <w:szCs w:val="22"/>
        </w:rPr>
        <w:t xml:space="preserve">  </w:t>
      </w:r>
      <w:r w:rsidRPr="00A42549">
        <w:rPr>
          <w:rFonts w:ascii="Arial" w:hAnsi="Arial" w:cs="Arial"/>
          <w:sz w:val="22"/>
          <w:szCs w:val="22"/>
        </w:rPr>
        <w:t>באחרית</w:t>
      </w:r>
      <w:r w:rsidRPr="00A42549">
        <w:rPr>
          <w:sz w:val="22"/>
          <w:szCs w:val="22"/>
        </w:rPr>
        <w:t xml:space="preserve"> im at. Kanon”; Buchanan, “Eschatology and the ‘End of Days’”; Carmignac, “La notion d’eschatologie dans la Bible et à Qumrân”; Kosmala, “At the End of the Days”; van der Ploeg, “Eschatology in the OT”; Rinaldi, “Nota”; Jones, </w:t>
      </w:r>
      <w:r w:rsidRPr="00A42549">
        <w:rPr>
          <w:i/>
          <w:sz w:val="22"/>
          <w:szCs w:val="22"/>
        </w:rPr>
        <w:t>Ideas of History in the Book of Daniel</w:t>
      </w:r>
      <w:r w:rsidRPr="00A42549">
        <w:rPr>
          <w:sz w:val="22"/>
          <w:szCs w:val="22"/>
        </w:rPr>
        <w:t>, 220–39; Hoffmann, “’</w:t>
      </w:r>
      <w:r w:rsidRPr="00A42549">
        <w:rPr>
          <w:rFonts w:ascii="Arial" w:hAnsi="Arial" w:cs="Arial"/>
          <w:sz w:val="22"/>
          <w:szCs w:val="22"/>
        </w:rPr>
        <w:t>הואה</w:t>
      </w:r>
      <w:r w:rsidRPr="00A42549">
        <w:rPr>
          <w:sz w:val="22"/>
          <w:szCs w:val="22"/>
        </w:rPr>
        <w:t xml:space="preserve"> </w:t>
      </w:r>
      <w:r w:rsidRPr="00A42549">
        <w:rPr>
          <w:rFonts w:ascii="Arial" w:hAnsi="Arial" w:cs="Arial"/>
          <w:sz w:val="22"/>
          <w:szCs w:val="22"/>
        </w:rPr>
        <w:t>םויב</w:t>
      </w:r>
      <w:r w:rsidRPr="00A42549">
        <w:rPr>
          <w:sz w:val="22"/>
          <w:szCs w:val="22"/>
        </w:rPr>
        <w:t>’</w:t>
      </w:r>
      <w:r w:rsidRPr="00A42549">
        <w:rPr>
          <w:rFonts w:ascii="Arial" w:hAnsi="Arial" w:cs="Arial"/>
          <w:sz w:val="22"/>
          <w:szCs w:val="22"/>
        </w:rPr>
        <w:t>ו</w:t>
      </w:r>
      <w:r w:rsidRPr="00A42549">
        <w:rPr>
          <w:sz w:val="22"/>
          <w:szCs w:val="22"/>
        </w:rPr>
        <w:t xml:space="preserve"> ‘</w:t>
      </w:r>
      <w:r w:rsidRPr="00A42549">
        <w:rPr>
          <w:rFonts w:ascii="Arial" w:hAnsi="Arial" w:cs="Arial"/>
          <w:sz w:val="22"/>
          <w:szCs w:val="22"/>
        </w:rPr>
        <w:t>הימים</w:t>
      </w:r>
      <w:r w:rsidRPr="00A42549">
        <w:rPr>
          <w:sz w:val="22"/>
          <w:szCs w:val="22"/>
        </w:rPr>
        <w:t xml:space="preserve"> </w:t>
      </w:r>
      <w:r w:rsidRPr="00A42549">
        <w:rPr>
          <w:rFonts w:ascii="Arial" w:hAnsi="Arial" w:cs="Arial"/>
          <w:sz w:val="22"/>
          <w:szCs w:val="22"/>
        </w:rPr>
        <w:t>אחרית</w:t>
      </w:r>
      <w:r w:rsidRPr="00A42549">
        <w:rPr>
          <w:sz w:val="22"/>
          <w:szCs w:val="22"/>
        </w:rPr>
        <w:t>.‘“</w:t>
      </w:r>
    </w:p>
  </w:footnote>
  <w:footnote w:id="48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Singer, </w:t>
      </w:r>
      <w:r w:rsidRPr="00A42549">
        <w:rPr>
          <w:i/>
          <w:sz w:val="22"/>
          <w:szCs w:val="22"/>
        </w:rPr>
        <w:t>Die Metalle Gold, Silber, Bronze, Kupfer und Eisen im AT</w:t>
      </w:r>
      <w:r w:rsidRPr="00A42549">
        <w:rPr>
          <w:sz w:val="22"/>
          <w:szCs w:val="22"/>
        </w:rPr>
        <w:t>.</w:t>
      </w:r>
    </w:p>
  </w:footnote>
  <w:footnote w:id="48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Collins, </w:t>
      </w:r>
      <w:r w:rsidRPr="00A42549">
        <w:rPr>
          <w:i/>
          <w:sz w:val="22"/>
          <w:szCs w:val="22"/>
        </w:rPr>
        <w:t>Apocalyptic Vision of the Book of Daniel</w:t>
      </w:r>
      <w:r w:rsidRPr="00A42549">
        <w:rPr>
          <w:sz w:val="22"/>
          <w:szCs w:val="22"/>
        </w:rPr>
        <w:t>, 44.</w:t>
      </w:r>
    </w:p>
  </w:footnote>
  <w:footnote w:id="49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Koch (</w:t>
      </w:r>
      <w:r w:rsidRPr="00A42549">
        <w:rPr>
          <w:i/>
          <w:sz w:val="22"/>
          <w:szCs w:val="22"/>
        </w:rPr>
        <w:t>Daniel 1—4</w:t>
      </w:r>
      <w:r w:rsidRPr="00A42549">
        <w:rPr>
          <w:sz w:val="22"/>
          <w:szCs w:val="22"/>
        </w:rPr>
        <w:t xml:space="preserve">, 198) traces this “minority view” back to Hermann von der Hardt, </w:t>
      </w:r>
      <w:r w:rsidRPr="00A42549">
        <w:rPr>
          <w:i/>
          <w:sz w:val="22"/>
          <w:szCs w:val="22"/>
        </w:rPr>
        <w:t>De Quatuor Monarchiis Babyloniae</w:t>
      </w:r>
      <w:r w:rsidRPr="00A42549">
        <w:rPr>
          <w:sz w:val="22"/>
          <w:szCs w:val="22"/>
        </w:rPr>
        <w:t xml:space="preserve"> (Helmstadt: Hommius, 1708).</w:t>
      </w:r>
    </w:p>
  </w:footnote>
  <w:footnote w:id="49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Oppenheim, </w:t>
      </w:r>
      <w:r w:rsidRPr="00A42549">
        <w:rPr>
          <w:i/>
          <w:sz w:val="22"/>
          <w:szCs w:val="22"/>
        </w:rPr>
        <w:t>Ancient</w:t>
      </w:r>
      <w:r w:rsidRPr="00A42549">
        <w:rPr>
          <w:sz w:val="22"/>
          <w:szCs w:val="22"/>
        </w:rPr>
        <w:t xml:space="preserve"> </w:t>
      </w:r>
      <w:r w:rsidRPr="00A42549">
        <w:rPr>
          <w:i/>
          <w:sz w:val="22"/>
          <w:szCs w:val="22"/>
        </w:rPr>
        <w:t>Mesopotamia</w:t>
      </w:r>
      <w:r w:rsidRPr="00A42549">
        <w:rPr>
          <w:sz w:val="22"/>
          <w:szCs w:val="22"/>
        </w:rPr>
        <w:t>, 46–48.</w:t>
      </w:r>
    </w:p>
  </w:footnote>
  <w:footnote w:id="49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Müller, “Magisch-mantische Weisheit und die Gestalt Daniels,” 86.</w:t>
      </w:r>
    </w:p>
  </w:footnote>
  <w:footnote w:id="49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Torrey, “Notes on the Aramaic Part of Daniel.”</w:t>
      </w:r>
    </w:p>
  </w:footnote>
  <w:footnote w:id="494">
    <w:p w:rsidR="00786194" w:rsidRPr="00A42549" w:rsidRDefault="00786194" w:rsidP="00367A1F">
      <w:pPr>
        <w:pStyle w:val="FootnoteText"/>
        <w:rPr>
          <w:bCs/>
          <w:sz w:val="22"/>
          <w:szCs w:val="22"/>
        </w:rPr>
      </w:pPr>
      <w:r w:rsidRPr="00A42549">
        <w:rPr>
          <w:rStyle w:val="FootnoteReference"/>
          <w:sz w:val="22"/>
          <w:szCs w:val="22"/>
        </w:rPr>
        <w:footnoteRef/>
      </w:r>
      <w:r w:rsidRPr="00A42549">
        <w:rPr>
          <w:sz w:val="22"/>
          <w:szCs w:val="22"/>
        </w:rPr>
        <w:t xml:space="preserve"> See J. Wiesehöfer, “Vom ‘oberen Asien’ zur ‘gesamten bewohnten Welt,’”</w:t>
      </w:r>
      <w:r w:rsidRPr="00A42549">
        <w:rPr>
          <w:bCs/>
          <w:sz w:val="22"/>
          <w:szCs w:val="22"/>
        </w:rPr>
        <w:t xml:space="preserve"> in Delgado/Koch/Marsch (eds.), </w:t>
      </w:r>
      <w:r w:rsidRPr="00A42549">
        <w:rPr>
          <w:bCs/>
          <w:i/>
          <w:sz w:val="22"/>
          <w:szCs w:val="22"/>
        </w:rPr>
        <w:t>Europa, Tausendjähriges Reich und Neue Welt</w:t>
      </w:r>
      <w:r w:rsidRPr="00A42549">
        <w:rPr>
          <w:bCs/>
          <w:sz w:val="22"/>
          <w:szCs w:val="22"/>
        </w:rPr>
        <w:t xml:space="preserve">, 66-84; Collins, </w:t>
      </w:r>
      <w:r w:rsidRPr="00A42549">
        <w:rPr>
          <w:bCs/>
          <w:i/>
          <w:sz w:val="22"/>
          <w:szCs w:val="22"/>
        </w:rPr>
        <w:t>Apocalypse, Prophecy, and Pseudepigraphy</w:t>
      </w:r>
      <w:r w:rsidRPr="00A42549">
        <w:rPr>
          <w:bCs/>
          <w:sz w:val="22"/>
          <w:szCs w:val="22"/>
        </w:rPr>
        <w:t>, 116-18.</w:t>
      </w:r>
    </w:p>
  </w:footnote>
  <w:footnote w:id="49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Kuhrt, </w:t>
      </w:r>
      <w:r w:rsidRPr="00A42549">
        <w:rPr>
          <w:i/>
          <w:sz w:val="22"/>
          <w:szCs w:val="22"/>
        </w:rPr>
        <w:t xml:space="preserve">The Ancient Near East </w:t>
      </w:r>
      <w:r w:rsidRPr="00A42549">
        <w:rPr>
          <w:sz w:val="22"/>
          <w:szCs w:val="22"/>
        </w:rPr>
        <w:t>2:597-603.</w:t>
      </w:r>
    </w:p>
  </w:footnote>
  <w:footnote w:id="49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Eerdmans, “Origin and Meaning of the Aramaic Part of Daniel,” 198–202; Beek, </w:t>
      </w:r>
      <w:r w:rsidRPr="00A42549">
        <w:rPr>
          <w:i/>
          <w:sz w:val="22"/>
          <w:szCs w:val="22"/>
        </w:rPr>
        <w:t>Danielbuch</w:t>
      </w:r>
      <w:r w:rsidRPr="00A42549">
        <w:rPr>
          <w:sz w:val="22"/>
          <w:szCs w:val="22"/>
        </w:rPr>
        <w:t>, 38–54; Davies, “Daniel Chapter Two.”</w:t>
      </w:r>
    </w:p>
  </w:footnote>
  <w:footnote w:id="49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Löwinger, “Nebuchadnezzar’s Dream.”</w:t>
      </w:r>
    </w:p>
  </w:footnote>
  <w:footnote w:id="49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Schedl, </w:t>
      </w:r>
      <w:r w:rsidRPr="00A42549">
        <w:rPr>
          <w:i/>
          <w:sz w:val="22"/>
          <w:szCs w:val="22"/>
        </w:rPr>
        <w:t>Geschichte des ATs</w:t>
      </w:r>
      <w:r w:rsidRPr="00A42549">
        <w:rPr>
          <w:sz w:val="22"/>
          <w:szCs w:val="22"/>
        </w:rPr>
        <w:t xml:space="preserve"> 5:79–80.</w:t>
      </w:r>
    </w:p>
  </w:footnote>
  <w:footnote w:id="49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Gammie, “Classification, Stages of Growth, and Changing Intentions in the Book of Daniel,” 197–202.</w:t>
      </w:r>
    </w:p>
  </w:footnote>
  <w:footnote w:id="50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Stevenson, “The Identification of the Four Kingdoms”; Bickerman, </w:t>
      </w:r>
      <w:r w:rsidRPr="00A42549">
        <w:rPr>
          <w:i/>
          <w:sz w:val="22"/>
          <w:szCs w:val="22"/>
        </w:rPr>
        <w:t>Four Strange Books of the Bible</w:t>
      </w:r>
      <w:r w:rsidRPr="00A42549">
        <w:rPr>
          <w:sz w:val="22"/>
          <w:szCs w:val="22"/>
        </w:rPr>
        <w:t>. 61–63</w:t>
      </w:r>
    </w:p>
  </w:footnote>
  <w:footnote w:id="50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Jepsen, “Bemerkungen zum Danielbuch,” 388; Schreiner, “…wird der Gott des Himmels ein Reich errichten,” 134.</w:t>
      </w:r>
    </w:p>
  </w:footnote>
  <w:footnote w:id="50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Kuhrt, </w:t>
      </w:r>
      <w:r w:rsidRPr="00A42549">
        <w:rPr>
          <w:i/>
          <w:sz w:val="22"/>
          <w:szCs w:val="22"/>
        </w:rPr>
        <w:t>The Ancient Near East</w:t>
      </w:r>
      <w:r w:rsidRPr="00A42549">
        <w:rPr>
          <w:sz w:val="22"/>
          <w:szCs w:val="22"/>
        </w:rPr>
        <w:t xml:space="preserve"> 2:603.</w:t>
      </w:r>
    </w:p>
  </w:footnote>
  <w:footnote w:id="50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Van Hoonacker, “The Four Empires of the Book of Daniel,” 422–23.</w:t>
      </w:r>
    </w:p>
  </w:footnote>
  <w:footnote w:id="50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Davies, “Daniel Chapter Two,” 401. On interpretations of the rock, see Pfandl</w:t>
      </w:r>
      <w:r w:rsidRPr="00A42549">
        <w:rPr>
          <w:b/>
          <w:i/>
          <w:sz w:val="22"/>
          <w:szCs w:val="22"/>
        </w:rPr>
        <w:t xml:space="preserve">. </w:t>
      </w:r>
      <w:r w:rsidRPr="00A42549">
        <w:rPr>
          <w:sz w:val="22"/>
          <w:szCs w:val="22"/>
        </w:rPr>
        <w:t>“Interpretations of the Kingdom of God in Dan 2:44.”</w:t>
      </w:r>
    </w:p>
  </w:footnote>
  <w:footnote w:id="50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35.</w:t>
      </w:r>
    </w:p>
  </w:footnote>
  <w:footnote w:id="50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Ginsburg, </w:t>
      </w:r>
      <w:r w:rsidRPr="00A42549">
        <w:rPr>
          <w:rStyle w:val="i"/>
          <w:color w:val="auto"/>
          <w:sz w:val="22"/>
          <w:szCs w:val="22"/>
        </w:rPr>
        <w:t>Studies in Daniel</w:t>
      </w:r>
      <w:r w:rsidRPr="00A42549">
        <w:rPr>
          <w:sz w:val="22"/>
          <w:szCs w:val="22"/>
        </w:rPr>
        <w:t>, 6.</w:t>
      </w:r>
    </w:p>
  </w:footnote>
  <w:footnote w:id="507">
    <w:p w:rsidR="00786194" w:rsidRPr="00A42549" w:rsidRDefault="00786194" w:rsidP="007C1532">
      <w:pPr>
        <w:pStyle w:val="FootnoteText"/>
        <w:rPr>
          <w:sz w:val="22"/>
          <w:szCs w:val="22"/>
        </w:rPr>
      </w:pPr>
      <w:r w:rsidRPr="00A42549">
        <w:rPr>
          <w:rStyle w:val="FootnoteReference"/>
          <w:sz w:val="22"/>
          <w:szCs w:val="22"/>
        </w:rPr>
        <w:footnoteRef/>
      </w:r>
      <w:r w:rsidRPr="00A42549">
        <w:rPr>
          <w:sz w:val="22"/>
          <w:szCs w:val="22"/>
        </w:rPr>
        <w:t xml:space="preserve"> See Millard, “Incense,” 120-22.</w:t>
      </w:r>
    </w:p>
  </w:footnote>
  <w:footnote w:id="5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Lacocque, </w:t>
      </w:r>
      <w:r w:rsidRPr="00A42549">
        <w:rPr>
          <w:i/>
          <w:sz w:val="22"/>
          <w:szCs w:val="22"/>
        </w:rPr>
        <w:t>Daniel</w:t>
      </w:r>
      <w:r w:rsidRPr="00A42549">
        <w:rPr>
          <w:sz w:val="22"/>
          <w:szCs w:val="22"/>
        </w:rPr>
        <w:t xml:space="preserve">, on the passage; Cf. Olmstead, </w:t>
      </w:r>
      <w:r w:rsidRPr="00A42549">
        <w:rPr>
          <w:i/>
          <w:sz w:val="22"/>
          <w:szCs w:val="22"/>
        </w:rPr>
        <w:t>History</w:t>
      </w:r>
      <w:r w:rsidRPr="00A42549">
        <w:rPr>
          <w:sz w:val="22"/>
          <w:szCs w:val="22"/>
        </w:rPr>
        <w:t xml:space="preserve"> </w:t>
      </w:r>
      <w:r w:rsidRPr="00A42549">
        <w:rPr>
          <w:i/>
          <w:sz w:val="22"/>
          <w:szCs w:val="22"/>
        </w:rPr>
        <w:t>of the Persian Empire</w:t>
      </w:r>
      <w:r w:rsidRPr="00A42549">
        <w:rPr>
          <w:sz w:val="22"/>
          <w:szCs w:val="22"/>
        </w:rPr>
        <w:t>, 217.</w:t>
      </w:r>
    </w:p>
  </w:footnote>
  <w:footnote w:id="509">
    <w:p w:rsidR="00786194" w:rsidRPr="00A42549" w:rsidRDefault="00786194" w:rsidP="007C1532">
      <w:pPr>
        <w:pStyle w:val="FootnoteText"/>
        <w:rPr>
          <w:sz w:val="22"/>
          <w:szCs w:val="22"/>
        </w:rPr>
      </w:pPr>
      <w:r w:rsidRPr="00A42549">
        <w:rPr>
          <w:rStyle w:val="FootnoteReference"/>
          <w:sz w:val="22"/>
          <w:szCs w:val="22"/>
        </w:rPr>
        <w:footnoteRef/>
      </w:r>
      <w:r w:rsidRPr="00A42549">
        <w:rPr>
          <w:sz w:val="22"/>
          <w:szCs w:val="22"/>
        </w:rPr>
        <w:t xml:space="preserve"> Mastin, “Daniel 2:46 and the Hellenistic World.”</w:t>
      </w:r>
    </w:p>
  </w:footnote>
  <w:footnote w:id="51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Jerome, </w:t>
      </w:r>
      <w:r w:rsidRPr="00A42549">
        <w:rPr>
          <w:i/>
          <w:sz w:val="22"/>
          <w:szCs w:val="22"/>
        </w:rPr>
        <w:t>Daniel</w:t>
      </w:r>
      <w:r w:rsidRPr="00A42549">
        <w:rPr>
          <w:sz w:val="22"/>
          <w:szCs w:val="22"/>
        </w:rPr>
        <w:t>, 33.</w:t>
      </w:r>
    </w:p>
  </w:footnote>
  <w:footnote w:id="51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Baldwin, </w:t>
      </w:r>
      <w:r w:rsidRPr="00A42549">
        <w:rPr>
          <w:i/>
          <w:sz w:val="22"/>
          <w:szCs w:val="22"/>
        </w:rPr>
        <w:t>Daniel</w:t>
      </w:r>
      <w:r w:rsidRPr="00A42549">
        <w:rPr>
          <w:sz w:val="22"/>
          <w:szCs w:val="22"/>
        </w:rPr>
        <w:t xml:space="preserve">, on the passage; and Nolan Fewell, </w:t>
      </w:r>
      <w:r w:rsidRPr="00A42549">
        <w:rPr>
          <w:i/>
          <w:sz w:val="22"/>
          <w:szCs w:val="22"/>
        </w:rPr>
        <w:t>Circle of Sovereignty</w:t>
      </w:r>
      <w:r w:rsidRPr="00A42549">
        <w:rPr>
          <w:sz w:val="22"/>
          <w:szCs w:val="22"/>
        </w:rPr>
        <w:t>, 23.</w:t>
      </w:r>
    </w:p>
  </w:footnote>
  <w:footnote w:id="512">
    <w:p w:rsidR="00786194" w:rsidRPr="00A42549" w:rsidRDefault="00786194" w:rsidP="00EC3477">
      <w:pPr>
        <w:pStyle w:val="FootnoteText"/>
        <w:rPr>
          <w:sz w:val="22"/>
          <w:szCs w:val="22"/>
        </w:rPr>
      </w:pPr>
      <w:r w:rsidRPr="00A42549">
        <w:rPr>
          <w:rStyle w:val="FootnoteReference"/>
          <w:sz w:val="22"/>
          <w:szCs w:val="22"/>
        </w:rPr>
        <w:footnoteRef/>
      </w:r>
      <w:r w:rsidRPr="00A42549">
        <w:rPr>
          <w:sz w:val="22"/>
          <w:szCs w:val="22"/>
        </w:rPr>
        <w:t xml:space="preserve"> Smith-Christopher, “Daniel,” 49, quoting from Lacocque, </w:t>
      </w:r>
      <w:r w:rsidRPr="00A42549">
        <w:rPr>
          <w:i/>
          <w:sz w:val="22"/>
          <w:szCs w:val="22"/>
        </w:rPr>
        <w:t>Daniel</w:t>
      </w:r>
      <w:r w:rsidRPr="00A42549">
        <w:rPr>
          <w:sz w:val="22"/>
          <w:szCs w:val="22"/>
        </w:rPr>
        <w:t>, 48.</w:t>
      </w:r>
    </w:p>
  </w:footnote>
  <w:footnote w:id="51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Resch, </w:t>
      </w:r>
      <w:r w:rsidRPr="00A42549">
        <w:rPr>
          <w:i/>
          <w:sz w:val="22"/>
          <w:szCs w:val="22"/>
        </w:rPr>
        <w:t>Der Traum</w:t>
      </w:r>
      <w:r w:rsidRPr="00A42549">
        <w:rPr>
          <w:sz w:val="22"/>
          <w:szCs w:val="22"/>
        </w:rPr>
        <w:t xml:space="preserve"> </w:t>
      </w:r>
      <w:r w:rsidRPr="00A42549">
        <w:rPr>
          <w:i/>
          <w:sz w:val="22"/>
          <w:szCs w:val="22"/>
        </w:rPr>
        <w:t>im Heilsplan Gottes</w:t>
      </w:r>
      <w:r w:rsidRPr="00A42549">
        <w:rPr>
          <w:sz w:val="22"/>
          <w:szCs w:val="22"/>
        </w:rPr>
        <w:t>, 129–37; Gnuse, “Dreams and Their Theological Significance in the Biblical Tradition.”</w:t>
      </w:r>
    </w:p>
  </w:footnote>
  <w:footnote w:id="51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Berrigan, </w:t>
      </w:r>
      <w:r w:rsidRPr="00A42549">
        <w:rPr>
          <w:i/>
          <w:sz w:val="22"/>
          <w:szCs w:val="22"/>
        </w:rPr>
        <w:t>Daniel</w:t>
      </w:r>
      <w:r w:rsidRPr="00A42549">
        <w:rPr>
          <w:sz w:val="22"/>
          <w:szCs w:val="22"/>
        </w:rPr>
        <w:t>, 24.</w:t>
      </w:r>
    </w:p>
  </w:footnote>
  <w:footnote w:id="51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Ehrlich, </w:t>
      </w:r>
      <w:r w:rsidRPr="00A42549">
        <w:rPr>
          <w:i/>
          <w:sz w:val="22"/>
          <w:szCs w:val="22"/>
        </w:rPr>
        <w:t>Der Traum in AT</w:t>
      </w:r>
      <w:r w:rsidRPr="00A42549">
        <w:rPr>
          <w:sz w:val="22"/>
          <w:szCs w:val="22"/>
        </w:rPr>
        <w:t>, 92.</w:t>
      </w:r>
    </w:p>
  </w:footnote>
  <w:footnote w:id="51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Theodoret, </w:t>
      </w:r>
      <w:r w:rsidRPr="00A42549">
        <w:rPr>
          <w:i/>
          <w:sz w:val="22"/>
          <w:szCs w:val="22"/>
        </w:rPr>
        <w:t>Daniel</w:t>
      </w:r>
      <w:r w:rsidRPr="00A42549">
        <w:rPr>
          <w:sz w:val="22"/>
          <w:szCs w:val="22"/>
        </w:rPr>
        <w:t>, 38-39.</w:t>
      </w:r>
    </w:p>
  </w:footnote>
  <w:footnote w:id="517">
    <w:p w:rsidR="00786194" w:rsidRPr="00A42549" w:rsidRDefault="00786194" w:rsidP="007A253A">
      <w:pPr>
        <w:pStyle w:val="FootnoteText"/>
        <w:rPr>
          <w:sz w:val="22"/>
          <w:szCs w:val="22"/>
        </w:rPr>
      </w:pPr>
      <w:r w:rsidRPr="00A42549">
        <w:rPr>
          <w:rStyle w:val="FootnoteReference"/>
          <w:sz w:val="22"/>
          <w:szCs w:val="22"/>
        </w:rPr>
        <w:footnoteRef/>
      </w:r>
      <w:r w:rsidRPr="00A42549">
        <w:rPr>
          <w:sz w:val="22"/>
          <w:szCs w:val="22"/>
        </w:rPr>
        <w:t xml:space="preserve"> Kirkpatrick, </w:t>
      </w:r>
      <w:r w:rsidRPr="00A42549">
        <w:rPr>
          <w:i/>
          <w:sz w:val="22"/>
          <w:szCs w:val="22"/>
        </w:rPr>
        <w:t>Competing for Honor</w:t>
      </w:r>
      <w:r w:rsidRPr="00A42549">
        <w:rPr>
          <w:sz w:val="22"/>
          <w:szCs w:val="22"/>
        </w:rPr>
        <w:t>, 76.</w:t>
      </w:r>
    </w:p>
  </w:footnote>
  <w:footnote w:id="518">
    <w:p w:rsidR="00786194" w:rsidRPr="00A42549" w:rsidRDefault="00786194" w:rsidP="00CF4BC3">
      <w:pPr>
        <w:pStyle w:val="FootnoteText"/>
        <w:rPr>
          <w:sz w:val="22"/>
          <w:szCs w:val="22"/>
        </w:rPr>
      </w:pPr>
      <w:r w:rsidRPr="00A42549">
        <w:rPr>
          <w:rStyle w:val="FootnoteReference"/>
          <w:sz w:val="22"/>
          <w:szCs w:val="22"/>
        </w:rPr>
        <w:footnoteRef/>
      </w:r>
      <w:r w:rsidRPr="00A42549">
        <w:rPr>
          <w:sz w:val="22"/>
          <w:szCs w:val="22"/>
        </w:rPr>
        <w:t xml:space="preserve"> Cf. Hebbard, </w:t>
      </w:r>
      <w:r w:rsidRPr="00A42549">
        <w:rPr>
          <w:i/>
          <w:sz w:val="22"/>
          <w:szCs w:val="22"/>
        </w:rPr>
        <w:t>Reading Daniel</w:t>
      </w:r>
      <w:r w:rsidRPr="00A42549">
        <w:rPr>
          <w:sz w:val="22"/>
          <w:szCs w:val="22"/>
        </w:rPr>
        <w:t>, 78.</w:t>
      </w:r>
    </w:p>
  </w:footnote>
  <w:footnote w:id="519">
    <w:p w:rsidR="00786194" w:rsidRPr="00A42549" w:rsidRDefault="00786194" w:rsidP="007A253A">
      <w:pPr>
        <w:pStyle w:val="FootnoteText"/>
        <w:rPr>
          <w:sz w:val="22"/>
          <w:szCs w:val="22"/>
        </w:rPr>
      </w:pPr>
      <w:r w:rsidRPr="00A42549">
        <w:rPr>
          <w:rStyle w:val="FootnoteReference"/>
          <w:sz w:val="22"/>
          <w:szCs w:val="22"/>
        </w:rPr>
        <w:footnoteRef/>
      </w:r>
      <w:r w:rsidRPr="00A42549">
        <w:rPr>
          <w:sz w:val="22"/>
          <w:szCs w:val="22"/>
        </w:rPr>
        <w:t xml:space="preserve"> Towner, </w:t>
      </w:r>
      <w:r w:rsidRPr="00A42549">
        <w:rPr>
          <w:i/>
          <w:sz w:val="22"/>
          <w:szCs w:val="22"/>
        </w:rPr>
        <w:t>Daniel</w:t>
      </w:r>
      <w:r w:rsidRPr="00A42549">
        <w:rPr>
          <w:sz w:val="22"/>
          <w:szCs w:val="22"/>
        </w:rPr>
        <w:t>, 31.</w:t>
      </w:r>
    </w:p>
  </w:footnote>
  <w:footnote w:id="52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Müller, “Märchen, Legende und Enderwartung,” 340–41.</w:t>
      </w:r>
    </w:p>
  </w:footnote>
  <w:footnote w:id="52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Smith-Christopher, “Daniel,” 51; Koch (</w:t>
      </w:r>
      <w:r w:rsidRPr="00A42549">
        <w:rPr>
          <w:i/>
          <w:sz w:val="22"/>
          <w:szCs w:val="22"/>
        </w:rPr>
        <w:t>Daniel 1—4</w:t>
      </w:r>
      <w:r w:rsidRPr="00A42549">
        <w:rPr>
          <w:sz w:val="22"/>
          <w:szCs w:val="22"/>
        </w:rPr>
        <w:t>, 156-57) compares with the speech of prophets, such as Amos 1—2.</w:t>
      </w:r>
    </w:p>
  </w:footnote>
  <w:footnote w:id="522">
    <w:p w:rsidR="00786194" w:rsidRPr="00A42549" w:rsidRDefault="00786194" w:rsidP="00A15CBB">
      <w:pPr>
        <w:pStyle w:val="FootnoteText"/>
        <w:rPr>
          <w:sz w:val="22"/>
          <w:szCs w:val="22"/>
        </w:rPr>
      </w:pPr>
      <w:r w:rsidRPr="00A42549">
        <w:rPr>
          <w:rStyle w:val="FootnoteReference"/>
          <w:sz w:val="22"/>
          <w:szCs w:val="22"/>
        </w:rPr>
        <w:footnoteRef/>
      </w:r>
      <w:r w:rsidRPr="00A42549">
        <w:rPr>
          <w:sz w:val="22"/>
          <w:szCs w:val="22"/>
        </w:rPr>
        <w:t xml:space="preserve"> Cf. Di Lella, </w:t>
      </w:r>
      <w:r w:rsidRPr="00A42549">
        <w:rPr>
          <w:i/>
          <w:sz w:val="22"/>
          <w:szCs w:val="22"/>
        </w:rPr>
        <w:t>Daniel</w:t>
      </w:r>
      <w:r w:rsidRPr="00A42549">
        <w:rPr>
          <w:sz w:val="22"/>
          <w:szCs w:val="22"/>
        </w:rPr>
        <w:t>, 32.</w:t>
      </w:r>
    </w:p>
  </w:footnote>
  <w:footnote w:id="523">
    <w:p w:rsidR="00786194" w:rsidRPr="00A42549" w:rsidRDefault="00786194" w:rsidP="0011751E">
      <w:pPr>
        <w:pStyle w:val="FootnoteText"/>
        <w:rPr>
          <w:sz w:val="22"/>
          <w:szCs w:val="22"/>
        </w:rPr>
      </w:pPr>
      <w:r w:rsidRPr="00A42549">
        <w:rPr>
          <w:rStyle w:val="FootnoteReference"/>
          <w:sz w:val="22"/>
          <w:szCs w:val="22"/>
        </w:rPr>
        <w:footnoteRef/>
      </w:r>
      <w:r w:rsidRPr="00A42549">
        <w:rPr>
          <w:sz w:val="22"/>
          <w:szCs w:val="22"/>
        </w:rPr>
        <w:t xml:space="preserve"> The Latin tag is “quod libet, licet” (Calvin, </w:t>
      </w:r>
      <w:r w:rsidRPr="00A42549">
        <w:rPr>
          <w:i/>
          <w:sz w:val="22"/>
          <w:szCs w:val="22"/>
        </w:rPr>
        <w:t>Daniel 1—6</w:t>
      </w:r>
      <w:r w:rsidRPr="00A42549">
        <w:rPr>
          <w:sz w:val="22"/>
          <w:szCs w:val="22"/>
        </w:rPr>
        <w:t>, 54).</w:t>
      </w:r>
    </w:p>
  </w:footnote>
  <w:footnote w:id="524">
    <w:p w:rsidR="00786194" w:rsidRPr="00A42549" w:rsidRDefault="00786194" w:rsidP="007A253A">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xml:space="preserve">, 94. </w:t>
      </w:r>
    </w:p>
  </w:footnote>
  <w:footnote w:id="525">
    <w:p w:rsidR="00786194" w:rsidRPr="00A42549" w:rsidRDefault="00786194" w:rsidP="00CF4BC3">
      <w:pPr>
        <w:pStyle w:val="FootnoteText"/>
        <w:rPr>
          <w:sz w:val="22"/>
          <w:szCs w:val="22"/>
        </w:rPr>
      </w:pPr>
      <w:r w:rsidRPr="00A42549">
        <w:rPr>
          <w:rStyle w:val="FootnoteReference"/>
          <w:sz w:val="22"/>
          <w:szCs w:val="22"/>
        </w:rPr>
        <w:footnoteRef/>
      </w:r>
      <w:r w:rsidRPr="00A42549">
        <w:rPr>
          <w:sz w:val="22"/>
          <w:szCs w:val="22"/>
        </w:rPr>
        <w:t xml:space="preserve"> Cf. Kirkpatrick, </w:t>
      </w:r>
      <w:r w:rsidRPr="00A42549">
        <w:rPr>
          <w:i/>
          <w:sz w:val="22"/>
          <w:szCs w:val="22"/>
        </w:rPr>
        <w:t>Competing for Honor</w:t>
      </w:r>
      <w:r w:rsidRPr="00A42549">
        <w:rPr>
          <w:sz w:val="22"/>
          <w:szCs w:val="22"/>
        </w:rPr>
        <w:t>, 77.</w:t>
      </w:r>
    </w:p>
  </w:footnote>
  <w:footnote w:id="526">
    <w:p w:rsidR="00786194" w:rsidRPr="00A42549" w:rsidRDefault="00786194" w:rsidP="00F9241C">
      <w:pPr>
        <w:pStyle w:val="FootnoteText"/>
        <w:rPr>
          <w:bCs/>
          <w:sz w:val="22"/>
          <w:szCs w:val="22"/>
        </w:rPr>
      </w:pPr>
      <w:r w:rsidRPr="00A42549">
        <w:rPr>
          <w:rStyle w:val="FootnoteReference"/>
          <w:sz w:val="22"/>
          <w:szCs w:val="22"/>
        </w:rPr>
        <w:footnoteRef/>
      </w:r>
      <w:r w:rsidRPr="00A42549">
        <w:rPr>
          <w:sz w:val="22"/>
          <w:szCs w:val="22"/>
        </w:rPr>
        <w:t xml:space="preserve"> Cf. </w:t>
      </w:r>
      <w:r w:rsidRPr="00A42549">
        <w:rPr>
          <w:bCs/>
          <w:sz w:val="22"/>
          <w:szCs w:val="22"/>
        </w:rPr>
        <w:t>Lawson</w:t>
      </w:r>
      <w:r w:rsidRPr="00A42549">
        <w:rPr>
          <w:b/>
          <w:bCs/>
          <w:sz w:val="22"/>
          <w:szCs w:val="22"/>
        </w:rPr>
        <w:t xml:space="preserve">, </w:t>
      </w:r>
      <w:r w:rsidRPr="00A42549">
        <w:rPr>
          <w:bCs/>
          <w:sz w:val="22"/>
          <w:szCs w:val="22"/>
        </w:rPr>
        <w:t>“‘The God Who Reveals Secrets.’”</w:t>
      </w:r>
    </w:p>
  </w:footnote>
  <w:footnote w:id="52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von der Osten-Sacken, </w:t>
      </w:r>
      <w:r w:rsidRPr="00A42549">
        <w:rPr>
          <w:i/>
          <w:sz w:val="22"/>
          <w:szCs w:val="22"/>
        </w:rPr>
        <w:t>Die Apokalyptik in ihrem Verhältnis zu Prophetie und Weisheit.</w:t>
      </w:r>
      <w:r w:rsidRPr="00A42549">
        <w:rPr>
          <w:sz w:val="22"/>
          <w:szCs w:val="22"/>
        </w:rPr>
        <w:t>, 18–34.</w:t>
      </w:r>
    </w:p>
  </w:footnote>
  <w:footnote w:id="52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Koch, </w:t>
      </w:r>
      <w:r w:rsidRPr="00A42549">
        <w:rPr>
          <w:i/>
          <w:sz w:val="22"/>
          <w:szCs w:val="22"/>
        </w:rPr>
        <w:t>Daniel 1—4</w:t>
      </w:r>
      <w:r w:rsidRPr="00A42549">
        <w:rPr>
          <w:sz w:val="22"/>
          <w:szCs w:val="22"/>
        </w:rPr>
        <w:t>, 153.</w:t>
      </w:r>
    </w:p>
  </w:footnote>
  <w:footnote w:id="529">
    <w:p w:rsidR="00786194" w:rsidRPr="00A42549" w:rsidRDefault="00786194" w:rsidP="00A15CBB">
      <w:pPr>
        <w:pStyle w:val="FootnoteText"/>
        <w:rPr>
          <w:sz w:val="22"/>
          <w:szCs w:val="22"/>
        </w:rPr>
      </w:pPr>
      <w:r w:rsidRPr="00A42549">
        <w:rPr>
          <w:rStyle w:val="FootnoteReference"/>
          <w:sz w:val="22"/>
          <w:szCs w:val="22"/>
        </w:rPr>
        <w:footnoteRef/>
      </w:r>
      <w:r w:rsidRPr="00A42549">
        <w:rPr>
          <w:sz w:val="22"/>
          <w:szCs w:val="22"/>
        </w:rPr>
        <w:t xml:space="preserve"> Kirkpatrick, </w:t>
      </w:r>
      <w:r w:rsidRPr="00A42549">
        <w:rPr>
          <w:i/>
          <w:sz w:val="22"/>
          <w:szCs w:val="22"/>
        </w:rPr>
        <w:t>Competing for Honor</w:t>
      </w:r>
      <w:r w:rsidRPr="00A42549">
        <w:rPr>
          <w:sz w:val="22"/>
          <w:szCs w:val="22"/>
        </w:rPr>
        <w:t>, 79.</w:t>
      </w:r>
    </w:p>
  </w:footnote>
  <w:footnote w:id="53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Koch, </w:t>
      </w:r>
      <w:r w:rsidRPr="00A42549">
        <w:rPr>
          <w:i/>
          <w:sz w:val="22"/>
          <w:szCs w:val="22"/>
        </w:rPr>
        <w:t>Daniel 1—4</w:t>
      </w:r>
      <w:r w:rsidRPr="00A42549">
        <w:rPr>
          <w:sz w:val="22"/>
          <w:szCs w:val="22"/>
        </w:rPr>
        <w:t>, 161.</w:t>
      </w:r>
    </w:p>
  </w:footnote>
  <w:footnote w:id="531">
    <w:p w:rsidR="00786194" w:rsidRPr="00A42549" w:rsidRDefault="00786194" w:rsidP="00A15CBB">
      <w:pPr>
        <w:pStyle w:val="FootnoteText"/>
        <w:rPr>
          <w:sz w:val="22"/>
          <w:szCs w:val="22"/>
        </w:rPr>
      </w:pPr>
      <w:r w:rsidRPr="00A42549">
        <w:rPr>
          <w:rStyle w:val="FootnoteReference"/>
          <w:sz w:val="22"/>
          <w:szCs w:val="22"/>
        </w:rPr>
        <w:footnoteRef/>
      </w:r>
      <w:r w:rsidRPr="00A42549">
        <w:rPr>
          <w:sz w:val="22"/>
          <w:szCs w:val="22"/>
        </w:rPr>
        <w:t xml:space="preserve"> Hippolytus, </w:t>
      </w:r>
      <w:r w:rsidRPr="00A42549">
        <w:rPr>
          <w:i/>
          <w:sz w:val="22"/>
          <w:szCs w:val="22"/>
        </w:rPr>
        <w:t>Daniel</w:t>
      </w:r>
      <w:r w:rsidRPr="00A42549">
        <w:rPr>
          <w:sz w:val="22"/>
          <w:szCs w:val="22"/>
        </w:rPr>
        <w:t xml:space="preserve"> 2.4.</w:t>
      </w:r>
    </w:p>
  </w:footnote>
  <w:footnote w:id="532">
    <w:p w:rsidR="00786194" w:rsidRPr="00A42549" w:rsidRDefault="00786194" w:rsidP="005925F7">
      <w:pPr>
        <w:pStyle w:val="FootnoteText"/>
        <w:rPr>
          <w:sz w:val="22"/>
          <w:szCs w:val="22"/>
        </w:rPr>
      </w:pPr>
      <w:r w:rsidRPr="00A42549">
        <w:rPr>
          <w:rStyle w:val="FootnoteReference"/>
          <w:sz w:val="22"/>
          <w:szCs w:val="22"/>
        </w:rPr>
        <w:footnoteRef/>
      </w:r>
      <w:r w:rsidRPr="00A42549">
        <w:rPr>
          <w:sz w:val="22"/>
          <w:szCs w:val="22"/>
        </w:rPr>
        <w:t xml:space="preserve"> Berrigan, </w:t>
      </w:r>
      <w:r w:rsidRPr="00A42549">
        <w:rPr>
          <w:i/>
          <w:sz w:val="22"/>
          <w:szCs w:val="22"/>
        </w:rPr>
        <w:t>Daniel</w:t>
      </w:r>
      <w:r w:rsidRPr="00A42549">
        <w:rPr>
          <w:sz w:val="22"/>
          <w:szCs w:val="22"/>
        </w:rPr>
        <w:t>, 26.</w:t>
      </w:r>
    </w:p>
  </w:footnote>
  <w:footnote w:id="533">
    <w:p w:rsidR="00786194" w:rsidRPr="00A42549" w:rsidRDefault="00786194" w:rsidP="005925F7">
      <w:pPr>
        <w:pStyle w:val="FootnoteText"/>
        <w:rPr>
          <w:sz w:val="22"/>
          <w:szCs w:val="22"/>
        </w:rPr>
      </w:pPr>
      <w:r w:rsidRPr="00A42549">
        <w:rPr>
          <w:rStyle w:val="FootnoteReference"/>
          <w:sz w:val="22"/>
          <w:szCs w:val="22"/>
        </w:rPr>
        <w:footnoteRef/>
      </w:r>
      <w:r w:rsidRPr="00A42549">
        <w:rPr>
          <w:sz w:val="22"/>
          <w:szCs w:val="22"/>
        </w:rPr>
        <w:t xml:space="preserve"> Pinker, “A Dream of a Dream,” 238.</w:t>
      </w:r>
    </w:p>
  </w:footnote>
  <w:footnote w:id="534">
    <w:p w:rsidR="00786194" w:rsidRPr="00A42549" w:rsidRDefault="00786194" w:rsidP="00CF366E">
      <w:pPr>
        <w:pStyle w:val="FootnoteText"/>
        <w:rPr>
          <w:sz w:val="22"/>
          <w:szCs w:val="22"/>
        </w:rPr>
      </w:pPr>
      <w:r w:rsidRPr="00A42549">
        <w:rPr>
          <w:rStyle w:val="FootnoteReference"/>
          <w:sz w:val="22"/>
          <w:szCs w:val="22"/>
        </w:rPr>
        <w:footnoteRef/>
      </w:r>
      <w:r w:rsidRPr="00A42549">
        <w:rPr>
          <w:sz w:val="22"/>
          <w:szCs w:val="22"/>
        </w:rPr>
        <w:t xml:space="preserve"> Lederach, </w:t>
      </w:r>
      <w:r w:rsidRPr="00A42549">
        <w:rPr>
          <w:i/>
          <w:sz w:val="22"/>
          <w:szCs w:val="22"/>
        </w:rPr>
        <w:t>Daniel</w:t>
      </w:r>
      <w:r w:rsidRPr="00A42549">
        <w:rPr>
          <w:sz w:val="22"/>
          <w:szCs w:val="22"/>
        </w:rPr>
        <w:t>, 62.</w:t>
      </w:r>
    </w:p>
  </w:footnote>
  <w:footnote w:id="535">
    <w:p w:rsidR="00786194" w:rsidRPr="00A42549" w:rsidRDefault="00786194" w:rsidP="00C8708C">
      <w:pPr>
        <w:pStyle w:val="FootnoteText"/>
        <w:rPr>
          <w:sz w:val="22"/>
          <w:szCs w:val="22"/>
        </w:rPr>
      </w:pPr>
      <w:r w:rsidRPr="00A42549">
        <w:rPr>
          <w:rStyle w:val="FootnoteReference"/>
          <w:sz w:val="22"/>
          <w:szCs w:val="22"/>
        </w:rPr>
        <w:footnoteRef/>
      </w:r>
      <w:r w:rsidRPr="00A42549">
        <w:rPr>
          <w:sz w:val="22"/>
          <w:szCs w:val="22"/>
        </w:rPr>
        <w:t xml:space="preserve"> See Downing, </w:t>
      </w:r>
      <w:r w:rsidRPr="00A42549">
        <w:rPr>
          <w:i/>
          <w:sz w:val="22"/>
          <w:szCs w:val="22"/>
        </w:rPr>
        <w:t>Has Christianity a Revelation?</w:t>
      </w:r>
    </w:p>
  </w:footnote>
  <w:footnote w:id="536">
    <w:p w:rsidR="00786194" w:rsidRPr="00A42549" w:rsidRDefault="00786194" w:rsidP="00CF366E">
      <w:pPr>
        <w:pStyle w:val="FootnoteText"/>
        <w:rPr>
          <w:sz w:val="22"/>
          <w:szCs w:val="22"/>
        </w:rPr>
      </w:pPr>
      <w:r w:rsidRPr="00A42549">
        <w:rPr>
          <w:rStyle w:val="FootnoteReference"/>
          <w:sz w:val="22"/>
          <w:szCs w:val="22"/>
        </w:rPr>
        <w:footnoteRef/>
      </w:r>
      <w:r w:rsidRPr="00A42549">
        <w:rPr>
          <w:sz w:val="22"/>
          <w:szCs w:val="22"/>
        </w:rPr>
        <w:t xml:space="preserve"> See Lenzi</w:t>
      </w:r>
      <w:r w:rsidRPr="00A42549">
        <w:rPr>
          <w:b/>
          <w:sz w:val="22"/>
          <w:szCs w:val="22"/>
        </w:rPr>
        <w:t>,</w:t>
      </w:r>
      <w:r w:rsidRPr="00A42549">
        <w:rPr>
          <w:sz w:val="22"/>
          <w:szCs w:val="22"/>
        </w:rPr>
        <w:t xml:space="preserve"> “Secrecy, Textual Legitimation, and Intercultural Polemics in the Book of Daniel.”</w:t>
      </w:r>
    </w:p>
  </w:footnote>
  <w:footnote w:id="537">
    <w:p w:rsidR="00786194" w:rsidRPr="00A42549" w:rsidRDefault="00786194" w:rsidP="00CF366E">
      <w:pPr>
        <w:pStyle w:val="FootnoteText"/>
        <w:rPr>
          <w:sz w:val="22"/>
          <w:szCs w:val="22"/>
        </w:rPr>
      </w:pPr>
      <w:r w:rsidRPr="00A42549">
        <w:rPr>
          <w:rStyle w:val="FootnoteReference"/>
          <w:sz w:val="22"/>
          <w:szCs w:val="22"/>
        </w:rPr>
        <w:footnoteRef/>
      </w:r>
      <w:r w:rsidRPr="00A42549">
        <w:rPr>
          <w:sz w:val="22"/>
          <w:szCs w:val="22"/>
        </w:rPr>
        <w:t xml:space="preserve"> Kirkpatrick, </w:t>
      </w:r>
      <w:r w:rsidRPr="00A42549">
        <w:rPr>
          <w:i/>
          <w:sz w:val="22"/>
          <w:szCs w:val="22"/>
        </w:rPr>
        <w:t>Competing for Honor</w:t>
      </w:r>
      <w:r w:rsidRPr="00A42549">
        <w:rPr>
          <w:sz w:val="22"/>
          <w:szCs w:val="22"/>
        </w:rPr>
        <w:t>, 59.</w:t>
      </w:r>
    </w:p>
  </w:footnote>
  <w:footnote w:id="538">
    <w:p w:rsidR="00786194" w:rsidRPr="00A42549" w:rsidRDefault="00786194" w:rsidP="00CF366E">
      <w:pPr>
        <w:pStyle w:val="FootnoteText"/>
        <w:rPr>
          <w:sz w:val="22"/>
          <w:szCs w:val="22"/>
        </w:rPr>
      </w:pPr>
      <w:r w:rsidRPr="00A42549">
        <w:rPr>
          <w:rStyle w:val="FootnoteReference"/>
          <w:sz w:val="22"/>
          <w:szCs w:val="22"/>
        </w:rPr>
        <w:footnoteRef/>
      </w:r>
      <w:r w:rsidRPr="00A42549">
        <w:rPr>
          <w:sz w:val="22"/>
          <w:szCs w:val="22"/>
        </w:rPr>
        <w:t xml:space="preserve"> Cf. </w:t>
      </w:r>
      <w:r w:rsidRPr="00A42549">
        <w:rPr>
          <w:bCs/>
          <w:sz w:val="22"/>
          <w:szCs w:val="22"/>
        </w:rPr>
        <w:t>Noegel</w:t>
      </w:r>
      <w:r w:rsidRPr="00A42549">
        <w:rPr>
          <w:b/>
          <w:bCs/>
          <w:sz w:val="22"/>
          <w:szCs w:val="22"/>
        </w:rPr>
        <w:t xml:space="preserve">, </w:t>
      </w:r>
      <w:r w:rsidRPr="00A42549">
        <w:rPr>
          <w:bCs/>
          <w:sz w:val="22"/>
          <w:szCs w:val="22"/>
        </w:rPr>
        <w:t>“Dreams</w:t>
      </w:r>
      <w:r w:rsidRPr="00A42549">
        <w:rPr>
          <w:sz w:val="22"/>
          <w:szCs w:val="22"/>
        </w:rPr>
        <w:t xml:space="preserve"> and </w:t>
      </w:r>
      <w:r w:rsidRPr="00A42549">
        <w:rPr>
          <w:bCs/>
          <w:sz w:val="22"/>
          <w:szCs w:val="22"/>
        </w:rPr>
        <w:t>Dream Interpreters in Mesopotamia and in the Hebrew Bible.”</w:t>
      </w:r>
    </w:p>
  </w:footnote>
  <w:footnote w:id="539">
    <w:p w:rsidR="00786194" w:rsidRPr="00A42549" w:rsidRDefault="00786194" w:rsidP="00C8708C">
      <w:pPr>
        <w:pStyle w:val="FootnoteText"/>
        <w:rPr>
          <w:sz w:val="22"/>
          <w:szCs w:val="22"/>
        </w:rPr>
      </w:pPr>
      <w:r w:rsidRPr="00A42549">
        <w:rPr>
          <w:rStyle w:val="FootnoteReference"/>
          <w:sz w:val="22"/>
          <w:szCs w:val="22"/>
        </w:rPr>
        <w:footnoteRef/>
      </w:r>
      <w:r w:rsidRPr="00A42549">
        <w:rPr>
          <w:sz w:val="22"/>
          <w:szCs w:val="22"/>
        </w:rPr>
        <w:t xml:space="preserve"> See Jerome, </w:t>
      </w:r>
      <w:r w:rsidRPr="00A42549">
        <w:rPr>
          <w:i/>
          <w:sz w:val="22"/>
          <w:szCs w:val="22"/>
        </w:rPr>
        <w:t>Daniel</w:t>
      </w:r>
      <w:r w:rsidRPr="00A42549">
        <w:rPr>
          <w:sz w:val="22"/>
          <w:szCs w:val="22"/>
        </w:rPr>
        <w:t>, 30; Steck, “Weltgeschehen und Gottesvolk im Buche Daniel,” 56.</w:t>
      </w:r>
    </w:p>
  </w:footnote>
  <w:footnote w:id="540">
    <w:p w:rsidR="00786194" w:rsidRPr="00A42549" w:rsidRDefault="00786194" w:rsidP="00C8708C">
      <w:pPr>
        <w:pStyle w:val="FootnoteText"/>
        <w:rPr>
          <w:sz w:val="22"/>
          <w:szCs w:val="22"/>
        </w:rPr>
      </w:pPr>
      <w:r w:rsidRPr="00A42549">
        <w:rPr>
          <w:rStyle w:val="FootnoteReference"/>
          <w:sz w:val="22"/>
          <w:szCs w:val="22"/>
        </w:rPr>
        <w:footnoteRef/>
      </w:r>
      <w:r w:rsidRPr="00A42549">
        <w:rPr>
          <w:sz w:val="22"/>
          <w:szCs w:val="22"/>
        </w:rPr>
        <w:t xml:space="preserve"> Cf. Anderson, </w:t>
      </w:r>
      <w:r w:rsidRPr="00A42549">
        <w:rPr>
          <w:i/>
          <w:sz w:val="22"/>
          <w:szCs w:val="22"/>
        </w:rPr>
        <w:t>Signs and Wonders</w:t>
      </w:r>
      <w:r w:rsidRPr="00A42549">
        <w:rPr>
          <w:sz w:val="22"/>
          <w:szCs w:val="22"/>
        </w:rPr>
        <w:t>, on the passage.</w:t>
      </w:r>
    </w:p>
  </w:footnote>
  <w:footnote w:id="54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w:t>
      </w:r>
      <w:r w:rsidRPr="00A42549">
        <w:rPr>
          <w:i/>
          <w:sz w:val="22"/>
          <w:szCs w:val="22"/>
        </w:rPr>
        <w:t xml:space="preserve"> </w:t>
      </w:r>
      <w:r w:rsidRPr="00A42549">
        <w:rPr>
          <w:sz w:val="22"/>
          <w:szCs w:val="22"/>
        </w:rPr>
        <w:t xml:space="preserve">67. </w:t>
      </w:r>
    </w:p>
  </w:footnote>
  <w:footnote w:id="542">
    <w:p w:rsidR="00786194" w:rsidRPr="00A42549" w:rsidRDefault="00786194" w:rsidP="008C0D7A">
      <w:pPr>
        <w:pStyle w:val="FootnoteText"/>
        <w:rPr>
          <w:sz w:val="22"/>
          <w:szCs w:val="22"/>
        </w:rPr>
      </w:pPr>
      <w:r w:rsidRPr="00A42549">
        <w:rPr>
          <w:rStyle w:val="FootnoteReference"/>
          <w:sz w:val="22"/>
          <w:szCs w:val="22"/>
        </w:rPr>
        <w:footnoteRef/>
      </w:r>
      <w:r w:rsidRPr="00A42549">
        <w:rPr>
          <w:sz w:val="22"/>
          <w:szCs w:val="22"/>
        </w:rPr>
        <w:t xml:space="preserve"> Cf. Venter, </w:t>
      </w:r>
      <w:r w:rsidRPr="00A42549">
        <w:rPr>
          <w:rFonts w:eastAsiaTheme="minorHAnsi" w:cs="Times New Roman"/>
          <w:bCs/>
          <w:sz w:val="22"/>
          <w:szCs w:val="22"/>
        </w:rPr>
        <w:t>“The Function of Poetic Speech in the Narrative in Daniel 2”; Watts</w:t>
      </w:r>
      <w:r w:rsidRPr="00A42549">
        <w:rPr>
          <w:rFonts w:eastAsiaTheme="minorHAnsi" w:cs="Times New Roman"/>
          <w:b/>
          <w:bCs/>
          <w:sz w:val="22"/>
          <w:szCs w:val="22"/>
        </w:rPr>
        <w:t xml:space="preserve">, </w:t>
      </w:r>
      <w:r w:rsidRPr="00A42549">
        <w:rPr>
          <w:rFonts w:eastAsiaTheme="minorHAnsi" w:cs="Times New Roman"/>
          <w:bCs/>
          <w:sz w:val="22"/>
          <w:szCs w:val="22"/>
        </w:rPr>
        <w:t>“Daniel’s Praise”; Prinsloo, “Two Poems,” 100.</w:t>
      </w:r>
    </w:p>
  </w:footnote>
  <w:footnote w:id="54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Grelot, “Histoire et eschatologie dans le livre de Daniel,” 105.</w:t>
      </w:r>
    </w:p>
  </w:footnote>
  <w:footnote w:id="544">
    <w:p w:rsidR="00786194" w:rsidRPr="00A42549" w:rsidRDefault="00786194" w:rsidP="009D6492">
      <w:pPr>
        <w:pStyle w:val="FootnoteText"/>
        <w:rPr>
          <w:sz w:val="22"/>
          <w:szCs w:val="22"/>
        </w:rPr>
      </w:pPr>
      <w:r w:rsidRPr="00A42549">
        <w:rPr>
          <w:rStyle w:val="FootnoteReference"/>
          <w:sz w:val="22"/>
          <w:szCs w:val="22"/>
        </w:rPr>
        <w:footnoteRef/>
      </w:r>
      <w:r w:rsidRPr="00A42549">
        <w:rPr>
          <w:sz w:val="22"/>
          <w:szCs w:val="22"/>
        </w:rPr>
        <w:t xml:space="preserve"> Towner, </w:t>
      </w:r>
      <w:r w:rsidRPr="00A42549">
        <w:rPr>
          <w:i/>
          <w:sz w:val="22"/>
          <w:szCs w:val="22"/>
        </w:rPr>
        <w:t>Daniel</w:t>
      </w:r>
      <w:r w:rsidRPr="00A42549">
        <w:rPr>
          <w:sz w:val="22"/>
          <w:szCs w:val="22"/>
        </w:rPr>
        <w:t>, 33.</w:t>
      </w:r>
    </w:p>
  </w:footnote>
  <w:footnote w:id="545">
    <w:p w:rsidR="00786194" w:rsidRPr="00A42549" w:rsidRDefault="00786194" w:rsidP="008C0D7A">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xml:space="preserve">, 69. </w:t>
      </w:r>
    </w:p>
  </w:footnote>
  <w:footnote w:id="54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Lucas, </w:t>
      </w:r>
      <w:r w:rsidRPr="00A42549">
        <w:rPr>
          <w:i/>
          <w:sz w:val="22"/>
          <w:szCs w:val="22"/>
        </w:rPr>
        <w:t>Daniel</w:t>
      </w:r>
      <w:r w:rsidRPr="00A42549">
        <w:rPr>
          <w:sz w:val="22"/>
          <w:szCs w:val="22"/>
        </w:rPr>
        <w:t>, 78.</w:t>
      </w:r>
    </w:p>
  </w:footnote>
  <w:footnote w:id="54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Grelot, “Histoire et eschatologie dans le livre de Daniel,” 89.</w:t>
      </w:r>
    </w:p>
  </w:footnote>
  <w:footnote w:id="54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Müller, “Märchen, Legende und Enderwartung,” 338, 350; Plöger, </w:t>
      </w:r>
      <w:r w:rsidRPr="00A42549">
        <w:rPr>
          <w:i/>
          <w:sz w:val="22"/>
          <w:szCs w:val="22"/>
        </w:rPr>
        <w:t>Daniel</w:t>
      </w:r>
      <w:r w:rsidRPr="00A42549">
        <w:rPr>
          <w:sz w:val="22"/>
          <w:szCs w:val="22"/>
        </w:rPr>
        <w:t>, on the passage.</w:t>
      </w:r>
    </w:p>
  </w:footnote>
  <w:footnote w:id="54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Hebbard, </w:t>
      </w:r>
      <w:r w:rsidRPr="00A42549">
        <w:rPr>
          <w:i/>
          <w:sz w:val="22"/>
          <w:szCs w:val="22"/>
        </w:rPr>
        <w:t>Reading Daniel</w:t>
      </w:r>
      <w:r w:rsidRPr="00A42549">
        <w:rPr>
          <w:sz w:val="22"/>
          <w:szCs w:val="22"/>
        </w:rPr>
        <w:t>, 87.</w:t>
      </w:r>
    </w:p>
  </w:footnote>
  <w:footnote w:id="55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Koch, </w:t>
      </w:r>
      <w:r w:rsidRPr="00A42549">
        <w:rPr>
          <w:i/>
          <w:sz w:val="22"/>
          <w:szCs w:val="22"/>
        </w:rPr>
        <w:t>Daniel 1—4</w:t>
      </w:r>
      <w:r w:rsidRPr="00A42549">
        <w:rPr>
          <w:sz w:val="22"/>
          <w:szCs w:val="22"/>
        </w:rPr>
        <w:t>, 177-79.</w:t>
      </w:r>
    </w:p>
  </w:footnote>
  <w:footnote w:id="55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Di Lella, </w:t>
      </w:r>
      <w:r w:rsidRPr="00A42549">
        <w:rPr>
          <w:i/>
          <w:sz w:val="22"/>
          <w:szCs w:val="22"/>
        </w:rPr>
        <w:t>Daniel</w:t>
      </w:r>
      <w:r w:rsidRPr="00A42549">
        <w:rPr>
          <w:sz w:val="22"/>
          <w:szCs w:val="22"/>
        </w:rPr>
        <w:t>, 40.</w:t>
      </w:r>
    </w:p>
  </w:footnote>
  <w:footnote w:id="55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Montgomery, </w:t>
      </w:r>
      <w:r w:rsidRPr="00A42549">
        <w:rPr>
          <w:i/>
          <w:sz w:val="22"/>
          <w:szCs w:val="22"/>
        </w:rPr>
        <w:t>Daniel</w:t>
      </w:r>
      <w:r w:rsidRPr="00A42549">
        <w:rPr>
          <w:sz w:val="22"/>
          <w:szCs w:val="22"/>
        </w:rPr>
        <w:t>, on the passage.</w:t>
      </w:r>
    </w:p>
  </w:footnote>
  <w:footnote w:id="55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Newsom, </w:t>
      </w:r>
      <w:r w:rsidRPr="00A42549">
        <w:rPr>
          <w:i/>
          <w:sz w:val="22"/>
          <w:szCs w:val="22"/>
        </w:rPr>
        <w:t>Daniel</w:t>
      </w:r>
      <w:r w:rsidRPr="00A42549">
        <w:rPr>
          <w:sz w:val="22"/>
          <w:szCs w:val="22"/>
        </w:rPr>
        <w:t>, 76.</w:t>
      </w:r>
    </w:p>
  </w:footnote>
  <w:footnote w:id="55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Anderson, </w:t>
      </w:r>
      <w:r w:rsidRPr="00A42549">
        <w:rPr>
          <w:i/>
          <w:sz w:val="22"/>
          <w:szCs w:val="22"/>
        </w:rPr>
        <w:t xml:space="preserve">Signs and Wonders, </w:t>
      </w:r>
      <w:r w:rsidRPr="00A42549">
        <w:rPr>
          <w:sz w:val="22"/>
          <w:szCs w:val="22"/>
        </w:rPr>
        <w:t xml:space="preserve">on the passage. </w:t>
      </w:r>
    </w:p>
  </w:footnote>
  <w:footnote w:id="55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Koch, “Spätisraelitische Geschichtsdenken am Beispiel des Buches Daniel,” 3.</w:t>
      </w:r>
    </w:p>
  </w:footnote>
  <w:footnote w:id="55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Noth, “Das geschichtsverständnis der alttestamentlichen Apokalyptik,” 262 (ET 206).</w:t>
      </w:r>
    </w:p>
  </w:footnote>
  <w:footnote w:id="55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Jones, </w:t>
      </w:r>
      <w:r w:rsidRPr="00A42549">
        <w:rPr>
          <w:i/>
          <w:sz w:val="22"/>
          <w:szCs w:val="22"/>
        </w:rPr>
        <w:t>Ideas of History in the Book of Daniel</w:t>
      </w:r>
      <w:r w:rsidRPr="00A42549">
        <w:rPr>
          <w:sz w:val="22"/>
          <w:szCs w:val="22"/>
        </w:rPr>
        <w:t>, 250–52; Murdock, “History and Revelation in Jewish Apocalypticism,” 170–71.</w:t>
      </w:r>
    </w:p>
  </w:footnote>
  <w:footnote w:id="558">
    <w:p w:rsidR="00786194" w:rsidRPr="00A42549" w:rsidRDefault="00786194">
      <w:pPr>
        <w:pStyle w:val="FootnoteText"/>
        <w:rPr>
          <w:i/>
          <w:sz w:val="22"/>
          <w:szCs w:val="22"/>
        </w:rPr>
      </w:pPr>
      <w:r w:rsidRPr="00A42549">
        <w:rPr>
          <w:rStyle w:val="FootnoteReference"/>
          <w:sz w:val="22"/>
          <w:szCs w:val="22"/>
        </w:rPr>
        <w:footnoteRef/>
      </w:r>
      <w:r w:rsidRPr="00A42549">
        <w:rPr>
          <w:sz w:val="22"/>
          <w:szCs w:val="22"/>
        </w:rPr>
        <w:t xml:space="preserve"> </w:t>
      </w:r>
      <w:r w:rsidRPr="00A42549">
        <w:rPr>
          <w:sz w:val="22"/>
          <w:szCs w:val="22"/>
          <w:lang w:val="en-NZ"/>
        </w:rPr>
        <w:t>Hall</w:t>
      </w:r>
      <w:r w:rsidRPr="00A42549">
        <w:rPr>
          <w:b/>
          <w:sz w:val="22"/>
          <w:szCs w:val="22"/>
          <w:lang w:val="en-NZ"/>
        </w:rPr>
        <w:t xml:space="preserve">, </w:t>
      </w:r>
      <w:r w:rsidRPr="00A42549">
        <w:rPr>
          <w:i/>
          <w:sz w:val="22"/>
          <w:szCs w:val="22"/>
          <w:lang w:val="en-NZ"/>
        </w:rPr>
        <w:t xml:space="preserve">Revealed Histories, </w:t>
      </w:r>
      <w:r w:rsidRPr="00A42549">
        <w:rPr>
          <w:sz w:val="22"/>
          <w:szCs w:val="22"/>
          <w:lang w:val="en-NZ"/>
        </w:rPr>
        <w:t>82-96.</w:t>
      </w:r>
    </w:p>
  </w:footnote>
  <w:footnote w:id="55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Koch, “Spätisraelitische Geschichtsdenken am Beispiel des Buches Daniel,” 25–32.</w:t>
      </w:r>
    </w:p>
  </w:footnote>
  <w:footnote w:id="56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Seow, </w:t>
      </w:r>
      <w:r w:rsidRPr="00A42549">
        <w:rPr>
          <w:b/>
          <w:bCs/>
          <w:sz w:val="22"/>
          <w:szCs w:val="22"/>
        </w:rPr>
        <w:t>“</w:t>
      </w:r>
      <w:r w:rsidRPr="00A42549">
        <w:rPr>
          <w:sz w:val="22"/>
          <w:szCs w:val="22"/>
        </w:rPr>
        <w:t xml:space="preserve">From Mountain to Mountain,” 366; </w:t>
      </w:r>
      <w:r w:rsidRPr="00A42549">
        <w:rPr>
          <w:i/>
          <w:sz w:val="22"/>
          <w:szCs w:val="22"/>
        </w:rPr>
        <w:t>Daniel</w:t>
      </w:r>
      <w:r w:rsidRPr="00A42549">
        <w:rPr>
          <w:sz w:val="22"/>
          <w:szCs w:val="22"/>
        </w:rPr>
        <w:t>, 44.</w:t>
      </w:r>
    </w:p>
  </w:footnote>
  <w:footnote w:id="5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Berrigan, </w:t>
      </w:r>
      <w:r w:rsidRPr="00A42549">
        <w:rPr>
          <w:i/>
          <w:sz w:val="22"/>
          <w:szCs w:val="22"/>
        </w:rPr>
        <w:t>Daniel</w:t>
      </w:r>
      <w:r w:rsidRPr="00A42549">
        <w:rPr>
          <w:sz w:val="22"/>
          <w:szCs w:val="22"/>
        </w:rPr>
        <w:t>, 28.</w:t>
      </w:r>
    </w:p>
  </w:footnote>
  <w:footnote w:id="56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Olojede</w:t>
      </w:r>
      <w:r w:rsidRPr="00A42549">
        <w:rPr>
          <w:b/>
          <w:sz w:val="22"/>
          <w:szCs w:val="22"/>
        </w:rPr>
        <w:t xml:space="preserve">, </w:t>
      </w:r>
      <w:r w:rsidRPr="00A42549">
        <w:rPr>
          <w:sz w:val="22"/>
          <w:szCs w:val="22"/>
        </w:rPr>
        <w:t xml:space="preserve"> “</w:t>
      </w:r>
      <w:r w:rsidRPr="00A42549">
        <w:rPr>
          <w:bCs/>
          <w:sz w:val="22"/>
          <w:szCs w:val="22"/>
        </w:rPr>
        <w:t>Daniel ‘more than a prophet’?”</w:t>
      </w:r>
    </w:p>
  </w:footnote>
  <w:footnote w:id="56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Koch, </w:t>
      </w:r>
      <w:r w:rsidRPr="00A42549">
        <w:rPr>
          <w:i/>
          <w:sz w:val="22"/>
          <w:szCs w:val="22"/>
        </w:rPr>
        <w:t>Daniel 1—4</w:t>
      </w:r>
      <w:r w:rsidRPr="00A42549">
        <w:rPr>
          <w:sz w:val="22"/>
          <w:szCs w:val="22"/>
        </w:rPr>
        <w:t>, 194.</w:t>
      </w:r>
    </w:p>
  </w:footnote>
  <w:footnote w:id="564">
    <w:p w:rsidR="00786194" w:rsidRPr="00A42549" w:rsidRDefault="00786194">
      <w:pPr>
        <w:pStyle w:val="FootnoteText"/>
        <w:rPr>
          <w:i/>
          <w:sz w:val="22"/>
          <w:szCs w:val="22"/>
        </w:rPr>
      </w:pPr>
      <w:r w:rsidRPr="00A42549">
        <w:rPr>
          <w:rStyle w:val="FootnoteReference"/>
          <w:sz w:val="22"/>
          <w:szCs w:val="22"/>
        </w:rPr>
        <w:footnoteRef/>
      </w:r>
      <w:r w:rsidRPr="00A42549">
        <w:rPr>
          <w:sz w:val="22"/>
          <w:szCs w:val="22"/>
        </w:rPr>
        <w:t xml:space="preserve"> Koch, </w:t>
      </w:r>
      <w:r w:rsidRPr="00A42549">
        <w:rPr>
          <w:i/>
          <w:sz w:val="22"/>
          <w:szCs w:val="22"/>
        </w:rPr>
        <w:t>Daniel 1—4</w:t>
      </w:r>
      <w:r w:rsidRPr="00A42549">
        <w:rPr>
          <w:sz w:val="22"/>
          <w:szCs w:val="22"/>
        </w:rPr>
        <w:t>, 190, 192.</w:t>
      </w:r>
      <w:r w:rsidRPr="00A42549">
        <w:rPr>
          <w:i/>
          <w:sz w:val="22"/>
          <w:szCs w:val="22"/>
        </w:rPr>
        <w:t xml:space="preserve"> </w:t>
      </w:r>
    </w:p>
  </w:footnote>
  <w:footnote w:id="565">
    <w:p w:rsidR="00786194" w:rsidRPr="00A42549" w:rsidRDefault="00786194" w:rsidP="00CD46B6">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The Church to Come</w:t>
      </w:r>
      <w:r w:rsidRPr="00A42549">
        <w:rPr>
          <w:sz w:val="22"/>
          <w:szCs w:val="22"/>
        </w:rPr>
        <w:t>, 34; cf. Sumner, “Daniel,” 132.</w:t>
      </w:r>
    </w:p>
  </w:footnote>
  <w:footnote w:id="56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Steck, “Weltgeschehen und Gottesvolk im Buche Daniel.” 57–58.</w:t>
      </w:r>
    </w:p>
  </w:footnote>
  <w:footnote w:id="56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Atzerodt, “Weltgeschichte und Reich Gottes im Buch Daniel,” 242.</w:t>
      </w:r>
    </w:p>
  </w:footnote>
  <w:footnote w:id="568">
    <w:p w:rsidR="00786194" w:rsidRPr="00A42549" w:rsidRDefault="00786194" w:rsidP="00127B67">
      <w:pPr>
        <w:pStyle w:val="FootnoteText"/>
        <w:rPr>
          <w:sz w:val="22"/>
          <w:szCs w:val="22"/>
        </w:rPr>
      </w:pPr>
      <w:r w:rsidRPr="00A42549">
        <w:rPr>
          <w:rStyle w:val="FootnoteReference"/>
          <w:sz w:val="22"/>
          <w:szCs w:val="22"/>
        </w:rPr>
        <w:footnoteRef/>
      </w:r>
      <w:r w:rsidRPr="00A42549">
        <w:rPr>
          <w:sz w:val="22"/>
          <w:szCs w:val="22"/>
        </w:rPr>
        <w:t xml:space="preserve"> So Flusser, “The Four Empires,” 166–68.</w:t>
      </w:r>
    </w:p>
  </w:footnote>
  <w:footnote w:id="569">
    <w:p w:rsidR="00786194" w:rsidRPr="00A42549" w:rsidRDefault="00786194" w:rsidP="00694CCC">
      <w:pPr>
        <w:pStyle w:val="FootnoteText"/>
        <w:rPr>
          <w:sz w:val="22"/>
          <w:szCs w:val="22"/>
        </w:rPr>
      </w:pPr>
      <w:r w:rsidRPr="00A42549">
        <w:rPr>
          <w:rStyle w:val="FootnoteReference"/>
          <w:sz w:val="22"/>
          <w:szCs w:val="22"/>
        </w:rPr>
        <w:footnoteRef/>
      </w:r>
      <w:r w:rsidRPr="00A42549">
        <w:rPr>
          <w:sz w:val="22"/>
          <w:szCs w:val="22"/>
        </w:rPr>
        <w:t xml:space="preserve"> Merrill Willis </w:t>
      </w:r>
      <w:r w:rsidRPr="00A42549">
        <w:rPr>
          <w:i/>
          <w:sz w:val="22"/>
          <w:szCs w:val="22"/>
        </w:rPr>
        <w:t>Dissonance and the Drama of Divine Sovereignty</w:t>
      </w:r>
      <w:r w:rsidRPr="00A42549">
        <w:rPr>
          <w:sz w:val="22"/>
          <w:szCs w:val="22"/>
        </w:rPr>
        <w:t>, 59 (she make an comparision with Sirach which is illuminating even if one does not accept her views on redaction and dating).</w:t>
      </w:r>
    </w:p>
  </w:footnote>
  <w:footnote w:id="57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Noth, “Das geschichtsverständnis der alttestamentlichen Apokalyptik,” 263–65, 272–73 (ET 207–8, 214).</w:t>
      </w:r>
    </w:p>
  </w:footnote>
  <w:footnote w:id="57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Atzerodt, “Weltgeschichte und Reich Gottes im Buch Daniel,” 248, 249.</w:t>
      </w:r>
    </w:p>
  </w:footnote>
  <w:footnote w:id="57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Theologie</w:t>
      </w:r>
      <w:r w:rsidRPr="00A42549">
        <w:rPr>
          <w:sz w:val="22"/>
          <w:szCs w:val="22"/>
        </w:rPr>
        <w:t xml:space="preserve"> </w:t>
      </w:r>
      <w:r w:rsidRPr="00A42549">
        <w:rPr>
          <w:i/>
          <w:sz w:val="22"/>
          <w:szCs w:val="22"/>
        </w:rPr>
        <w:t>der Hoffnung</w:t>
      </w:r>
      <w:r w:rsidRPr="00A42549">
        <w:rPr>
          <w:sz w:val="22"/>
          <w:szCs w:val="22"/>
        </w:rPr>
        <w:t>, 120 (ET 133–34).</w:t>
      </w:r>
    </w:p>
  </w:footnote>
  <w:footnote w:id="57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“Der Anfang der Geschichtsschreibung im alten Israel,” 148–54 (ET 166–71); cf. Jones, </w:t>
      </w:r>
      <w:r w:rsidRPr="00A42549">
        <w:rPr>
          <w:i/>
          <w:sz w:val="22"/>
          <w:szCs w:val="22"/>
        </w:rPr>
        <w:t>Ideas of History in the Book of Daniel</w:t>
      </w:r>
      <w:r w:rsidRPr="00A42549">
        <w:rPr>
          <w:sz w:val="22"/>
          <w:szCs w:val="22"/>
        </w:rPr>
        <w:t>, 91–92.</w:t>
      </w:r>
    </w:p>
  </w:footnote>
  <w:footnote w:id="57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bCs/>
          <w:sz w:val="22"/>
          <w:szCs w:val="22"/>
        </w:rPr>
        <w:t>Kvanvig, “The Relevance of the Biblical Visions of the End Time,” 47; cf. Kruschwitz/ Redditt,</w:t>
      </w:r>
      <w:r w:rsidRPr="00A42549">
        <w:rPr>
          <w:b/>
          <w:bCs/>
          <w:sz w:val="22"/>
          <w:szCs w:val="22"/>
        </w:rPr>
        <w:t xml:space="preserve"> </w:t>
      </w:r>
      <w:r w:rsidRPr="00A42549">
        <w:rPr>
          <w:bCs/>
          <w:sz w:val="22"/>
          <w:szCs w:val="22"/>
        </w:rPr>
        <w:t>“Nebuchadnezzar as the Head of Gold,” 412.</w:t>
      </w:r>
    </w:p>
  </w:footnote>
  <w:footnote w:id="57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Pannenberg, “Heilsgeschehen und Geschichte,” </w:t>
      </w:r>
      <w:r w:rsidRPr="00A42549">
        <w:rPr>
          <w:i/>
          <w:sz w:val="22"/>
          <w:szCs w:val="22"/>
        </w:rPr>
        <w:t>KD</w:t>
      </w:r>
      <w:r w:rsidRPr="00A42549">
        <w:rPr>
          <w:sz w:val="22"/>
          <w:szCs w:val="22"/>
        </w:rPr>
        <w:t xml:space="preserve"> 5 [1959] 220 = </w:t>
      </w:r>
      <w:r w:rsidRPr="00A42549">
        <w:rPr>
          <w:i/>
          <w:sz w:val="22"/>
          <w:szCs w:val="22"/>
        </w:rPr>
        <w:t>Grundfragen systematischer Theologie</w:t>
      </w:r>
      <w:r w:rsidRPr="00A42549">
        <w:rPr>
          <w:sz w:val="22"/>
          <w:szCs w:val="22"/>
        </w:rPr>
        <w:t>, 25 (ET 18).</w:t>
      </w:r>
    </w:p>
  </w:footnote>
  <w:footnote w:id="57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Bultmann, </w:t>
      </w:r>
      <w:r w:rsidRPr="00A42549">
        <w:rPr>
          <w:i/>
          <w:sz w:val="22"/>
          <w:szCs w:val="22"/>
        </w:rPr>
        <w:t>History and Eschatology</w:t>
      </w:r>
      <w:r w:rsidRPr="00A42549">
        <w:rPr>
          <w:sz w:val="22"/>
          <w:szCs w:val="22"/>
        </w:rPr>
        <w:t>, 29</w:t>
      </w:r>
    </w:p>
  </w:footnote>
  <w:footnote w:id="57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Jones, </w:t>
      </w:r>
      <w:r w:rsidRPr="00A42549">
        <w:rPr>
          <w:i/>
          <w:sz w:val="22"/>
          <w:szCs w:val="22"/>
        </w:rPr>
        <w:t>Ideas of History in the Book of Daniel</w:t>
      </w:r>
      <w:r w:rsidRPr="00A42549">
        <w:rPr>
          <w:sz w:val="22"/>
          <w:szCs w:val="22"/>
        </w:rPr>
        <w:t>, 102, 113–18.</w:t>
      </w:r>
    </w:p>
  </w:footnote>
  <w:footnote w:id="57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Barth, </w:t>
      </w:r>
      <w:r w:rsidRPr="00A42549">
        <w:rPr>
          <w:i/>
          <w:sz w:val="22"/>
          <w:szCs w:val="22"/>
        </w:rPr>
        <w:t>Diesseits und Jenseits im Glauben des späten Israel</w:t>
      </w:r>
      <w:r w:rsidRPr="00A42549">
        <w:rPr>
          <w:sz w:val="22"/>
          <w:szCs w:val="22"/>
        </w:rPr>
        <w:t xml:space="preserve">, 93–100; Jones, </w:t>
      </w:r>
      <w:r w:rsidRPr="00A42549">
        <w:rPr>
          <w:i/>
          <w:sz w:val="22"/>
          <w:szCs w:val="22"/>
        </w:rPr>
        <w:t>Ideas of History in the Book of Daniel</w:t>
      </w:r>
      <w:r w:rsidRPr="00A42549">
        <w:rPr>
          <w:sz w:val="22"/>
          <w:szCs w:val="22"/>
        </w:rPr>
        <w:t>, 253–56.</w:t>
      </w:r>
    </w:p>
  </w:footnote>
  <w:footnote w:id="579">
    <w:p w:rsidR="00786194" w:rsidRPr="00A42549" w:rsidRDefault="00786194" w:rsidP="002508E2">
      <w:pPr>
        <w:pStyle w:val="FootnoteText"/>
        <w:rPr>
          <w:i/>
          <w:sz w:val="22"/>
          <w:szCs w:val="22"/>
        </w:rPr>
      </w:pPr>
      <w:r w:rsidRPr="00A42549">
        <w:rPr>
          <w:rStyle w:val="FootnoteReference"/>
          <w:sz w:val="22"/>
          <w:szCs w:val="22"/>
        </w:rPr>
        <w:footnoteRef/>
      </w:r>
      <w:r w:rsidRPr="00A42549">
        <w:rPr>
          <w:sz w:val="22"/>
          <w:szCs w:val="22"/>
        </w:rPr>
        <w:t xml:space="preserve"> Merrill Willis, </w:t>
      </w:r>
      <w:r w:rsidRPr="00A42549">
        <w:rPr>
          <w:i/>
          <w:iCs/>
          <w:sz w:val="22"/>
          <w:szCs w:val="22"/>
        </w:rPr>
        <w:t>Dissonance and the Drama of Divine Sovereignty in the Bookof Daniel</w:t>
      </w:r>
      <w:r w:rsidRPr="00A42549">
        <w:rPr>
          <w:iCs/>
          <w:sz w:val="22"/>
          <w:szCs w:val="22"/>
        </w:rPr>
        <w:t>, 36 (she specifies a redaction and a reading in the early Seleucid period, but the point is not dependent on this this assumption).</w:t>
      </w:r>
    </w:p>
  </w:footnote>
  <w:footnote w:id="58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Sappington, “The Factor of Function in Defining Jewish Apocalyptic Literature,” 97-98.</w:t>
      </w:r>
    </w:p>
  </w:footnote>
  <w:footnote w:id="58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Barth, </w:t>
      </w:r>
      <w:r w:rsidRPr="00A42549">
        <w:rPr>
          <w:i/>
          <w:sz w:val="22"/>
          <w:szCs w:val="22"/>
        </w:rPr>
        <w:t>Diesseits</w:t>
      </w:r>
      <w:r w:rsidRPr="00A42549">
        <w:rPr>
          <w:sz w:val="22"/>
          <w:szCs w:val="22"/>
        </w:rPr>
        <w:t xml:space="preserve"> </w:t>
      </w:r>
      <w:r w:rsidRPr="00A42549">
        <w:rPr>
          <w:i/>
          <w:sz w:val="22"/>
          <w:szCs w:val="22"/>
        </w:rPr>
        <w:t>und Jenseits im Glauben des späten Israel</w:t>
      </w:r>
      <w:r w:rsidRPr="00A42549">
        <w:rPr>
          <w:sz w:val="22"/>
          <w:szCs w:val="22"/>
        </w:rPr>
        <w:t>, 97, 99.</w:t>
      </w:r>
    </w:p>
  </w:footnote>
  <w:footnote w:id="58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Siegman, “The Stone Hewn from the Mountain,” 375–79; Schreiner, “</w:t>
      </w:r>
      <w:r w:rsidRPr="00A42549">
        <w:rPr>
          <w:bCs/>
          <w:sz w:val="22"/>
          <w:szCs w:val="22"/>
        </w:rPr>
        <w:t>Peter, the Rock.”</w:t>
      </w:r>
    </w:p>
  </w:footnote>
  <w:footnote w:id="58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Collins, “Nebuchadnezzar and the Kingdom of God,” 132.</w:t>
      </w:r>
    </w:p>
  </w:footnote>
  <w:footnote w:id="58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Chrysostom, </w:t>
      </w:r>
      <w:r w:rsidRPr="00A42549">
        <w:rPr>
          <w:i/>
          <w:sz w:val="22"/>
          <w:szCs w:val="22"/>
        </w:rPr>
        <w:t>Daniel</w:t>
      </w:r>
      <w:r w:rsidRPr="00A42549">
        <w:rPr>
          <w:sz w:val="22"/>
          <w:szCs w:val="22"/>
        </w:rPr>
        <w:t>,</w:t>
      </w:r>
      <w:r w:rsidRPr="00A42549">
        <w:rPr>
          <w:i/>
          <w:sz w:val="22"/>
          <w:szCs w:val="22"/>
        </w:rPr>
        <w:t xml:space="preserve"> </w:t>
      </w:r>
      <w:r w:rsidRPr="00A42549">
        <w:rPr>
          <w:sz w:val="22"/>
          <w:szCs w:val="22"/>
        </w:rPr>
        <w:t>on the passage.</w:t>
      </w:r>
    </w:p>
  </w:footnote>
  <w:footnote w:id="58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Dietrich, “Gott als König.”</w:t>
      </w:r>
    </w:p>
  </w:footnote>
  <w:footnote w:id="58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w:t>
      </w:r>
      <w:r w:rsidRPr="00A42549">
        <w:rPr>
          <w:i/>
          <w:sz w:val="22"/>
          <w:szCs w:val="22"/>
        </w:rPr>
        <w:t xml:space="preserve"> </w:t>
      </w:r>
      <w:r w:rsidRPr="00A42549">
        <w:rPr>
          <w:sz w:val="22"/>
          <w:szCs w:val="22"/>
        </w:rPr>
        <w:t>101-4.</w:t>
      </w:r>
    </w:p>
  </w:footnote>
  <w:footnote w:id="58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Coppens, </w:t>
      </w:r>
      <w:r w:rsidRPr="00A42549">
        <w:rPr>
          <w:i/>
          <w:sz w:val="22"/>
          <w:szCs w:val="22"/>
        </w:rPr>
        <w:t>Messianisme</w:t>
      </w:r>
      <w:r w:rsidRPr="00A42549">
        <w:rPr>
          <w:sz w:val="22"/>
          <w:szCs w:val="22"/>
        </w:rPr>
        <w:t xml:space="preserve"> </w:t>
      </w:r>
      <w:r w:rsidRPr="00A42549">
        <w:rPr>
          <w:i/>
          <w:sz w:val="22"/>
          <w:szCs w:val="22"/>
        </w:rPr>
        <w:t>royal</w:t>
      </w:r>
      <w:r w:rsidRPr="00A42549">
        <w:rPr>
          <w:sz w:val="22"/>
          <w:szCs w:val="22"/>
        </w:rPr>
        <w:t>, 27–28.</w:t>
      </w:r>
    </w:p>
  </w:footnote>
  <w:footnote w:id="588">
    <w:p w:rsidR="00786194" w:rsidRPr="00A42549" w:rsidRDefault="00786194" w:rsidP="009955B8">
      <w:pPr>
        <w:pStyle w:val="FootnoteText"/>
        <w:rPr>
          <w:sz w:val="22"/>
          <w:szCs w:val="22"/>
        </w:rPr>
      </w:pPr>
      <w:r w:rsidRPr="00A42549">
        <w:rPr>
          <w:rStyle w:val="FootnoteReference"/>
          <w:sz w:val="22"/>
          <w:szCs w:val="22"/>
        </w:rPr>
        <w:footnoteRef/>
      </w:r>
      <w:r w:rsidRPr="00A42549">
        <w:rPr>
          <w:sz w:val="22"/>
          <w:szCs w:val="22"/>
        </w:rPr>
        <w:t xml:space="preserve"> Jerome, </w:t>
      </w:r>
      <w:r w:rsidRPr="00A42549">
        <w:rPr>
          <w:i/>
          <w:sz w:val="22"/>
          <w:szCs w:val="22"/>
        </w:rPr>
        <w:t>Daniel</w:t>
      </w:r>
      <w:r w:rsidRPr="00A42549">
        <w:rPr>
          <w:sz w:val="22"/>
          <w:szCs w:val="22"/>
        </w:rPr>
        <w:t>, 24.</w:t>
      </w:r>
    </w:p>
  </w:footnote>
  <w:footnote w:id="589">
    <w:p w:rsidR="00786194" w:rsidRPr="00A42549" w:rsidRDefault="00786194" w:rsidP="009955B8">
      <w:pPr>
        <w:pStyle w:val="FootnoteText"/>
        <w:rPr>
          <w:sz w:val="22"/>
          <w:szCs w:val="22"/>
        </w:rPr>
      </w:pPr>
      <w:r w:rsidRPr="00A42549">
        <w:rPr>
          <w:rStyle w:val="FootnoteReference"/>
          <w:sz w:val="22"/>
          <w:szCs w:val="22"/>
        </w:rPr>
        <w:footnoteRef/>
      </w:r>
      <w:r w:rsidRPr="00A42549">
        <w:rPr>
          <w:sz w:val="22"/>
          <w:szCs w:val="22"/>
        </w:rPr>
        <w:t xml:space="preserve"> Hippolytus, </w:t>
      </w:r>
      <w:r w:rsidRPr="00A42549">
        <w:rPr>
          <w:i/>
          <w:sz w:val="22"/>
          <w:szCs w:val="22"/>
        </w:rPr>
        <w:t>Daniel</w:t>
      </w:r>
      <w:r w:rsidRPr="00A42549">
        <w:rPr>
          <w:sz w:val="22"/>
          <w:szCs w:val="22"/>
        </w:rPr>
        <w:t xml:space="preserve"> 2.2.</w:t>
      </w:r>
    </w:p>
  </w:footnote>
  <w:footnote w:id="590">
    <w:p w:rsidR="00786194" w:rsidRPr="00A42549" w:rsidRDefault="00786194" w:rsidP="000840C6">
      <w:pPr>
        <w:pStyle w:val="FootnoteText"/>
        <w:rPr>
          <w:sz w:val="22"/>
          <w:szCs w:val="22"/>
        </w:rPr>
      </w:pPr>
      <w:r w:rsidRPr="00A42549">
        <w:rPr>
          <w:rStyle w:val="FootnoteReference"/>
          <w:sz w:val="22"/>
          <w:szCs w:val="22"/>
        </w:rPr>
        <w:footnoteRef/>
      </w:r>
      <w:r w:rsidRPr="00A42549">
        <w:rPr>
          <w:sz w:val="22"/>
          <w:szCs w:val="22"/>
        </w:rPr>
        <w:t xml:space="preserve"> Towner, </w:t>
      </w:r>
      <w:r w:rsidRPr="00A42549">
        <w:rPr>
          <w:i/>
          <w:sz w:val="22"/>
          <w:szCs w:val="22"/>
        </w:rPr>
        <w:t>Daniel</w:t>
      </w:r>
      <w:r w:rsidRPr="00A42549">
        <w:rPr>
          <w:sz w:val="22"/>
          <w:szCs w:val="22"/>
        </w:rPr>
        <w:t>, 43.</w:t>
      </w:r>
    </w:p>
  </w:footnote>
  <w:footnote w:id="591">
    <w:p w:rsidR="00786194" w:rsidRPr="00A42549" w:rsidRDefault="00786194" w:rsidP="006474A7">
      <w:pPr>
        <w:pStyle w:val="FootnoteText"/>
        <w:rPr>
          <w:sz w:val="22"/>
          <w:szCs w:val="22"/>
        </w:rPr>
      </w:pPr>
      <w:r w:rsidRPr="00A42549">
        <w:rPr>
          <w:rStyle w:val="FootnoteReference"/>
          <w:sz w:val="22"/>
          <w:szCs w:val="22"/>
        </w:rPr>
        <w:footnoteRef/>
      </w:r>
      <w:r w:rsidRPr="00A42549">
        <w:rPr>
          <w:sz w:val="22"/>
          <w:szCs w:val="22"/>
        </w:rPr>
        <w:t xml:space="preserve"> Cf. Lucas, </w:t>
      </w:r>
      <w:r w:rsidRPr="00A42549">
        <w:rPr>
          <w:i/>
          <w:sz w:val="22"/>
          <w:szCs w:val="22"/>
        </w:rPr>
        <w:t>Daniel</w:t>
      </w:r>
      <w:r w:rsidRPr="00A42549">
        <w:rPr>
          <w:sz w:val="22"/>
          <w:szCs w:val="22"/>
        </w:rPr>
        <w:t>, 80.</w:t>
      </w:r>
    </w:p>
  </w:footnote>
  <w:footnote w:id="59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Lebram, “Nachbiblische Weisheitstraditionen,” 234–37.</w:t>
      </w:r>
    </w:p>
  </w:footnote>
  <w:footnote w:id="59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Ehrlich, </w:t>
      </w:r>
      <w:r w:rsidRPr="00A42549">
        <w:rPr>
          <w:i/>
          <w:sz w:val="22"/>
          <w:szCs w:val="22"/>
        </w:rPr>
        <w:t>Der Traum im AT</w:t>
      </w:r>
      <w:r w:rsidRPr="00A42549">
        <w:rPr>
          <w:sz w:val="22"/>
          <w:szCs w:val="22"/>
        </w:rPr>
        <w:t>, 103.</w:t>
      </w:r>
    </w:p>
  </w:footnote>
  <w:footnote w:id="59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Müller, “Mantische Weisheit und Apokalyptik,” 275–77.</w:t>
      </w:r>
    </w:p>
  </w:footnote>
  <w:footnote w:id="59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Newsom, </w:t>
      </w:r>
      <w:r w:rsidRPr="00A42549">
        <w:rPr>
          <w:i/>
          <w:sz w:val="22"/>
          <w:szCs w:val="22"/>
        </w:rPr>
        <w:t>Daniel</w:t>
      </w:r>
      <w:r w:rsidRPr="00A42549">
        <w:rPr>
          <w:sz w:val="22"/>
          <w:szCs w:val="22"/>
        </w:rPr>
        <w:t>, 17. Newsom’s pluperfect verb presupposes the traditional understanding of the regimes as empires and the view that the dream in its present form is a later addition to the story, but her point also holds on the interpretation adopted in the present commentary.</w:t>
      </w:r>
    </w:p>
  </w:footnote>
  <w:footnote w:id="59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Schreiner, “…wird der Gott des Himmels ein Reich errichten,” 141–49.</w:t>
      </w:r>
    </w:p>
  </w:footnote>
  <w:footnote w:id="59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Grelot, “Histoire et eschatologie dans le livre de Daniel,” 105.</w:t>
      </w:r>
    </w:p>
  </w:footnote>
  <w:footnote w:id="598">
    <w:p w:rsidR="00786194" w:rsidRPr="00A42549" w:rsidRDefault="00786194" w:rsidP="000840C6">
      <w:pPr>
        <w:pStyle w:val="FootnoteText"/>
        <w:rPr>
          <w:sz w:val="22"/>
          <w:szCs w:val="22"/>
        </w:rPr>
      </w:pPr>
      <w:r w:rsidRPr="00A42549">
        <w:rPr>
          <w:rStyle w:val="FootnoteReference"/>
          <w:sz w:val="22"/>
          <w:szCs w:val="22"/>
        </w:rPr>
        <w:footnoteRef/>
      </w:r>
      <w:r w:rsidRPr="00A42549">
        <w:rPr>
          <w:sz w:val="22"/>
          <w:szCs w:val="22"/>
        </w:rPr>
        <w:t xml:space="preserve"> Seow, </w:t>
      </w:r>
      <w:r w:rsidRPr="00A42549">
        <w:rPr>
          <w:b/>
          <w:bCs/>
          <w:sz w:val="22"/>
          <w:szCs w:val="22"/>
        </w:rPr>
        <w:t>“</w:t>
      </w:r>
      <w:r w:rsidRPr="00A42549">
        <w:rPr>
          <w:sz w:val="22"/>
          <w:szCs w:val="22"/>
        </w:rPr>
        <w:t>From Mountain to Mountain,” 356.</w:t>
      </w:r>
    </w:p>
  </w:footnote>
  <w:footnote w:id="599">
    <w:p w:rsidR="00786194" w:rsidRPr="00A42549" w:rsidRDefault="00786194" w:rsidP="00D27965">
      <w:pPr>
        <w:pStyle w:val="FootnoteText"/>
        <w:rPr>
          <w:sz w:val="22"/>
          <w:szCs w:val="22"/>
        </w:rPr>
      </w:pPr>
      <w:r w:rsidRPr="00A42549">
        <w:rPr>
          <w:rStyle w:val="FootnoteReference"/>
          <w:sz w:val="22"/>
          <w:szCs w:val="22"/>
        </w:rPr>
        <w:footnoteRef/>
      </w:r>
      <w:r w:rsidRPr="00A42549">
        <w:rPr>
          <w:sz w:val="22"/>
          <w:szCs w:val="22"/>
        </w:rPr>
        <w:t xml:space="preserve"> Cf. Gunn/Nolan Fewell, “Nebuchadnezzar and Three Jews,” 185-86.</w:t>
      </w:r>
    </w:p>
  </w:footnote>
  <w:footnote w:id="60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Newsom, </w:t>
      </w:r>
      <w:r w:rsidRPr="00A42549">
        <w:rPr>
          <w:i/>
          <w:sz w:val="22"/>
          <w:szCs w:val="22"/>
        </w:rPr>
        <w:t>Daniel</w:t>
      </w:r>
      <w:r w:rsidRPr="00A42549">
        <w:rPr>
          <w:sz w:val="22"/>
          <w:szCs w:val="22"/>
        </w:rPr>
        <w:t>, 101.</w:t>
      </w:r>
    </w:p>
  </w:footnote>
  <w:footnote w:id="60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Lucas, </w:t>
      </w:r>
      <w:r w:rsidRPr="00A42549">
        <w:rPr>
          <w:i/>
          <w:sz w:val="22"/>
          <w:szCs w:val="22"/>
        </w:rPr>
        <w:t>Daniel</w:t>
      </w:r>
      <w:r w:rsidRPr="00A42549">
        <w:rPr>
          <w:sz w:val="22"/>
          <w:szCs w:val="22"/>
        </w:rPr>
        <w:t>, 96.</w:t>
      </w:r>
    </w:p>
  </w:footnote>
  <w:footnote w:id="60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Kuhl, </w:t>
      </w:r>
      <w:r w:rsidRPr="00A42549">
        <w:rPr>
          <w:i/>
          <w:sz w:val="22"/>
          <w:szCs w:val="22"/>
        </w:rPr>
        <w:t>Die drei Männer im Feuer</w:t>
      </w:r>
      <w:r w:rsidRPr="00A42549">
        <w:rPr>
          <w:sz w:val="22"/>
          <w:szCs w:val="22"/>
        </w:rPr>
        <w:t>.</w:t>
      </w:r>
    </w:p>
  </w:footnote>
  <w:footnote w:id="60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Peters, “The Three Children in the Fiery Furnace.”</w:t>
      </w:r>
    </w:p>
  </w:footnote>
  <w:footnote w:id="60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Kuhl, </w:t>
      </w:r>
      <w:r w:rsidRPr="00A42549">
        <w:rPr>
          <w:i/>
          <w:sz w:val="22"/>
          <w:szCs w:val="22"/>
        </w:rPr>
        <w:t>Die drei Männer im Feuer</w:t>
      </w:r>
      <w:r w:rsidRPr="00A42549">
        <w:rPr>
          <w:sz w:val="22"/>
          <w:szCs w:val="22"/>
        </w:rPr>
        <w:t>, 21.</w:t>
      </w:r>
    </w:p>
  </w:footnote>
  <w:footnote w:id="605">
    <w:p w:rsidR="00786194" w:rsidRPr="00A42549" w:rsidRDefault="00786194" w:rsidP="00070E1D">
      <w:pPr>
        <w:pStyle w:val="FootnoteText"/>
        <w:rPr>
          <w:sz w:val="22"/>
          <w:szCs w:val="22"/>
        </w:rPr>
      </w:pPr>
      <w:r w:rsidRPr="00A42549">
        <w:rPr>
          <w:rStyle w:val="FootnoteReference"/>
          <w:sz w:val="22"/>
          <w:szCs w:val="22"/>
        </w:rPr>
        <w:footnoteRef/>
      </w:r>
      <w:r w:rsidRPr="00A42549">
        <w:rPr>
          <w:sz w:val="22"/>
          <w:szCs w:val="22"/>
        </w:rPr>
        <w:t xml:space="preserve"> See Coxon, “The ‘List’ Genre and Narrative Style in the Court Tales of Daniel.”</w:t>
      </w:r>
    </w:p>
  </w:footnote>
  <w:footnote w:id="60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Cs/>
          <w:sz w:val="22"/>
          <w:szCs w:val="22"/>
        </w:rPr>
        <w:t>Avalos</w:t>
      </w:r>
      <w:r w:rsidRPr="00A42549">
        <w:rPr>
          <w:b/>
          <w:iCs/>
          <w:sz w:val="22"/>
          <w:szCs w:val="22"/>
        </w:rPr>
        <w:t xml:space="preserve">, </w:t>
      </w:r>
      <w:r w:rsidRPr="00A42549">
        <w:rPr>
          <w:iCs/>
          <w:sz w:val="22"/>
          <w:szCs w:val="22"/>
        </w:rPr>
        <w:t>“The Comedic Function of the Enumerations of the Officials and Instruments in Daniel 3.”</w:t>
      </w:r>
    </w:p>
  </w:footnote>
  <w:footnote w:id="60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rStyle w:val="b"/>
          <w:b w:val="0"/>
          <w:color w:val="auto"/>
          <w:sz w:val="22"/>
          <w:szCs w:val="22"/>
        </w:rPr>
        <w:t>Gunn/Nolan Fewell, “Nebuchadnezzar and Three Jews,” 175.</w:t>
      </w:r>
    </w:p>
  </w:footnote>
  <w:footnote w:id="6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Haag (“Die drei Männer im Feuer”) sees Isa 43 as suggesting key aspects to the original form of the story, which was then reworked in the Antiochene period and in other contexts.</w:t>
      </w:r>
    </w:p>
  </w:footnote>
  <w:footnote w:id="60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Heaton, </w:t>
      </w:r>
      <w:r w:rsidRPr="00A42549">
        <w:rPr>
          <w:i/>
          <w:sz w:val="22"/>
          <w:szCs w:val="22"/>
        </w:rPr>
        <w:t>Daniel</w:t>
      </w:r>
      <w:r w:rsidRPr="00A42549">
        <w:rPr>
          <w:sz w:val="22"/>
          <w:szCs w:val="22"/>
        </w:rPr>
        <w:t>, on the passage; Gammie, “On the Intention and Sources of Daniel i-vi,” 288.</w:t>
      </w:r>
    </w:p>
  </w:footnote>
  <w:footnote w:id="61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Ron, “Rescue from Fiery Death.”</w:t>
      </w:r>
    </w:p>
  </w:footnote>
  <w:footnote w:id="61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Kuhl speaks of its “naive storytelling” technique (</w:t>
      </w:r>
      <w:r w:rsidRPr="00A42549">
        <w:rPr>
          <w:i/>
          <w:sz w:val="22"/>
          <w:szCs w:val="22"/>
        </w:rPr>
        <w:t>Die drei Männer im Feuer</w:t>
      </w:r>
      <w:r w:rsidRPr="00A42549">
        <w:rPr>
          <w:sz w:val="22"/>
          <w:szCs w:val="22"/>
        </w:rPr>
        <w:t>, 18).</w:t>
      </w:r>
    </w:p>
  </w:footnote>
  <w:footnote w:id="61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Adapted from Joubert, </w:t>
      </w:r>
      <w:r w:rsidRPr="00A42549">
        <w:rPr>
          <w:i/>
          <w:sz w:val="22"/>
          <w:szCs w:val="22"/>
        </w:rPr>
        <w:t>Power and Responsibility in the Book of Daniel</w:t>
      </w:r>
      <w:r w:rsidRPr="00A42549">
        <w:rPr>
          <w:sz w:val="22"/>
          <w:szCs w:val="22"/>
        </w:rPr>
        <w:t>, 60.</w:t>
      </w:r>
    </w:p>
  </w:footnote>
  <w:footnote w:id="61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t>
      </w:r>
      <w:r w:rsidRPr="00A42549">
        <w:rPr>
          <w:bCs/>
          <w:iCs/>
          <w:sz w:val="22"/>
          <w:szCs w:val="22"/>
        </w:rPr>
        <w:t>Dulaey</w:t>
      </w:r>
      <w:r w:rsidRPr="00A42549">
        <w:rPr>
          <w:b/>
          <w:bCs/>
          <w:iCs/>
          <w:sz w:val="22"/>
          <w:szCs w:val="22"/>
        </w:rPr>
        <w:t xml:space="preserve">, </w:t>
      </w:r>
      <w:r w:rsidRPr="00A42549">
        <w:rPr>
          <w:bCs/>
          <w:iCs/>
          <w:sz w:val="22"/>
          <w:szCs w:val="22"/>
        </w:rPr>
        <w:t>“Les trois Hébreux</w:t>
      </w:r>
      <w:r w:rsidRPr="00A42549">
        <w:rPr>
          <w:b/>
          <w:bCs/>
          <w:iCs/>
          <w:sz w:val="22"/>
          <w:szCs w:val="22"/>
        </w:rPr>
        <w:t xml:space="preserve"> </w:t>
      </w:r>
      <w:r w:rsidRPr="00A42549">
        <w:rPr>
          <w:bCs/>
          <w:iCs/>
          <w:sz w:val="22"/>
          <w:szCs w:val="22"/>
        </w:rPr>
        <w:t>dans la fournaise,” 36-37.</w:t>
      </w:r>
    </w:p>
  </w:footnote>
  <w:footnote w:id="61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Meadowcroft, </w:t>
      </w:r>
      <w:r w:rsidRPr="00A42549">
        <w:rPr>
          <w:i/>
          <w:sz w:val="22"/>
          <w:szCs w:val="22"/>
        </w:rPr>
        <w:t>Aramaic Daniel and Greek Daniel</w:t>
      </w:r>
      <w:r w:rsidRPr="00A42549">
        <w:rPr>
          <w:sz w:val="22"/>
          <w:szCs w:val="22"/>
        </w:rPr>
        <w:t>, 128-29.</w:t>
      </w:r>
    </w:p>
  </w:footnote>
  <w:footnote w:id="61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Auscher, “Les relations entre la Grèce et la Palestine avant la conquête d’Alexandre”; Coxon, “Greek Loan-words and Alleged Greek Loan Translations in the Book of Daniel”; and the works of Yamauchi (see </w:t>
      </w:r>
      <w:r w:rsidRPr="00A42549">
        <w:rPr>
          <w:i/>
          <w:sz w:val="22"/>
          <w:szCs w:val="22"/>
        </w:rPr>
        <w:t>Pericope Bibliography</w:t>
      </w:r>
      <w:r w:rsidRPr="00A42549">
        <w:rPr>
          <w:sz w:val="22"/>
          <w:szCs w:val="22"/>
        </w:rPr>
        <w:t>).</w:t>
      </w:r>
    </w:p>
  </w:footnote>
  <w:footnote w:id="61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Shea, “Daniel 3.”</w:t>
      </w:r>
    </w:p>
  </w:footnote>
  <w:footnote w:id="61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von Soden, “Eine babylonische Volksüberlieferung von Nabonid in den Danielerzählungen,” 85–86.</w:t>
      </w:r>
    </w:p>
  </w:footnote>
  <w:footnote w:id="61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e.g., Wallace, </w:t>
      </w:r>
      <w:r w:rsidRPr="00A42549">
        <w:rPr>
          <w:i/>
          <w:sz w:val="22"/>
          <w:szCs w:val="22"/>
        </w:rPr>
        <w:t>Daniel</w:t>
      </w:r>
      <w:r w:rsidRPr="00A42549">
        <w:rPr>
          <w:sz w:val="22"/>
          <w:szCs w:val="22"/>
        </w:rPr>
        <w:t>.</w:t>
      </w:r>
    </w:p>
  </w:footnote>
  <w:footnote w:id="61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Hippolytus, </w:t>
      </w:r>
      <w:r w:rsidRPr="00A42549">
        <w:rPr>
          <w:i/>
          <w:sz w:val="22"/>
          <w:szCs w:val="22"/>
        </w:rPr>
        <w:t>Daniel</w:t>
      </w:r>
      <w:r w:rsidRPr="00A42549">
        <w:rPr>
          <w:sz w:val="22"/>
          <w:szCs w:val="22"/>
        </w:rPr>
        <w:t xml:space="preserve"> 2.15.</w:t>
      </w:r>
    </w:p>
  </w:footnote>
  <w:footnote w:id="620">
    <w:p w:rsidR="00786194" w:rsidRPr="00A42549" w:rsidRDefault="00786194" w:rsidP="00171A41">
      <w:pPr>
        <w:pStyle w:val="FootnoteText"/>
        <w:rPr>
          <w:sz w:val="22"/>
          <w:szCs w:val="22"/>
        </w:rPr>
      </w:pPr>
      <w:r w:rsidRPr="00A42549">
        <w:rPr>
          <w:rStyle w:val="FootnoteReference"/>
          <w:sz w:val="22"/>
          <w:szCs w:val="22"/>
        </w:rPr>
        <w:footnoteRef/>
      </w:r>
      <w:r w:rsidRPr="00A42549">
        <w:rPr>
          <w:sz w:val="22"/>
          <w:szCs w:val="22"/>
        </w:rPr>
        <w:t xml:space="preserve"> Cf. Meadowcroft</w:t>
      </w:r>
      <w:r w:rsidRPr="00A42549">
        <w:rPr>
          <w:b/>
          <w:sz w:val="22"/>
          <w:szCs w:val="22"/>
        </w:rPr>
        <w:t xml:space="preserve">, </w:t>
      </w:r>
      <w:r w:rsidRPr="00A42549">
        <w:rPr>
          <w:iCs/>
          <w:sz w:val="22"/>
          <w:szCs w:val="22"/>
        </w:rPr>
        <w:t>“</w:t>
      </w:r>
      <w:r w:rsidRPr="00A42549">
        <w:rPr>
          <w:sz w:val="22"/>
          <w:szCs w:val="22"/>
        </w:rPr>
        <w:t>Metaphor, Narrative, Interpretation and Reader in Daniel 2—5,” 265-66.</w:t>
      </w:r>
    </w:p>
  </w:footnote>
  <w:footnote w:id="62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Montgomery, </w:t>
      </w:r>
      <w:r w:rsidRPr="00A42549">
        <w:rPr>
          <w:i/>
          <w:sz w:val="22"/>
          <w:szCs w:val="22"/>
        </w:rPr>
        <w:t>Daniel</w:t>
      </w:r>
      <w:r w:rsidRPr="00A42549">
        <w:rPr>
          <w:sz w:val="22"/>
          <w:szCs w:val="22"/>
        </w:rPr>
        <w:t>, on the passage.</w:t>
      </w:r>
    </w:p>
  </w:footnote>
  <w:footnote w:id="62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Young, </w:t>
      </w:r>
      <w:r w:rsidRPr="00A42549">
        <w:rPr>
          <w:i/>
          <w:sz w:val="22"/>
          <w:szCs w:val="22"/>
        </w:rPr>
        <w:t>Daniel</w:t>
      </w:r>
      <w:r w:rsidRPr="00A42549">
        <w:rPr>
          <w:sz w:val="22"/>
          <w:szCs w:val="22"/>
        </w:rPr>
        <w:t xml:space="preserve">, on the passage; cf. </w:t>
      </w:r>
      <w:r w:rsidRPr="00A42549">
        <w:rPr>
          <w:i/>
          <w:sz w:val="22"/>
          <w:szCs w:val="22"/>
        </w:rPr>
        <w:t>ANET</w:t>
      </w:r>
      <w:r w:rsidRPr="00A42549">
        <w:rPr>
          <w:sz w:val="22"/>
          <w:szCs w:val="22"/>
        </w:rPr>
        <w:t>, 313.</w:t>
      </w:r>
    </w:p>
  </w:footnote>
  <w:footnote w:id="62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Saggs, </w:t>
      </w:r>
      <w:r w:rsidRPr="00A42549">
        <w:rPr>
          <w:i/>
          <w:sz w:val="22"/>
          <w:szCs w:val="22"/>
        </w:rPr>
        <w:t>The Greatness That Was Babylon</w:t>
      </w:r>
      <w:r w:rsidRPr="00A42549">
        <w:rPr>
          <w:sz w:val="22"/>
          <w:szCs w:val="22"/>
        </w:rPr>
        <w:t>, plate 21b.</w:t>
      </w:r>
    </w:p>
  </w:footnote>
  <w:footnote w:id="62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Keil, </w:t>
      </w:r>
      <w:r w:rsidRPr="00A42549">
        <w:rPr>
          <w:i/>
          <w:sz w:val="22"/>
          <w:szCs w:val="22"/>
        </w:rPr>
        <w:t>Biblischer Kommentar</w:t>
      </w:r>
      <w:r w:rsidRPr="00A42549">
        <w:rPr>
          <w:sz w:val="22"/>
          <w:szCs w:val="22"/>
        </w:rPr>
        <w:t>, on the passage.</w:t>
      </w:r>
    </w:p>
  </w:footnote>
  <w:footnote w:id="62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Pace, </w:t>
      </w:r>
      <w:r w:rsidRPr="00A42549">
        <w:rPr>
          <w:i/>
          <w:sz w:val="22"/>
          <w:szCs w:val="22"/>
        </w:rPr>
        <w:t>Daniel</w:t>
      </w:r>
      <w:r w:rsidRPr="00A42549">
        <w:rPr>
          <w:sz w:val="22"/>
          <w:szCs w:val="22"/>
        </w:rPr>
        <w:t>, 90.</w:t>
      </w:r>
    </w:p>
  </w:footnote>
  <w:footnote w:id="62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Di Lella, </w:t>
      </w:r>
      <w:r w:rsidRPr="00A42549">
        <w:rPr>
          <w:i/>
          <w:sz w:val="22"/>
          <w:szCs w:val="22"/>
        </w:rPr>
        <w:t>Daniel</w:t>
      </w:r>
      <w:r w:rsidRPr="00A42549">
        <w:rPr>
          <w:sz w:val="22"/>
          <w:szCs w:val="22"/>
        </w:rPr>
        <w:t>, 53.</w:t>
      </w:r>
    </w:p>
  </w:footnote>
  <w:footnote w:id="62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Rashi in </w:t>
      </w:r>
      <w:r w:rsidRPr="00A42549">
        <w:rPr>
          <w:rFonts w:ascii="Arial" w:hAnsi="Arial" w:cs="Arial"/>
          <w:sz w:val="22"/>
          <w:szCs w:val="22"/>
        </w:rPr>
        <w:t>גדולות</w:t>
      </w:r>
      <w:r w:rsidRPr="00A42549">
        <w:rPr>
          <w:sz w:val="22"/>
          <w:szCs w:val="22"/>
        </w:rPr>
        <w:t xml:space="preserve"> </w:t>
      </w:r>
      <w:r w:rsidRPr="00A42549">
        <w:rPr>
          <w:rFonts w:ascii="Arial" w:hAnsi="Arial" w:cs="Arial"/>
          <w:sz w:val="22"/>
          <w:szCs w:val="22"/>
        </w:rPr>
        <w:t>מקראות</w:t>
      </w:r>
      <w:r w:rsidRPr="00A42549">
        <w:rPr>
          <w:sz w:val="22"/>
          <w:szCs w:val="22"/>
        </w:rPr>
        <w:t xml:space="preserve"> on the passage.</w:t>
      </w:r>
    </w:p>
  </w:footnote>
  <w:footnote w:id="62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such divine images, see Oppenheim, </w:t>
      </w:r>
      <w:r w:rsidRPr="00A42549">
        <w:rPr>
          <w:i/>
          <w:sz w:val="22"/>
          <w:szCs w:val="22"/>
        </w:rPr>
        <w:t>Ancient Mesopotamia</w:t>
      </w:r>
      <w:r w:rsidRPr="00A42549">
        <w:rPr>
          <w:sz w:val="22"/>
          <w:szCs w:val="22"/>
        </w:rPr>
        <w:t>, 183–89.</w:t>
      </w:r>
    </w:p>
  </w:footnote>
  <w:footnote w:id="62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Kuhrt, </w:t>
      </w:r>
      <w:r w:rsidRPr="00A42549">
        <w:rPr>
          <w:i/>
          <w:sz w:val="22"/>
          <w:szCs w:val="22"/>
        </w:rPr>
        <w:t>The Ancient Near East</w:t>
      </w:r>
      <w:r w:rsidRPr="00A42549">
        <w:rPr>
          <w:sz w:val="22"/>
          <w:szCs w:val="22"/>
        </w:rPr>
        <w:t xml:space="preserve"> 2:619-21.</w:t>
      </w:r>
    </w:p>
  </w:footnote>
  <w:footnote w:id="63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Sumner, “Daniel,” 137.</w:t>
      </w:r>
    </w:p>
  </w:footnote>
  <w:footnote w:id="63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Briant, </w:t>
      </w:r>
      <w:r w:rsidRPr="00A42549">
        <w:rPr>
          <w:i/>
          <w:sz w:val="22"/>
          <w:szCs w:val="22"/>
        </w:rPr>
        <w:t>From Cyrus to Alexander</w:t>
      </w:r>
      <w:r w:rsidRPr="00A42549">
        <w:rPr>
          <w:sz w:val="22"/>
          <w:szCs w:val="22"/>
        </w:rPr>
        <w:t>, 172-83.</w:t>
      </w:r>
    </w:p>
  </w:footnote>
  <w:footnote w:id="63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the discussion in Mitchell/Joyce, “The Musical Instruments in Nebuchadrezzar’s Orchestra”; Mitchell, “The Music of the OT”; </w:t>
      </w:r>
      <w:r w:rsidRPr="00A42549">
        <w:rPr>
          <w:b/>
          <w:sz w:val="22"/>
          <w:szCs w:val="22"/>
        </w:rPr>
        <w:t xml:space="preserve">——— </w:t>
      </w:r>
      <w:r w:rsidRPr="00A42549">
        <w:rPr>
          <w:sz w:val="22"/>
          <w:szCs w:val="22"/>
        </w:rPr>
        <w:t>“And the Band Played On”; Dyer</w:t>
      </w:r>
      <w:r w:rsidRPr="00A42549">
        <w:rPr>
          <w:b/>
          <w:sz w:val="22"/>
          <w:szCs w:val="22"/>
        </w:rPr>
        <w:t xml:space="preserve">, </w:t>
      </w:r>
      <w:r w:rsidRPr="00A42549">
        <w:rPr>
          <w:sz w:val="22"/>
          <w:szCs w:val="22"/>
        </w:rPr>
        <w:t xml:space="preserve">"The Musical Instruments in Daniel 3”; and the series of illustrations in </w:t>
      </w:r>
      <w:r w:rsidRPr="00A42549">
        <w:rPr>
          <w:bCs/>
          <w:sz w:val="22"/>
          <w:szCs w:val="22"/>
        </w:rPr>
        <w:t>Alomía</w:t>
      </w:r>
      <w:r w:rsidRPr="00A42549">
        <w:rPr>
          <w:b/>
          <w:bCs/>
          <w:sz w:val="22"/>
          <w:szCs w:val="22"/>
        </w:rPr>
        <w:t xml:space="preserve">, </w:t>
      </w:r>
      <w:r w:rsidRPr="00A42549">
        <w:rPr>
          <w:i/>
          <w:sz w:val="22"/>
          <w:szCs w:val="22"/>
        </w:rPr>
        <w:t xml:space="preserve">Daniel </w:t>
      </w:r>
      <w:r w:rsidRPr="00A42549">
        <w:rPr>
          <w:sz w:val="22"/>
          <w:szCs w:val="22"/>
        </w:rPr>
        <w:t>2:87-95.</w:t>
      </w:r>
    </w:p>
  </w:footnote>
  <w:footnote w:id="633">
    <w:p w:rsidR="00786194" w:rsidRPr="00A42549" w:rsidRDefault="00786194" w:rsidP="00231C17">
      <w:pPr>
        <w:pStyle w:val="FootnoteText"/>
        <w:rPr>
          <w:sz w:val="22"/>
          <w:szCs w:val="22"/>
        </w:rPr>
      </w:pPr>
      <w:r w:rsidRPr="00A42549">
        <w:rPr>
          <w:rStyle w:val="FootnoteReference"/>
          <w:sz w:val="22"/>
          <w:szCs w:val="22"/>
        </w:rPr>
        <w:footnoteRef/>
      </w:r>
      <w:r w:rsidRPr="00A42549">
        <w:rPr>
          <w:sz w:val="22"/>
          <w:szCs w:val="22"/>
        </w:rPr>
        <w:t xml:space="preserve"> Cf. </w:t>
      </w:r>
      <w:r w:rsidRPr="00A42549">
        <w:rPr>
          <w:rFonts w:eastAsia="Times New Roman" w:cs="Times New Roman"/>
          <w:sz w:val="22"/>
          <w:szCs w:val="22"/>
        </w:rPr>
        <w:t>Van</w:t>
      </w:r>
      <w:r w:rsidRPr="00A42549">
        <w:rPr>
          <w:rFonts w:eastAsia="Times New Roman" w:cs="Times New Roman"/>
          <w:b/>
          <w:sz w:val="22"/>
          <w:szCs w:val="22"/>
        </w:rPr>
        <w:t xml:space="preserve"> </w:t>
      </w:r>
      <w:r w:rsidRPr="00A42549">
        <w:rPr>
          <w:rFonts w:eastAsia="Times New Roman" w:cs="Times New Roman"/>
          <w:sz w:val="22"/>
          <w:szCs w:val="22"/>
        </w:rPr>
        <w:t>Deventer</w:t>
      </w:r>
      <w:r w:rsidRPr="00A42549">
        <w:rPr>
          <w:rFonts w:eastAsia="Times New Roman" w:cs="Times New Roman"/>
          <w:b/>
          <w:sz w:val="22"/>
          <w:szCs w:val="22"/>
        </w:rPr>
        <w:t xml:space="preserve">, </w:t>
      </w:r>
      <w:r w:rsidRPr="00A42549">
        <w:rPr>
          <w:rFonts w:eastAsia="Times New Roman" w:cs="Times New Roman"/>
          <w:sz w:val="22"/>
          <w:szCs w:val="22"/>
        </w:rPr>
        <w:t>“‘We Did Not Hear the Bagpipe.’”</w:t>
      </w:r>
    </w:p>
  </w:footnote>
  <w:footnote w:id="634">
    <w:p w:rsidR="00786194" w:rsidRPr="00A42549" w:rsidRDefault="00786194" w:rsidP="00966B02">
      <w:pPr>
        <w:pStyle w:val="FootnoteText"/>
        <w:rPr>
          <w:sz w:val="22"/>
          <w:szCs w:val="22"/>
        </w:rPr>
      </w:pPr>
      <w:r w:rsidRPr="00A42549">
        <w:rPr>
          <w:rStyle w:val="FootnoteReference"/>
          <w:sz w:val="22"/>
          <w:szCs w:val="22"/>
        </w:rPr>
        <w:footnoteRef/>
      </w:r>
      <w:r w:rsidRPr="00A42549">
        <w:rPr>
          <w:sz w:val="22"/>
          <w:szCs w:val="22"/>
        </w:rPr>
        <w:t xml:space="preserve"> See e.g., Baldwin, </w:t>
      </w:r>
      <w:r w:rsidRPr="00A42549">
        <w:rPr>
          <w:i/>
          <w:sz w:val="22"/>
          <w:szCs w:val="22"/>
        </w:rPr>
        <w:t>Daniel</w:t>
      </w:r>
      <w:r w:rsidRPr="00A42549">
        <w:rPr>
          <w:sz w:val="22"/>
          <w:szCs w:val="22"/>
        </w:rPr>
        <w:t>, on the passage.</w:t>
      </w:r>
    </w:p>
  </w:footnote>
  <w:footnote w:id="63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Beaulieu, “The Babylonian Background of the Motif of the Fiery Furnace”; earlier, Alexander, “New Light on the Fiery Furnace.” But Holm (“The Fiery Furnace in the Book of Daniel”) argues that it has a more substantial Egyptian background.</w:t>
      </w:r>
      <w:r w:rsidRPr="00A42549">
        <w:rPr>
          <w:i/>
          <w:iCs/>
          <w:sz w:val="22"/>
          <w:szCs w:val="22"/>
        </w:rPr>
        <w:t xml:space="preserve"> </w:t>
      </w:r>
      <w:r w:rsidRPr="00A42549">
        <w:rPr>
          <w:b/>
          <w:bCs/>
          <w:iCs/>
          <w:sz w:val="22"/>
          <w:szCs w:val="22"/>
        </w:rPr>
        <w:t xml:space="preserve"> </w:t>
      </w:r>
    </w:p>
  </w:footnote>
  <w:footnote w:id="636">
    <w:p w:rsidR="00786194" w:rsidRPr="00A42549" w:rsidRDefault="00786194" w:rsidP="00A522EC">
      <w:pPr>
        <w:pStyle w:val="FootnoteText"/>
        <w:rPr>
          <w:sz w:val="22"/>
          <w:szCs w:val="22"/>
        </w:rPr>
      </w:pPr>
      <w:r w:rsidRPr="00A42549">
        <w:rPr>
          <w:rStyle w:val="FootnoteReference"/>
          <w:sz w:val="22"/>
          <w:szCs w:val="22"/>
        </w:rPr>
        <w:footnoteRef/>
      </w:r>
      <w:r w:rsidRPr="00A42549">
        <w:rPr>
          <w:sz w:val="22"/>
          <w:szCs w:val="22"/>
        </w:rPr>
        <w:t xml:space="preserve"> Cf. Bickerman (</w:t>
      </w:r>
      <w:r w:rsidRPr="00A42549">
        <w:rPr>
          <w:i/>
          <w:sz w:val="22"/>
          <w:szCs w:val="22"/>
        </w:rPr>
        <w:t>Four Strange Books of the Bible</w:t>
      </w:r>
      <w:r w:rsidRPr="00A42549">
        <w:rPr>
          <w:sz w:val="22"/>
          <w:szCs w:val="22"/>
        </w:rPr>
        <w:t>,</w:t>
      </w:r>
      <w:r w:rsidRPr="00A42549">
        <w:rPr>
          <w:i/>
          <w:sz w:val="22"/>
          <w:szCs w:val="22"/>
        </w:rPr>
        <w:t xml:space="preserve"> </w:t>
      </w:r>
      <w:r w:rsidRPr="00A42549">
        <w:rPr>
          <w:sz w:val="22"/>
          <w:szCs w:val="22"/>
        </w:rPr>
        <w:t>89); Sanders, “The Burning Fiery Furnace.”</w:t>
      </w:r>
    </w:p>
  </w:footnote>
  <w:footnote w:id="63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Hill, “Daniel,” 78.</w:t>
      </w:r>
    </w:p>
  </w:footnote>
  <w:footnote w:id="638">
    <w:p w:rsidR="00786194" w:rsidRPr="00A42549" w:rsidRDefault="00786194" w:rsidP="00FE2F4C">
      <w:pPr>
        <w:pStyle w:val="FootnoteText"/>
        <w:rPr>
          <w:sz w:val="22"/>
          <w:szCs w:val="22"/>
        </w:rPr>
      </w:pPr>
      <w:r w:rsidRPr="00A42549">
        <w:rPr>
          <w:rStyle w:val="FootnoteReference"/>
          <w:sz w:val="22"/>
          <w:szCs w:val="22"/>
        </w:rPr>
        <w:footnoteRef/>
      </w:r>
      <w:r w:rsidRPr="00A42549">
        <w:rPr>
          <w:sz w:val="22"/>
          <w:szCs w:val="22"/>
        </w:rPr>
        <w:t xml:space="preserve"> See Koch, </w:t>
      </w:r>
      <w:r w:rsidRPr="00A42549">
        <w:rPr>
          <w:i/>
          <w:sz w:val="22"/>
          <w:szCs w:val="22"/>
        </w:rPr>
        <w:t>Daniel 1—4</w:t>
      </w:r>
      <w:r w:rsidRPr="00A42549">
        <w:rPr>
          <w:sz w:val="22"/>
          <w:szCs w:val="22"/>
        </w:rPr>
        <w:t>, 284-95. Pace (</w:t>
      </w:r>
      <w:r w:rsidRPr="00A42549">
        <w:rPr>
          <w:i/>
          <w:sz w:val="22"/>
          <w:szCs w:val="22"/>
        </w:rPr>
        <w:t>Daniel</w:t>
      </w:r>
      <w:r w:rsidRPr="00A42549">
        <w:rPr>
          <w:sz w:val="22"/>
          <w:szCs w:val="22"/>
        </w:rPr>
        <w:t>, on the chapter) emphasizes parallels between this story and Esther.</w:t>
      </w:r>
    </w:p>
  </w:footnote>
  <w:footnote w:id="639">
    <w:p w:rsidR="00786194" w:rsidRPr="00A42549" w:rsidRDefault="00786194" w:rsidP="00FE2F4C">
      <w:pPr>
        <w:pStyle w:val="FootnoteText"/>
        <w:rPr>
          <w:sz w:val="22"/>
          <w:szCs w:val="22"/>
        </w:rPr>
      </w:pPr>
      <w:r w:rsidRPr="00A42549">
        <w:rPr>
          <w:rStyle w:val="FootnoteReference"/>
          <w:sz w:val="22"/>
          <w:szCs w:val="22"/>
        </w:rPr>
        <w:footnoteRef/>
      </w:r>
      <w:r w:rsidRPr="00A42549">
        <w:rPr>
          <w:sz w:val="22"/>
          <w:szCs w:val="22"/>
        </w:rPr>
        <w:t xml:space="preserve"> Cf. Newsom, </w:t>
      </w:r>
      <w:r w:rsidRPr="00A42549">
        <w:rPr>
          <w:i/>
          <w:sz w:val="22"/>
          <w:szCs w:val="22"/>
        </w:rPr>
        <w:t>Daniel</w:t>
      </w:r>
      <w:r w:rsidRPr="00A42549">
        <w:rPr>
          <w:sz w:val="22"/>
          <w:szCs w:val="22"/>
        </w:rPr>
        <w:t>, 108-9.</w:t>
      </w:r>
    </w:p>
  </w:footnote>
  <w:footnote w:id="64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Kirkpatrick, </w:t>
      </w:r>
      <w:r w:rsidRPr="00A42549">
        <w:rPr>
          <w:i/>
          <w:sz w:val="22"/>
          <w:szCs w:val="22"/>
        </w:rPr>
        <w:t>Competing for Honor</w:t>
      </w:r>
      <w:r w:rsidRPr="00A42549">
        <w:rPr>
          <w:sz w:val="22"/>
          <w:szCs w:val="22"/>
        </w:rPr>
        <w:t>, chap. 4.</w:t>
      </w:r>
    </w:p>
  </w:footnote>
  <w:footnote w:id="64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55.</w:t>
      </w:r>
    </w:p>
  </w:footnote>
  <w:footnote w:id="64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Newsom, </w:t>
      </w:r>
      <w:r w:rsidRPr="00A42549">
        <w:rPr>
          <w:i/>
          <w:sz w:val="22"/>
          <w:szCs w:val="22"/>
        </w:rPr>
        <w:t>Daniel</w:t>
      </w:r>
      <w:r w:rsidRPr="00A42549">
        <w:rPr>
          <w:sz w:val="22"/>
          <w:szCs w:val="22"/>
        </w:rPr>
        <w:t>, 109.</w:t>
      </w:r>
    </w:p>
  </w:footnote>
  <w:footnote w:id="64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Jerome, </w:t>
      </w:r>
      <w:r w:rsidRPr="00A42549">
        <w:rPr>
          <w:i/>
          <w:sz w:val="22"/>
          <w:szCs w:val="22"/>
        </w:rPr>
        <w:t>Daniel</w:t>
      </w:r>
      <w:r w:rsidRPr="00A42549">
        <w:rPr>
          <w:sz w:val="22"/>
          <w:szCs w:val="22"/>
        </w:rPr>
        <w:t>, 37.</w:t>
      </w:r>
    </w:p>
  </w:footnote>
  <w:footnote w:id="64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the positive reading of Nebuchadnezzar in Coxon, “Nebuchadnezzar’s Hermeneutical Dilemma.”</w:t>
      </w:r>
    </w:p>
  </w:footnote>
  <w:footnote w:id="64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Byington, “Hebrew Marginalia iii,” 353.</w:t>
      </w:r>
    </w:p>
  </w:footnote>
  <w:footnote w:id="64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Daniel</w:t>
      </w:r>
      <w:r w:rsidRPr="00A42549">
        <w:rPr>
          <w:sz w:val="22"/>
          <w:szCs w:val="22"/>
        </w:rPr>
        <w:t>, 465-66.</w:t>
      </w:r>
    </w:p>
  </w:footnote>
  <w:footnote w:id="64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Also </w:t>
      </w:r>
      <w:r w:rsidRPr="00A42549">
        <w:rPr>
          <w:i/>
          <w:sz w:val="22"/>
          <w:szCs w:val="22"/>
        </w:rPr>
        <w:t>The Book of Biblical Antiquities</w:t>
      </w:r>
      <w:r w:rsidRPr="00A42549">
        <w:rPr>
          <w:sz w:val="22"/>
          <w:szCs w:val="22"/>
        </w:rPr>
        <w:t xml:space="preserve"> (Pseudo-Philo) 6:15-18.</w:t>
      </w:r>
    </w:p>
  </w:footnote>
  <w:footnote w:id="648">
    <w:p w:rsidR="00786194" w:rsidRPr="00A42549" w:rsidRDefault="00786194" w:rsidP="001C78B1">
      <w:pPr>
        <w:pStyle w:val="FootnoteText"/>
        <w:rPr>
          <w:sz w:val="22"/>
          <w:szCs w:val="22"/>
        </w:rPr>
      </w:pPr>
      <w:r w:rsidRPr="00A42549">
        <w:rPr>
          <w:rStyle w:val="FootnoteReference"/>
          <w:sz w:val="22"/>
          <w:szCs w:val="22"/>
        </w:rPr>
        <w:footnoteRef/>
      </w:r>
      <w:r w:rsidRPr="00A42549">
        <w:rPr>
          <w:sz w:val="22"/>
          <w:szCs w:val="22"/>
        </w:rPr>
        <w:t xml:space="preserve"> Cf. Meadowcroft, </w:t>
      </w:r>
      <w:r w:rsidRPr="00A42549">
        <w:rPr>
          <w:i/>
          <w:sz w:val="22"/>
          <w:szCs w:val="22"/>
        </w:rPr>
        <w:t>Aramaic Daniel and Greek Daniel</w:t>
      </w:r>
      <w:r w:rsidRPr="00A42549">
        <w:rPr>
          <w:sz w:val="22"/>
          <w:szCs w:val="22"/>
        </w:rPr>
        <w:t xml:space="preserve">, 131-32; Newsom, </w:t>
      </w:r>
      <w:r w:rsidRPr="00A42549">
        <w:rPr>
          <w:i/>
          <w:sz w:val="22"/>
          <w:szCs w:val="22"/>
        </w:rPr>
        <w:t>Daniel</w:t>
      </w:r>
      <w:r w:rsidRPr="00A42549">
        <w:rPr>
          <w:sz w:val="22"/>
          <w:szCs w:val="22"/>
        </w:rPr>
        <w:t>, 111.</w:t>
      </w:r>
    </w:p>
  </w:footnote>
  <w:footnote w:id="649">
    <w:p w:rsidR="00786194" w:rsidRPr="00A42549" w:rsidRDefault="00786194" w:rsidP="00A229D2">
      <w:pPr>
        <w:pStyle w:val="FootnoteText"/>
        <w:tabs>
          <w:tab w:val="left" w:pos="3420"/>
        </w:tabs>
        <w:rPr>
          <w:sz w:val="22"/>
          <w:szCs w:val="22"/>
        </w:rPr>
      </w:pPr>
      <w:r w:rsidRPr="00A42549">
        <w:rPr>
          <w:rStyle w:val="FootnoteReference"/>
          <w:sz w:val="22"/>
          <w:szCs w:val="22"/>
        </w:rPr>
        <w:footnoteRef/>
      </w:r>
      <w:r w:rsidRPr="00A42549">
        <w:rPr>
          <w:sz w:val="22"/>
          <w:szCs w:val="22"/>
        </w:rPr>
        <w:t xml:space="preserve"> See Eichrodt, </w:t>
      </w:r>
      <w:r w:rsidRPr="00A42549">
        <w:rPr>
          <w:i/>
          <w:sz w:val="22"/>
          <w:szCs w:val="22"/>
        </w:rPr>
        <w:t>Theologie</w:t>
      </w:r>
      <w:r w:rsidRPr="00A42549">
        <w:rPr>
          <w:sz w:val="22"/>
          <w:szCs w:val="22"/>
        </w:rPr>
        <w:t xml:space="preserve"> </w:t>
      </w:r>
      <w:r w:rsidRPr="00A42549">
        <w:rPr>
          <w:i/>
          <w:sz w:val="22"/>
          <w:szCs w:val="22"/>
        </w:rPr>
        <w:t xml:space="preserve">des AT </w:t>
      </w:r>
      <w:r w:rsidRPr="00A42549">
        <w:rPr>
          <w:sz w:val="22"/>
          <w:szCs w:val="22"/>
        </w:rPr>
        <w:t>1:88 (ET 181–82).</w:t>
      </w:r>
    </w:p>
  </w:footnote>
  <w:footnote w:id="65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Mayer, </w:t>
      </w:r>
      <w:r w:rsidRPr="00A42549">
        <w:rPr>
          <w:i/>
          <w:sz w:val="22"/>
          <w:szCs w:val="22"/>
        </w:rPr>
        <w:t>Commentary upon All the Prophets</w:t>
      </w:r>
      <w:r w:rsidRPr="00A42549">
        <w:rPr>
          <w:sz w:val="22"/>
          <w:szCs w:val="22"/>
        </w:rPr>
        <w:t xml:space="preserve">, 526 (cf. Beckwith, </w:t>
      </w:r>
      <w:r w:rsidRPr="00A42549">
        <w:rPr>
          <w:i/>
          <w:sz w:val="22"/>
          <w:szCs w:val="22"/>
        </w:rPr>
        <w:t>Ezekiel, Daniel</w:t>
      </w:r>
      <w:r w:rsidRPr="00A42549">
        <w:rPr>
          <w:sz w:val="22"/>
          <w:szCs w:val="22"/>
        </w:rPr>
        <w:t>, 267).</w:t>
      </w:r>
    </w:p>
  </w:footnote>
  <w:footnote w:id="65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118.</w:t>
      </w:r>
    </w:p>
  </w:footnote>
  <w:footnote w:id="65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Theodoret, </w:t>
      </w:r>
      <w:r w:rsidRPr="00A42549">
        <w:rPr>
          <w:i/>
          <w:sz w:val="22"/>
          <w:szCs w:val="22"/>
        </w:rPr>
        <w:t>Daniel</w:t>
      </w:r>
      <w:r w:rsidRPr="00A42549">
        <w:rPr>
          <w:sz w:val="22"/>
          <w:szCs w:val="22"/>
        </w:rPr>
        <w:t>, 68-69.</w:t>
      </w:r>
    </w:p>
  </w:footnote>
  <w:footnote w:id="653">
    <w:p w:rsidR="00786194" w:rsidRPr="00A42549" w:rsidRDefault="00786194" w:rsidP="009C567A">
      <w:pPr>
        <w:pStyle w:val="FootnoteText"/>
        <w:rPr>
          <w:sz w:val="22"/>
          <w:szCs w:val="22"/>
        </w:rPr>
      </w:pPr>
      <w:r w:rsidRPr="00A42549">
        <w:rPr>
          <w:rStyle w:val="FootnoteReference"/>
          <w:sz w:val="22"/>
          <w:szCs w:val="22"/>
        </w:rPr>
        <w:footnoteRef/>
      </w:r>
      <w:r w:rsidRPr="00A42549">
        <w:rPr>
          <w:sz w:val="22"/>
          <w:szCs w:val="22"/>
        </w:rPr>
        <w:t xml:space="preserve"> Hebbard, </w:t>
      </w:r>
      <w:r w:rsidRPr="00A42549">
        <w:rPr>
          <w:i/>
          <w:sz w:val="22"/>
          <w:szCs w:val="22"/>
        </w:rPr>
        <w:t>Reading Daniel</w:t>
      </w:r>
      <w:r w:rsidRPr="00A42549">
        <w:rPr>
          <w:sz w:val="22"/>
          <w:szCs w:val="22"/>
        </w:rPr>
        <w:t>, 95.</w:t>
      </w:r>
    </w:p>
  </w:footnote>
  <w:footnote w:id="65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Ps-Saadia’s comments in </w:t>
      </w:r>
      <w:r w:rsidRPr="00A42549">
        <w:rPr>
          <w:rFonts w:ascii="Arial" w:hAnsi="Arial" w:cs="Arial"/>
          <w:sz w:val="22"/>
          <w:szCs w:val="22"/>
        </w:rPr>
        <w:t>גדולות</w:t>
      </w:r>
      <w:r w:rsidRPr="00A42549">
        <w:rPr>
          <w:sz w:val="22"/>
          <w:szCs w:val="22"/>
        </w:rPr>
        <w:t xml:space="preserve"> </w:t>
      </w:r>
      <w:r w:rsidRPr="00A42549">
        <w:rPr>
          <w:rFonts w:ascii="Arial" w:hAnsi="Arial" w:cs="Arial"/>
          <w:sz w:val="22"/>
          <w:szCs w:val="22"/>
        </w:rPr>
        <w:t>מקראות</w:t>
      </w:r>
      <w:r w:rsidRPr="00A42549">
        <w:rPr>
          <w:sz w:val="22"/>
          <w:szCs w:val="22"/>
        </w:rPr>
        <w:t xml:space="preserve"> on the passage.</w:t>
      </w:r>
    </w:p>
  </w:footnote>
  <w:footnote w:id="655">
    <w:p w:rsidR="00786194" w:rsidRPr="00A42549" w:rsidRDefault="00786194" w:rsidP="009C567A">
      <w:pPr>
        <w:pStyle w:val="FootnoteText"/>
        <w:rPr>
          <w:sz w:val="22"/>
          <w:szCs w:val="22"/>
        </w:rPr>
      </w:pPr>
      <w:r w:rsidRPr="00A42549">
        <w:rPr>
          <w:rStyle w:val="FootnoteReference"/>
          <w:sz w:val="22"/>
          <w:szCs w:val="22"/>
        </w:rPr>
        <w:footnoteRef/>
      </w:r>
      <w:r w:rsidRPr="00A42549">
        <w:rPr>
          <w:sz w:val="22"/>
          <w:szCs w:val="22"/>
        </w:rPr>
        <w:t xml:space="preserve"> Coxon, “The Great Tree of Daniel 4,” 92.</w:t>
      </w:r>
    </w:p>
  </w:footnote>
  <w:footnote w:id="656">
    <w:p w:rsidR="00786194" w:rsidRPr="00A42549" w:rsidRDefault="00786194" w:rsidP="009C567A">
      <w:pPr>
        <w:pStyle w:val="FootnoteText"/>
        <w:rPr>
          <w:sz w:val="22"/>
          <w:szCs w:val="22"/>
        </w:rPr>
      </w:pPr>
      <w:r w:rsidRPr="00A42549">
        <w:rPr>
          <w:rStyle w:val="FootnoteReference"/>
          <w:sz w:val="22"/>
          <w:szCs w:val="22"/>
        </w:rPr>
        <w:footnoteRef/>
      </w:r>
      <w:r w:rsidRPr="00A42549">
        <w:rPr>
          <w:sz w:val="22"/>
          <w:szCs w:val="22"/>
        </w:rPr>
        <w:t xml:space="preserve"> Lüthi, </w:t>
      </w:r>
      <w:r w:rsidRPr="00A42549">
        <w:rPr>
          <w:i/>
          <w:sz w:val="22"/>
          <w:szCs w:val="22"/>
        </w:rPr>
        <w:t>The Church to Come</w:t>
      </w:r>
      <w:r w:rsidRPr="00A42549">
        <w:rPr>
          <w:sz w:val="22"/>
          <w:szCs w:val="22"/>
        </w:rPr>
        <w:t>, 42.</w:t>
      </w:r>
    </w:p>
  </w:footnote>
  <w:footnote w:id="657">
    <w:p w:rsidR="00786194" w:rsidRPr="00A42549" w:rsidRDefault="00786194" w:rsidP="009C567A">
      <w:pPr>
        <w:pStyle w:val="FootnoteText"/>
        <w:rPr>
          <w:sz w:val="22"/>
          <w:szCs w:val="22"/>
        </w:rPr>
      </w:pPr>
      <w:r w:rsidRPr="00A42549">
        <w:rPr>
          <w:rStyle w:val="FootnoteReference"/>
          <w:sz w:val="22"/>
          <w:szCs w:val="22"/>
        </w:rPr>
        <w:footnoteRef/>
      </w:r>
      <w:r w:rsidRPr="00A42549">
        <w:rPr>
          <w:sz w:val="22"/>
          <w:szCs w:val="22"/>
        </w:rPr>
        <w:t xml:space="preserve"> Longman, </w:t>
      </w:r>
      <w:r w:rsidRPr="00A42549">
        <w:rPr>
          <w:i/>
          <w:sz w:val="22"/>
          <w:szCs w:val="22"/>
        </w:rPr>
        <w:t>Daniel</w:t>
      </w:r>
      <w:r w:rsidRPr="00A42549">
        <w:rPr>
          <w:sz w:val="22"/>
          <w:szCs w:val="22"/>
        </w:rPr>
        <w:t>, 100.</w:t>
      </w:r>
    </w:p>
  </w:footnote>
  <w:footnote w:id="658">
    <w:p w:rsidR="00786194" w:rsidRPr="00A42549" w:rsidRDefault="00786194" w:rsidP="009C567A">
      <w:pPr>
        <w:pStyle w:val="FootnoteText"/>
        <w:rPr>
          <w:i/>
          <w:sz w:val="22"/>
          <w:szCs w:val="22"/>
        </w:rPr>
      </w:pPr>
      <w:r w:rsidRPr="00A42549">
        <w:rPr>
          <w:rStyle w:val="FootnoteReference"/>
          <w:sz w:val="22"/>
          <w:szCs w:val="22"/>
        </w:rPr>
        <w:footnoteRef/>
      </w:r>
      <w:r w:rsidRPr="00A42549">
        <w:rPr>
          <w:sz w:val="22"/>
          <w:szCs w:val="22"/>
        </w:rPr>
        <w:t xml:space="preserve"> On these expressions, see Gowan, </w:t>
      </w:r>
      <w:r w:rsidRPr="00A42549">
        <w:rPr>
          <w:i/>
          <w:sz w:val="22"/>
          <w:szCs w:val="22"/>
        </w:rPr>
        <w:t xml:space="preserve">Daniel, </w:t>
      </w:r>
      <w:r w:rsidRPr="00A42549">
        <w:rPr>
          <w:sz w:val="22"/>
          <w:szCs w:val="22"/>
        </w:rPr>
        <w:t>in his “Theological and Ethical Analysis” of the chapter, though I have reworked his use of the phrases.</w:t>
      </w:r>
    </w:p>
  </w:footnote>
  <w:footnote w:id="65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Seow, </w:t>
      </w:r>
      <w:r w:rsidRPr="00A42549">
        <w:rPr>
          <w:i/>
          <w:sz w:val="22"/>
          <w:szCs w:val="22"/>
        </w:rPr>
        <w:t>Daniel</w:t>
      </w:r>
      <w:r w:rsidRPr="00A42549">
        <w:rPr>
          <w:sz w:val="22"/>
          <w:szCs w:val="22"/>
        </w:rPr>
        <w:t>, 54.</w:t>
      </w:r>
    </w:p>
  </w:footnote>
  <w:footnote w:id="660">
    <w:p w:rsidR="00786194" w:rsidRPr="00A42549" w:rsidRDefault="00786194" w:rsidP="00976329">
      <w:pPr>
        <w:pStyle w:val="FootnoteText"/>
        <w:rPr>
          <w:sz w:val="22"/>
          <w:szCs w:val="22"/>
        </w:rPr>
      </w:pPr>
      <w:r w:rsidRPr="00A42549">
        <w:rPr>
          <w:rStyle w:val="FootnoteReference"/>
          <w:sz w:val="22"/>
          <w:szCs w:val="22"/>
        </w:rPr>
        <w:footnoteRef/>
      </w:r>
      <w:r w:rsidRPr="00A42549">
        <w:rPr>
          <w:sz w:val="22"/>
          <w:szCs w:val="22"/>
        </w:rPr>
        <w:t xml:space="preserve"> Porteous, </w:t>
      </w:r>
      <w:r w:rsidRPr="00A42549">
        <w:rPr>
          <w:i/>
          <w:sz w:val="22"/>
          <w:szCs w:val="22"/>
        </w:rPr>
        <w:t>Daniel</w:t>
      </w:r>
      <w:r w:rsidRPr="00A42549">
        <w:rPr>
          <w:sz w:val="22"/>
          <w:szCs w:val="22"/>
        </w:rPr>
        <w:t>, on the passage.</w:t>
      </w:r>
    </w:p>
  </w:footnote>
  <w:footnote w:id="6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t>
      </w:r>
      <w:r w:rsidRPr="00A42549">
        <w:rPr>
          <w:i/>
          <w:sz w:val="22"/>
          <w:szCs w:val="22"/>
        </w:rPr>
        <w:t>Leviticus Rabbah</w:t>
      </w:r>
      <w:r w:rsidRPr="00A42549">
        <w:rPr>
          <w:sz w:val="22"/>
          <w:szCs w:val="22"/>
        </w:rPr>
        <w:t xml:space="preserve"> 33:6; and Bickerman, </w:t>
      </w:r>
      <w:r w:rsidRPr="00A42549">
        <w:rPr>
          <w:i/>
          <w:sz w:val="22"/>
          <w:szCs w:val="22"/>
        </w:rPr>
        <w:t>Four Strange Books of the Bible</w:t>
      </w:r>
      <w:r w:rsidRPr="00A42549">
        <w:rPr>
          <w:sz w:val="22"/>
          <w:szCs w:val="22"/>
        </w:rPr>
        <w:t>,</w:t>
      </w:r>
      <w:r w:rsidRPr="00A42549">
        <w:rPr>
          <w:i/>
          <w:sz w:val="22"/>
          <w:szCs w:val="22"/>
        </w:rPr>
        <w:t xml:space="preserve"> </w:t>
      </w:r>
      <w:r w:rsidRPr="00A42549">
        <w:rPr>
          <w:sz w:val="22"/>
          <w:szCs w:val="22"/>
        </w:rPr>
        <w:t>87–88.</w:t>
      </w:r>
    </w:p>
  </w:footnote>
  <w:footnote w:id="662">
    <w:p w:rsidR="00786194" w:rsidRPr="00A42549" w:rsidRDefault="00786194" w:rsidP="00976329">
      <w:pPr>
        <w:pStyle w:val="FootnoteText"/>
        <w:rPr>
          <w:sz w:val="22"/>
          <w:szCs w:val="22"/>
        </w:rPr>
      </w:pPr>
      <w:r w:rsidRPr="00A42549">
        <w:rPr>
          <w:rStyle w:val="FootnoteReference"/>
          <w:sz w:val="22"/>
          <w:szCs w:val="22"/>
        </w:rPr>
        <w:footnoteRef/>
      </w:r>
      <w:r w:rsidRPr="00A42549">
        <w:rPr>
          <w:sz w:val="22"/>
          <w:szCs w:val="22"/>
        </w:rPr>
        <w:t xml:space="preserve"> Cf. </w:t>
      </w:r>
      <w:r w:rsidRPr="00A42549">
        <w:rPr>
          <w:bCs/>
          <w:sz w:val="22"/>
          <w:szCs w:val="22"/>
        </w:rPr>
        <w:t>Alomía</w:t>
      </w:r>
      <w:r w:rsidRPr="00A42549">
        <w:rPr>
          <w:b/>
          <w:bCs/>
          <w:sz w:val="22"/>
          <w:szCs w:val="22"/>
        </w:rPr>
        <w:t>,</w:t>
      </w:r>
      <w:r w:rsidRPr="00A42549">
        <w:rPr>
          <w:sz w:val="22"/>
          <w:szCs w:val="22"/>
        </w:rPr>
        <w:t xml:space="preserve">, </w:t>
      </w:r>
      <w:r w:rsidRPr="00A42549">
        <w:rPr>
          <w:i/>
          <w:sz w:val="22"/>
          <w:szCs w:val="22"/>
        </w:rPr>
        <w:t xml:space="preserve">Daniel </w:t>
      </w:r>
      <w:r w:rsidRPr="00A42549">
        <w:rPr>
          <w:sz w:val="22"/>
          <w:szCs w:val="22"/>
        </w:rPr>
        <w:t>2:90.</w:t>
      </w:r>
    </w:p>
  </w:footnote>
  <w:footnote w:id="663">
    <w:p w:rsidR="00786194" w:rsidRPr="00A42549" w:rsidRDefault="00786194" w:rsidP="00976329">
      <w:pPr>
        <w:pStyle w:val="FootnoteText"/>
        <w:rPr>
          <w:sz w:val="22"/>
          <w:szCs w:val="22"/>
        </w:rPr>
      </w:pPr>
      <w:r w:rsidRPr="00A42549">
        <w:rPr>
          <w:rStyle w:val="FootnoteReference"/>
          <w:sz w:val="22"/>
          <w:szCs w:val="22"/>
        </w:rPr>
        <w:footnoteRef/>
      </w:r>
      <w:r w:rsidRPr="00A42549">
        <w:rPr>
          <w:sz w:val="22"/>
          <w:szCs w:val="22"/>
        </w:rPr>
        <w:t xml:space="preserve"> Cf. Wright, </w:t>
      </w:r>
      <w:r w:rsidRPr="00A42549">
        <w:rPr>
          <w:i/>
          <w:sz w:val="22"/>
          <w:szCs w:val="22"/>
        </w:rPr>
        <w:t>Hearing the Message of Daniel</w:t>
      </w:r>
      <w:r w:rsidRPr="00A42549">
        <w:rPr>
          <w:sz w:val="22"/>
          <w:szCs w:val="22"/>
        </w:rPr>
        <w:t xml:space="preserve">, 66; and 2:46-49 </w:t>
      </w:r>
      <w:r w:rsidRPr="00A42549">
        <w:rPr>
          <w:i/>
          <w:sz w:val="22"/>
          <w:szCs w:val="22"/>
        </w:rPr>
        <w:t>Explanation</w:t>
      </w:r>
      <w:r w:rsidRPr="00A42549">
        <w:rPr>
          <w:sz w:val="22"/>
          <w:szCs w:val="22"/>
        </w:rPr>
        <w:t>, above.</w:t>
      </w:r>
    </w:p>
  </w:footnote>
  <w:footnote w:id="664">
    <w:p w:rsidR="00786194" w:rsidRPr="00A42549" w:rsidRDefault="00786194" w:rsidP="007E70D9">
      <w:pPr>
        <w:pStyle w:val="FootnoteText"/>
        <w:rPr>
          <w:sz w:val="22"/>
          <w:szCs w:val="22"/>
        </w:rPr>
      </w:pPr>
      <w:r w:rsidRPr="00A42549">
        <w:rPr>
          <w:rStyle w:val="FootnoteReference"/>
          <w:sz w:val="22"/>
          <w:szCs w:val="22"/>
        </w:rPr>
        <w:footnoteRef/>
      </w:r>
      <w:r w:rsidRPr="00A42549">
        <w:rPr>
          <w:sz w:val="22"/>
          <w:szCs w:val="22"/>
        </w:rPr>
        <w:t xml:space="preserve"> Kirkpatrick, </w:t>
      </w:r>
      <w:r w:rsidRPr="00A42549">
        <w:rPr>
          <w:i/>
          <w:sz w:val="22"/>
          <w:szCs w:val="22"/>
        </w:rPr>
        <w:t>Competing for Honor</w:t>
      </w:r>
      <w:r w:rsidRPr="00A42549">
        <w:rPr>
          <w:sz w:val="22"/>
          <w:szCs w:val="22"/>
        </w:rPr>
        <w:t>, 103.</w:t>
      </w:r>
    </w:p>
  </w:footnote>
  <w:footnote w:id="665">
    <w:p w:rsidR="00786194" w:rsidRPr="00A42549" w:rsidRDefault="00786194" w:rsidP="00CD264D">
      <w:pPr>
        <w:pStyle w:val="FootnoteText"/>
        <w:rPr>
          <w:sz w:val="22"/>
          <w:szCs w:val="22"/>
        </w:rPr>
      </w:pPr>
      <w:r w:rsidRPr="00A42549">
        <w:rPr>
          <w:rStyle w:val="FootnoteReference"/>
          <w:sz w:val="22"/>
          <w:szCs w:val="22"/>
        </w:rPr>
        <w:footnoteRef/>
      </w:r>
      <w:r w:rsidRPr="00A42549">
        <w:rPr>
          <w:sz w:val="22"/>
          <w:szCs w:val="22"/>
        </w:rPr>
        <w:t xml:space="preserve"> Smith-Christopher, “Daniel,” 66, 65.</w:t>
      </w:r>
    </w:p>
  </w:footnote>
  <w:footnote w:id="66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Wallace, </w:t>
      </w:r>
      <w:r w:rsidRPr="00A42549">
        <w:rPr>
          <w:i/>
          <w:sz w:val="22"/>
          <w:szCs w:val="22"/>
        </w:rPr>
        <w:t>Daniel</w:t>
      </w:r>
      <w:r w:rsidRPr="00A42549">
        <w:rPr>
          <w:sz w:val="22"/>
          <w:szCs w:val="22"/>
        </w:rPr>
        <w:t>, on the passage.</w:t>
      </w:r>
    </w:p>
  </w:footnote>
  <w:footnote w:id="66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The Times</w:t>
      </w:r>
      <w:r w:rsidRPr="00A42549">
        <w:rPr>
          <w:sz w:val="22"/>
          <w:szCs w:val="22"/>
        </w:rPr>
        <w:t xml:space="preserve"> (London), 29 July 1936; cf. Lang, </w:t>
      </w:r>
      <w:r w:rsidRPr="00A42549">
        <w:rPr>
          <w:i/>
          <w:sz w:val="22"/>
          <w:szCs w:val="22"/>
        </w:rPr>
        <w:t>Histories and Prophecies of Daniel</w:t>
      </w:r>
      <w:r w:rsidRPr="00A42549">
        <w:rPr>
          <w:sz w:val="22"/>
          <w:szCs w:val="22"/>
        </w:rPr>
        <w:t>, 42–43.</w:t>
      </w:r>
    </w:p>
  </w:footnote>
  <w:footnote w:id="66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Israel and the World</w:t>
      </w:r>
      <w:r w:rsidRPr="00A42549">
        <w:rPr>
          <w:sz w:val="22"/>
          <w:szCs w:val="22"/>
        </w:rPr>
        <w:t xml:space="preserve">, 200; quoted by Wink, </w:t>
      </w:r>
      <w:r w:rsidRPr="00A42549">
        <w:rPr>
          <w:i/>
          <w:sz w:val="22"/>
          <w:szCs w:val="22"/>
        </w:rPr>
        <w:t>Unmasking</w:t>
      </w:r>
      <w:r w:rsidRPr="00A42549">
        <w:rPr>
          <w:sz w:val="22"/>
          <w:szCs w:val="22"/>
        </w:rPr>
        <w:t>, 95.</w:t>
      </w:r>
    </w:p>
  </w:footnote>
  <w:footnote w:id="669">
    <w:p w:rsidR="00786194" w:rsidRPr="00A42549" w:rsidRDefault="00786194" w:rsidP="009D7C64">
      <w:pPr>
        <w:pStyle w:val="FootnoteText"/>
        <w:rPr>
          <w:sz w:val="22"/>
          <w:szCs w:val="22"/>
        </w:rPr>
      </w:pPr>
      <w:r w:rsidRPr="00A42549">
        <w:rPr>
          <w:rStyle w:val="FootnoteReference"/>
          <w:sz w:val="22"/>
          <w:szCs w:val="22"/>
        </w:rPr>
        <w:footnoteRef/>
      </w:r>
      <w:r w:rsidRPr="00A42549">
        <w:rPr>
          <w:sz w:val="22"/>
          <w:szCs w:val="22"/>
        </w:rPr>
        <w:t xml:space="preserve"> Towner, </w:t>
      </w:r>
      <w:r w:rsidRPr="00A42549">
        <w:rPr>
          <w:i/>
          <w:sz w:val="22"/>
          <w:szCs w:val="22"/>
        </w:rPr>
        <w:t>Daniel</w:t>
      </w:r>
      <w:r w:rsidRPr="00A42549">
        <w:rPr>
          <w:sz w:val="22"/>
          <w:szCs w:val="22"/>
        </w:rPr>
        <w:t>, 47.</w:t>
      </w:r>
    </w:p>
  </w:footnote>
  <w:footnote w:id="67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Baldwin, </w:t>
      </w:r>
      <w:r w:rsidRPr="00A42549">
        <w:rPr>
          <w:i/>
          <w:sz w:val="22"/>
          <w:szCs w:val="22"/>
        </w:rPr>
        <w:t>Daniel</w:t>
      </w:r>
      <w:r w:rsidRPr="00A42549">
        <w:rPr>
          <w:sz w:val="22"/>
          <w:szCs w:val="22"/>
        </w:rPr>
        <w:t>, on the passage.</w:t>
      </w:r>
    </w:p>
  </w:footnote>
  <w:footnote w:id="67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Theodoret, </w:t>
      </w:r>
      <w:r w:rsidRPr="00A42549">
        <w:rPr>
          <w:i/>
          <w:sz w:val="22"/>
          <w:szCs w:val="22"/>
        </w:rPr>
        <w:t>Daniel</w:t>
      </w:r>
      <w:r w:rsidRPr="00A42549">
        <w:rPr>
          <w:sz w:val="22"/>
          <w:szCs w:val="22"/>
        </w:rPr>
        <w:t>, 72-73.</w:t>
      </w:r>
    </w:p>
  </w:footnote>
  <w:footnote w:id="67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Cs/>
          <w:sz w:val="22"/>
          <w:szCs w:val="22"/>
        </w:rPr>
        <w:t>Avalos</w:t>
      </w:r>
      <w:r w:rsidRPr="00A42549">
        <w:rPr>
          <w:b/>
          <w:iCs/>
          <w:sz w:val="22"/>
          <w:szCs w:val="22"/>
        </w:rPr>
        <w:t xml:space="preserve">, </w:t>
      </w:r>
      <w:r w:rsidRPr="00A42549">
        <w:rPr>
          <w:iCs/>
          <w:sz w:val="22"/>
          <w:szCs w:val="22"/>
        </w:rPr>
        <w:t>“The Comedic Function of the Enumerations of the Officials and Instruments in Daniel 3,” 586.</w:t>
      </w:r>
    </w:p>
  </w:footnote>
  <w:footnote w:id="67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Nolan Fewell, </w:t>
      </w:r>
      <w:r w:rsidRPr="00A42549">
        <w:rPr>
          <w:i/>
          <w:sz w:val="22"/>
          <w:szCs w:val="22"/>
        </w:rPr>
        <w:t>Circle of Sovereignty</w:t>
      </w:r>
      <w:r w:rsidRPr="00A42549">
        <w:rPr>
          <w:sz w:val="22"/>
          <w:szCs w:val="22"/>
        </w:rPr>
        <w:t>, 48-49.</w:t>
      </w:r>
    </w:p>
  </w:footnote>
  <w:footnote w:id="674">
    <w:p w:rsidR="00786194" w:rsidRPr="00A42549" w:rsidRDefault="00786194" w:rsidP="00316A41">
      <w:pPr>
        <w:pStyle w:val="FootnoteText"/>
        <w:rPr>
          <w:sz w:val="22"/>
          <w:szCs w:val="22"/>
        </w:rPr>
      </w:pPr>
      <w:r w:rsidRPr="00A42549">
        <w:rPr>
          <w:rStyle w:val="FootnoteReference"/>
          <w:sz w:val="22"/>
          <w:szCs w:val="22"/>
        </w:rPr>
        <w:footnoteRef/>
      </w:r>
      <w:r w:rsidRPr="00A42549">
        <w:rPr>
          <w:sz w:val="22"/>
          <w:szCs w:val="22"/>
        </w:rPr>
        <w:t xml:space="preserve"> Lüthi, </w:t>
      </w:r>
      <w:r w:rsidRPr="00A42549">
        <w:rPr>
          <w:i/>
          <w:sz w:val="22"/>
          <w:szCs w:val="22"/>
        </w:rPr>
        <w:t>The Church to Come</w:t>
      </w:r>
      <w:r w:rsidRPr="00A42549">
        <w:rPr>
          <w:sz w:val="22"/>
          <w:szCs w:val="22"/>
        </w:rPr>
        <w:t xml:space="preserve">, 48; cf. Towner, </w:t>
      </w:r>
      <w:r w:rsidRPr="00A42549">
        <w:rPr>
          <w:i/>
          <w:sz w:val="22"/>
          <w:szCs w:val="22"/>
        </w:rPr>
        <w:t>Daniel</w:t>
      </w:r>
      <w:r w:rsidRPr="00A42549">
        <w:rPr>
          <w:sz w:val="22"/>
          <w:szCs w:val="22"/>
        </w:rPr>
        <w:t>, 51.</w:t>
      </w:r>
    </w:p>
  </w:footnote>
  <w:footnote w:id="67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Frost, </w:t>
      </w:r>
      <w:r w:rsidRPr="00A42549">
        <w:rPr>
          <w:i/>
          <w:sz w:val="22"/>
          <w:szCs w:val="22"/>
        </w:rPr>
        <w:t>OT Apocalyptic</w:t>
      </w:r>
      <w:r w:rsidRPr="00A42549">
        <w:rPr>
          <w:sz w:val="22"/>
          <w:szCs w:val="22"/>
        </w:rPr>
        <w:t>, 209.</w:t>
      </w:r>
    </w:p>
  </w:footnote>
  <w:footnote w:id="67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Seow, </w:t>
      </w:r>
      <w:r w:rsidRPr="00A42549">
        <w:rPr>
          <w:i/>
          <w:sz w:val="22"/>
          <w:szCs w:val="22"/>
        </w:rPr>
        <w:t>Daniel</w:t>
      </w:r>
      <w:r w:rsidRPr="00A42549">
        <w:rPr>
          <w:sz w:val="22"/>
          <w:szCs w:val="22"/>
        </w:rPr>
        <w:t>, 56.</w:t>
      </w:r>
    </w:p>
  </w:footnote>
  <w:footnote w:id="67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Kennedy, “Daniel,” on the passage.</w:t>
      </w:r>
    </w:p>
  </w:footnote>
  <w:footnote w:id="678">
    <w:p w:rsidR="00786194" w:rsidRPr="00A42549" w:rsidRDefault="00786194" w:rsidP="00B35F95">
      <w:pPr>
        <w:pStyle w:val="FootnoteText"/>
        <w:rPr>
          <w:sz w:val="22"/>
          <w:szCs w:val="22"/>
        </w:rPr>
      </w:pPr>
      <w:r w:rsidRPr="00A42549">
        <w:rPr>
          <w:rStyle w:val="FootnoteReference"/>
          <w:sz w:val="22"/>
          <w:szCs w:val="22"/>
        </w:rPr>
        <w:footnoteRef/>
      </w:r>
      <w:r w:rsidRPr="00A42549">
        <w:rPr>
          <w:sz w:val="22"/>
          <w:szCs w:val="22"/>
        </w:rPr>
        <w:t xml:space="preserve"> Cf. Hippolytus, </w:t>
      </w:r>
      <w:r w:rsidRPr="00A42549">
        <w:rPr>
          <w:i/>
          <w:sz w:val="22"/>
          <w:szCs w:val="22"/>
        </w:rPr>
        <w:t xml:space="preserve">Daniel </w:t>
      </w:r>
      <w:r w:rsidRPr="00A42549">
        <w:rPr>
          <w:sz w:val="22"/>
          <w:szCs w:val="22"/>
        </w:rPr>
        <w:t>2.36.</w:t>
      </w:r>
    </w:p>
  </w:footnote>
  <w:footnote w:id="67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136.</w:t>
      </w:r>
    </w:p>
  </w:footnote>
  <w:footnote w:id="68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59.</w:t>
      </w:r>
    </w:p>
  </w:footnote>
  <w:footnote w:id="68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Philip, </w:t>
      </w:r>
      <w:r w:rsidRPr="00A42549">
        <w:rPr>
          <w:i/>
          <w:sz w:val="22"/>
          <w:szCs w:val="22"/>
        </w:rPr>
        <w:t>By the Rivers of Babylon</w:t>
      </w:r>
      <w:r w:rsidRPr="00A42549">
        <w:rPr>
          <w:sz w:val="22"/>
          <w:szCs w:val="22"/>
        </w:rPr>
        <w:t>, on the passage.</w:t>
      </w:r>
    </w:p>
  </w:footnote>
  <w:footnote w:id="68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Yephet, </w:t>
      </w:r>
      <w:r w:rsidRPr="00A42549">
        <w:rPr>
          <w:i/>
          <w:sz w:val="22"/>
          <w:szCs w:val="22"/>
        </w:rPr>
        <w:t>Daniel</w:t>
      </w:r>
      <w:r w:rsidRPr="00A42549">
        <w:rPr>
          <w:sz w:val="22"/>
          <w:szCs w:val="22"/>
        </w:rPr>
        <w:t>, on the passage.</w:t>
      </w:r>
    </w:p>
  </w:footnote>
  <w:footnote w:id="68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Kennedy, “Daniel,” on the passage.</w:t>
      </w:r>
    </w:p>
  </w:footnote>
  <w:footnote w:id="68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on the passage.</w:t>
      </w:r>
    </w:p>
  </w:footnote>
  <w:footnote w:id="68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Lang, </w:t>
      </w:r>
      <w:r w:rsidRPr="00A42549">
        <w:rPr>
          <w:i/>
          <w:sz w:val="22"/>
          <w:szCs w:val="22"/>
        </w:rPr>
        <w:t>Histories and Prophecies of Daniel</w:t>
      </w:r>
      <w:r w:rsidRPr="00A42549">
        <w:rPr>
          <w:sz w:val="22"/>
          <w:szCs w:val="22"/>
        </w:rPr>
        <w:t>, on the passage.</w:t>
      </w:r>
    </w:p>
  </w:footnote>
  <w:footnote w:id="686">
    <w:p w:rsidR="00786194" w:rsidRPr="00A42549" w:rsidRDefault="00786194" w:rsidP="00EF0A79">
      <w:pPr>
        <w:pStyle w:val="FootnoteText"/>
        <w:rPr>
          <w:sz w:val="22"/>
          <w:szCs w:val="22"/>
        </w:rPr>
      </w:pPr>
      <w:r w:rsidRPr="00A42549">
        <w:rPr>
          <w:rStyle w:val="FootnoteReference"/>
          <w:sz w:val="22"/>
          <w:szCs w:val="22"/>
        </w:rPr>
        <w:footnoteRef/>
      </w:r>
      <w:r w:rsidRPr="00A42549">
        <w:rPr>
          <w:sz w:val="22"/>
          <w:szCs w:val="22"/>
        </w:rPr>
        <w:t xml:space="preserve"> Prinsloo, “Daniel 3,” 74.</w:t>
      </w:r>
    </w:p>
  </w:footnote>
  <w:footnote w:id="68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Collins, </w:t>
      </w:r>
      <w:r w:rsidRPr="00A42549">
        <w:rPr>
          <w:i/>
          <w:sz w:val="22"/>
          <w:szCs w:val="22"/>
        </w:rPr>
        <w:t>Daniel</w:t>
      </w:r>
      <w:r w:rsidRPr="00A42549">
        <w:rPr>
          <w:sz w:val="22"/>
          <w:szCs w:val="22"/>
        </w:rPr>
        <w:t>, 191.</w:t>
      </w:r>
    </w:p>
  </w:footnote>
  <w:footnote w:id="688">
    <w:p w:rsidR="00786194" w:rsidRPr="00A42549" w:rsidRDefault="00786194" w:rsidP="00EF0A79">
      <w:pPr>
        <w:pStyle w:val="FootnoteText"/>
        <w:rPr>
          <w:sz w:val="22"/>
          <w:szCs w:val="22"/>
        </w:rPr>
      </w:pPr>
      <w:r w:rsidRPr="00A42549">
        <w:rPr>
          <w:rStyle w:val="FootnoteReference"/>
          <w:sz w:val="22"/>
          <w:szCs w:val="22"/>
        </w:rPr>
        <w:footnoteRef/>
      </w:r>
      <w:r w:rsidRPr="00A42549">
        <w:rPr>
          <w:sz w:val="22"/>
          <w:szCs w:val="22"/>
        </w:rPr>
        <w:t xml:space="preserve"> Augustine, Letter 93, to Vincent (</w:t>
      </w:r>
      <w:r w:rsidRPr="00A42549">
        <w:rPr>
          <w:i/>
          <w:sz w:val="22"/>
          <w:szCs w:val="22"/>
        </w:rPr>
        <w:t xml:space="preserve">Letters </w:t>
      </w:r>
      <w:r w:rsidRPr="00A42549">
        <w:rPr>
          <w:sz w:val="22"/>
          <w:szCs w:val="22"/>
        </w:rPr>
        <w:t>2:56-106 [65]).</w:t>
      </w:r>
    </w:p>
  </w:footnote>
  <w:footnote w:id="68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62.</w:t>
      </w:r>
    </w:p>
  </w:footnote>
  <w:footnote w:id="69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Philip, </w:t>
      </w:r>
      <w:r w:rsidRPr="00A42549">
        <w:rPr>
          <w:i/>
          <w:sz w:val="22"/>
          <w:szCs w:val="22"/>
        </w:rPr>
        <w:t>By the Rivers of Babylon</w:t>
      </w:r>
      <w:r w:rsidRPr="00A42549">
        <w:rPr>
          <w:sz w:val="22"/>
          <w:szCs w:val="22"/>
        </w:rPr>
        <w:t>, on the passage.</w:t>
      </w:r>
    </w:p>
  </w:footnote>
  <w:footnote w:id="691">
    <w:p w:rsidR="00786194" w:rsidRPr="00A42549" w:rsidRDefault="00786194" w:rsidP="00894253">
      <w:pPr>
        <w:pStyle w:val="FootnoteText"/>
        <w:rPr>
          <w:sz w:val="22"/>
          <w:szCs w:val="22"/>
        </w:rPr>
      </w:pPr>
      <w:r w:rsidRPr="00A42549">
        <w:rPr>
          <w:rStyle w:val="FootnoteReference"/>
          <w:sz w:val="22"/>
          <w:szCs w:val="22"/>
        </w:rPr>
        <w:footnoteRef/>
      </w:r>
      <w:r w:rsidRPr="00A42549">
        <w:rPr>
          <w:sz w:val="22"/>
          <w:szCs w:val="22"/>
        </w:rPr>
        <w:t xml:space="preserve"> Di Lella, </w:t>
      </w:r>
      <w:r w:rsidRPr="00A42549">
        <w:rPr>
          <w:i/>
          <w:sz w:val="22"/>
          <w:szCs w:val="22"/>
        </w:rPr>
        <w:t>Daniel</w:t>
      </w:r>
      <w:r w:rsidRPr="00A42549">
        <w:rPr>
          <w:sz w:val="22"/>
          <w:szCs w:val="22"/>
        </w:rPr>
        <w:t>, 79.</w:t>
      </w:r>
    </w:p>
  </w:footnote>
  <w:footnote w:id="692">
    <w:p w:rsidR="00786194" w:rsidRPr="00A42549" w:rsidRDefault="00786194" w:rsidP="00894253">
      <w:pPr>
        <w:pStyle w:val="FootnoteText"/>
        <w:rPr>
          <w:sz w:val="22"/>
          <w:szCs w:val="22"/>
        </w:rPr>
      </w:pPr>
      <w:r w:rsidRPr="00A42549">
        <w:rPr>
          <w:rStyle w:val="FootnoteReference"/>
          <w:sz w:val="22"/>
          <w:szCs w:val="22"/>
        </w:rPr>
        <w:footnoteRef/>
      </w:r>
      <w:r w:rsidRPr="00A42549">
        <w:rPr>
          <w:sz w:val="22"/>
          <w:szCs w:val="22"/>
        </w:rPr>
        <w:t xml:space="preserve"> Cf. Collins, </w:t>
      </w:r>
      <w:r w:rsidRPr="00A42549">
        <w:rPr>
          <w:i/>
          <w:sz w:val="22"/>
          <w:szCs w:val="22"/>
        </w:rPr>
        <w:t>Daniel</w:t>
      </w:r>
      <w:r w:rsidRPr="00A42549">
        <w:rPr>
          <w:sz w:val="22"/>
          <w:szCs w:val="22"/>
        </w:rPr>
        <w:t xml:space="preserve">, 194; Lucas, </w:t>
      </w:r>
      <w:r w:rsidRPr="00A42549">
        <w:rPr>
          <w:i/>
          <w:sz w:val="22"/>
          <w:szCs w:val="22"/>
        </w:rPr>
        <w:t>Daniel</w:t>
      </w:r>
      <w:r w:rsidRPr="00A42549">
        <w:rPr>
          <w:sz w:val="22"/>
          <w:szCs w:val="22"/>
        </w:rPr>
        <w:t>, 96. On the substantial afterlife of the story in Jewish and Christian contexts, see Breed, “History of Reception,” 113-24.</w:t>
      </w:r>
    </w:p>
  </w:footnote>
  <w:footnote w:id="693">
    <w:p w:rsidR="00786194" w:rsidRPr="00A42549" w:rsidRDefault="00786194" w:rsidP="00B3055B">
      <w:pPr>
        <w:pStyle w:val="FootnoteText"/>
        <w:rPr>
          <w:sz w:val="22"/>
          <w:szCs w:val="22"/>
        </w:rPr>
      </w:pPr>
      <w:r w:rsidRPr="00A42549">
        <w:rPr>
          <w:rStyle w:val="FootnoteReference"/>
          <w:sz w:val="22"/>
          <w:szCs w:val="22"/>
        </w:rPr>
        <w:footnoteRef/>
      </w:r>
      <w:r w:rsidRPr="00A42549">
        <w:rPr>
          <w:sz w:val="22"/>
          <w:szCs w:val="22"/>
        </w:rPr>
        <w:t xml:space="preserve"> Cf. Pace, “Diaspora Dangers, Diaspora Dreams.”</w:t>
      </w:r>
    </w:p>
  </w:footnote>
  <w:footnote w:id="694">
    <w:p w:rsidR="00786194" w:rsidRPr="00A42549" w:rsidRDefault="00786194" w:rsidP="00ED4DC7">
      <w:pPr>
        <w:pStyle w:val="FootnoteText"/>
        <w:rPr>
          <w:sz w:val="22"/>
          <w:szCs w:val="22"/>
        </w:rPr>
      </w:pPr>
      <w:r w:rsidRPr="00A42549">
        <w:rPr>
          <w:rStyle w:val="FootnoteReference"/>
          <w:sz w:val="22"/>
          <w:szCs w:val="22"/>
        </w:rPr>
        <w:footnoteRef/>
      </w:r>
      <w:r w:rsidRPr="00A42549">
        <w:rPr>
          <w:sz w:val="22"/>
          <w:szCs w:val="22"/>
        </w:rPr>
        <w:t xml:space="preserve"> See Fitzmyer, “Aramaic Epistolography”; also Doty, “The Classification of Epistolory Literature”; Alexander, “Remarks on Aramaic Epistolography in the Persian Period.”</w:t>
      </w:r>
    </w:p>
  </w:footnote>
  <w:footnote w:id="695">
    <w:p w:rsidR="00786194" w:rsidRPr="00A42549" w:rsidRDefault="00786194" w:rsidP="00ED4DC7">
      <w:pPr>
        <w:pStyle w:val="FootnoteText"/>
        <w:rPr>
          <w:sz w:val="22"/>
          <w:szCs w:val="22"/>
        </w:rPr>
      </w:pPr>
      <w:r w:rsidRPr="00A42549">
        <w:rPr>
          <w:rStyle w:val="FootnoteReference"/>
          <w:sz w:val="22"/>
          <w:szCs w:val="22"/>
        </w:rPr>
        <w:footnoteRef/>
      </w:r>
      <w:r w:rsidRPr="00A42549">
        <w:rPr>
          <w:sz w:val="22"/>
          <w:szCs w:val="22"/>
        </w:rPr>
        <w:t xml:space="preserve"> Barr, “Daniel,” on the chapter.</w:t>
      </w:r>
    </w:p>
  </w:footnote>
  <w:footnote w:id="696">
    <w:p w:rsidR="00786194" w:rsidRPr="00A42549" w:rsidRDefault="00786194" w:rsidP="00ED4DC7">
      <w:pPr>
        <w:pStyle w:val="FootnoteText"/>
        <w:rPr>
          <w:sz w:val="22"/>
          <w:szCs w:val="22"/>
        </w:rPr>
      </w:pPr>
      <w:r w:rsidRPr="00A42549">
        <w:rPr>
          <w:rStyle w:val="FootnoteReference"/>
          <w:sz w:val="22"/>
          <w:szCs w:val="22"/>
        </w:rPr>
        <w:footnoteRef/>
      </w:r>
      <w:r w:rsidRPr="00A42549">
        <w:rPr>
          <w:sz w:val="22"/>
          <w:szCs w:val="22"/>
        </w:rPr>
        <w:t xml:space="preserve"> Cf. Koch, </w:t>
      </w:r>
      <w:r w:rsidRPr="00A42549">
        <w:rPr>
          <w:i/>
          <w:sz w:val="22"/>
          <w:szCs w:val="22"/>
        </w:rPr>
        <w:t>Daniel 1—4</w:t>
      </w:r>
      <w:r w:rsidRPr="00A42549">
        <w:rPr>
          <w:sz w:val="22"/>
          <w:szCs w:val="22"/>
        </w:rPr>
        <w:t>, 401.</w:t>
      </w:r>
    </w:p>
  </w:footnote>
  <w:footnote w:id="697">
    <w:p w:rsidR="00786194" w:rsidRPr="00A42549" w:rsidRDefault="00786194" w:rsidP="00ED4DC7">
      <w:pPr>
        <w:pStyle w:val="FootnoteText"/>
        <w:rPr>
          <w:sz w:val="22"/>
          <w:szCs w:val="22"/>
        </w:rPr>
      </w:pPr>
      <w:r w:rsidRPr="00A42549">
        <w:rPr>
          <w:rStyle w:val="FootnoteReference"/>
          <w:sz w:val="22"/>
          <w:szCs w:val="22"/>
        </w:rPr>
        <w:footnoteRef/>
      </w:r>
      <w:r w:rsidRPr="00A42549">
        <w:rPr>
          <w:sz w:val="22"/>
          <w:szCs w:val="22"/>
        </w:rPr>
        <w:t xml:space="preserve"> Bickerman, </w:t>
      </w:r>
      <w:r w:rsidRPr="00A42549">
        <w:rPr>
          <w:i/>
          <w:sz w:val="22"/>
          <w:szCs w:val="22"/>
        </w:rPr>
        <w:t>Four Strange Books of the Bible</w:t>
      </w:r>
      <w:r w:rsidRPr="00A42549">
        <w:rPr>
          <w:sz w:val="22"/>
          <w:szCs w:val="22"/>
        </w:rPr>
        <w:t>, 98–99; see further Gurney, “The Cuthaean Legend of Naram-Sin.”</w:t>
      </w:r>
    </w:p>
  </w:footnote>
  <w:footnote w:id="698">
    <w:p w:rsidR="00786194" w:rsidRPr="00A42549" w:rsidRDefault="00786194" w:rsidP="00D67710">
      <w:pPr>
        <w:pStyle w:val="FootnoteText"/>
        <w:rPr>
          <w:sz w:val="22"/>
          <w:szCs w:val="22"/>
        </w:rPr>
      </w:pPr>
      <w:r w:rsidRPr="00A42549">
        <w:rPr>
          <w:rStyle w:val="FootnoteReference"/>
          <w:sz w:val="22"/>
          <w:szCs w:val="22"/>
        </w:rPr>
        <w:footnoteRef/>
      </w:r>
      <w:r w:rsidRPr="00A42549">
        <w:rPr>
          <w:sz w:val="22"/>
          <w:szCs w:val="22"/>
        </w:rPr>
        <w:t xml:space="preserve"> Grayson, </w:t>
      </w:r>
      <w:r w:rsidRPr="00A42549">
        <w:rPr>
          <w:i/>
          <w:sz w:val="22"/>
          <w:szCs w:val="22"/>
        </w:rPr>
        <w:t>Babylonian Historical-Literary Texts</w:t>
      </w:r>
      <w:r w:rsidRPr="00A42549">
        <w:rPr>
          <w:sz w:val="22"/>
          <w:szCs w:val="22"/>
        </w:rPr>
        <w:t xml:space="preserve">, 7; see Longman, </w:t>
      </w:r>
      <w:r w:rsidRPr="00A42549">
        <w:rPr>
          <w:bCs/>
          <w:i/>
          <w:iCs/>
          <w:sz w:val="22"/>
          <w:szCs w:val="22"/>
        </w:rPr>
        <w:t>Fictional</w:t>
      </w:r>
      <w:r w:rsidRPr="00A42549">
        <w:rPr>
          <w:b/>
          <w:bCs/>
          <w:i/>
          <w:iCs/>
          <w:sz w:val="22"/>
          <w:szCs w:val="22"/>
        </w:rPr>
        <w:t xml:space="preserve"> </w:t>
      </w:r>
      <w:r w:rsidRPr="00A42549">
        <w:rPr>
          <w:bCs/>
          <w:i/>
          <w:iCs/>
          <w:sz w:val="22"/>
          <w:szCs w:val="22"/>
        </w:rPr>
        <w:t>Akkadian Autobiography</w:t>
      </w:r>
      <w:r w:rsidRPr="00A42549">
        <w:rPr>
          <w:bCs/>
          <w:iCs/>
          <w:sz w:val="22"/>
          <w:szCs w:val="22"/>
        </w:rPr>
        <w:t>.</w:t>
      </w:r>
    </w:p>
  </w:footnote>
  <w:footnote w:id="699">
    <w:p w:rsidR="00786194" w:rsidRPr="00A42549" w:rsidRDefault="00786194" w:rsidP="008D341E">
      <w:pPr>
        <w:pStyle w:val="FootnoteText"/>
        <w:rPr>
          <w:sz w:val="22"/>
          <w:szCs w:val="22"/>
        </w:rPr>
      </w:pPr>
      <w:r w:rsidRPr="00A42549">
        <w:rPr>
          <w:rStyle w:val="FootnoteReference"/>
          <w:sz w:val="22"/>
          <w:szCs w:val="22"/>
        </w:rPr>
        <w:footnoteRef/>
      </w:r>
      <w:r w:rsidRPr="00A42549">
        <w:rPr>
          <w:sz w:val="22"/>
          <w:szCs w:val="22"/>
        </w:rPr>
        <w:t xml:space="preserve"> See further chap. 2 </w:t>
      </w:r>
      <w:r w:rsidRPr="00A42549">
        <w:rPr>
          <w:i/>
          <w:sz w:val="22"/>
          <w:szCs w:val="22"/>
        </w:rPr>
        <w:t>Form</w:t>
      </w:r>
      <w:r w:rsidRPr="00A42549">
        <w:rPr>
          <w:sz w:val="22"/>
          <w:szCs w:val="22"/>
        </w:rPr>
        <w:t xml:space="preserve"> on 2:20–23.</w:t>
      </w:r>
    </w:p>
  </w:footnote>
  <w:footnote w:id="700">
    <w:p w:rsidR="00786194" w:rsidRPr="00A42549" w:rsidRDefault="00786194" w:rsidP="008D341E">
      <w:pPr>
        <w:pStyle w:val="FootnoteText"/>
        <w:rPr>
          <w:sz w:val="22"/>
          <w:szCs w:val="22"/>
        </w:rPr>
      </w:pPr>
      <w:r w:rsidRPr="00A42549">
        <w:rPr>
          <w:rStyle w:val="FootnoteReference"/>
          <w:sz w:val="22"/>
          <w:szCs w:val="22"/>
        </w:rPr>
        <w:footnoteRef/>
      </w:r>
      <w:r w:rsidRPr="00A42549">
        <w:rPr>
          <w:sz w:val="22"/>
          <w:szCs w:val="22"/>
        </w:rPr>
        <w:t xml:space="preserve"> Towner, “The Poetic Passages in Daniel 1–6,” 317.</w:t>
      </w:r>
    </w:p>
  </w:footnote>
  <w:footnote w:id="70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Oppenheim, “Interpretation of Dreams,” 187.</w:t>
      </w:r>
    </w:p>
  </w:footnote>
  <w:footnote w:id="70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Examples in Oppenheim, “Interpretation of Dreams.”</w:t>
      </w:r>
    </w:p>
  </w:footnote>
  <w:footnote w:id="70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Coxon, “The Great Tree of Daniel 4.”</w:t>
      </w:r>
    </w:p>
  </w:footnote>
  <w:footnote w:id="70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Wilkie (““Nabonidus and the Later Jewish Exiles”) sees Nabonidus behind both Isa 14 and Dan 4.</w:t>
      </w:r>
    </w:p>
  </w:footnote>
  <w:footnote w:id="70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also the Aramaic apocalypse 4QFour Kingdoms (4Q552-553) (Reynolds,</w:t>
      </w:r>
      <w:r w:rsidRPr="00A42549">
        <w:rPr>
          <w:b/>
          <w:i/>
          <w:sz w:val="22"/>
          <w:szCs w:val="22"/>
        </w:rPr>
        <w:t xml:space="preserve"> </w:t>
      </w:r>
      <w:r w:rsidRPr="00A42549">
        <w:rPr>
          <w:sz w:val="22"/>
          <w:szCs w:val="22"/>
        </w:rPr>
        <w:t>“Symbolic and Non-Symbolic Visions of the Book of Daniel,” 223-25).</w:t>
      </w:r>
    </w:p>
  </w:footnote>
  <w:footnote w:id="70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Gammie, “On the Intention and Sources of Daniel i-vi,” 284</w:t>
      </w:r>
    </w:p>
  </w:footnote>
  <w:footnote w:id="707">
    <w:p w:rsidR="00786194" w:rsidRPr="00A42549" w:rsidRDefault="00786194" w:rsidP="006421B8">
      <w:pPr>
        <w:pStyle w:val="FootnoteText"/>
        <w:tabs>
          <w:tab w:val="left" w:pos="9270"/>
        </w:tabs>
        <w:rPr>
          <w:sz w:val="22"/>
          <w:szCs w:val="22"/>
        </w:rPr>
      </w:pPr>
      <w:r w:rsidRPr="00A42549">
        <w:rPr>
          <w:rStyle w:val="FootnoteReference"/>
          <w:sz w:val="22"/>
          <w:szCs w:val="22"/>
        </w:rPr>
        <w:footnoteRef/>
      </w:r>
      <w:r w:rsidRPr="00A42549">
        <w:rPr>
          <w:sz w:val="22"/>
          <w:szCs w:val="22"/>
        </w:rPr>
        <w:t xml:space="preserve"> See Di Lella, </w:t>
      </w:r>
      <w:r w:rsidRPr="00A42549">
        <w:rPr>
          <w:bCs/>
          <w:sz w:val="22"/>
          <w:szCs w:val="22"/>
        </w:rPr>
        <w:t xml:space="preserve">“Daniel 4:7–14”; Kim, </w:t>
      </w:r>
      <w:r w:rsidRPr="00A42549">
        <w:rPr>
          <w:bCs/>
          <w:i/>
          <w:sz w:val="22"/>
          <w:szCs w:val="22"/>
        </w:rPr>
        <w:t>Biblical Interpretation in the Book of Daniel</w:t>
      </w:r>
      <w:r w:rsidRPr="00A42549">
        <w:rPr>
          <w:bCs/>
          <w:sz w:val="22"/>
          <w:szCs w:val="22"/>
        </w:rPr>
        <w:t xml:space="preserve">, 125-66; </w:t>
      </w:r>
      <w:r w:rsidRPr="00A42549">
        <w:rPr>
          <w:bCs/>
          <w:iCs/>
          <w:sz w:val="22"/>
          <w:szCs w:val="22"/>
        </w:rPr>
        <w:t>Doukhan</w:t>
      </w:r>
      <w:r w:rsidRPr="00A42549">
        <w:rPr>
          <w:b/>
          <w:bCs/>
          <w:sz w:val="22"/>
          <w:szCs w:val="22"/>
        </w:rPr>
        <w:t>,</w:t>
      </w:r>
      <w:r w:rsidRPr="00A42549">
        <w:rPr>
          <w:bCs/>
          <w:i/>
          <w:iCs/>
          <w:sz w:val="22"/>
          <w:szCs w:val="22"/>
        </w:rPr>
        <w:t xml:space="preserve"> </w:t>
      </w:r>
      <w:r w:rsidRPr="00A42549">
        <w:rPr>
          <w:bCs/>
          <w:sz w:val="22"/>
          <w:szCs w:val="22"/>
        </w:rPr>
        <w:t>“Allusions à la création dans le livre de Daniel.” But Metzger</w:t>
      </w:r>
      <w:r w:rsidRPr="00A42549">
        <w:rPr>
          <w:b/>
          <w:bCs/>
          <w:sz w:val="22"/>
          <w:szCs w:val="22"/>
        </w:rPr>
        <w:t xml:space="preserve"> (</w:t>
      </w:r>
      <w:r w:rsidRPr="00A42549">
        <w:rPr>
          <w:bCs/>
          <w:sz w:val="22"/>
          <w:szCs w:val="22"/>
        </w:rPr>
        <w:t>“Der Weltenbaum in vorderorientalischer Bildtradition) sees the OT references as independently taking up the image from its ancient Near Eastern context.</w:t>
      </w:r>
    </w:p>
  </w:footnote>
  <w:footnote w:id="7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Schrader</w:t>
      </w:r>
      <w:r w:rsidRPr="00A42549">
        <w:rPr>
          <w:b/>
          <w:sz w:val="22"/>
          <w:szCs w:val="22"/>
        </w:rPr>
        <w:t xml:space="preserve">, </w:t>
      </w:r>
      <w:r w:rsidRPr="00A42549">
        <w:rPr>
          <w:i/>
          <w:iCs/>
          <w:sz w:val="22"/>
          <w:szCs w:val="22"/>
        </w:rPr>
        <w:t>“</w:t>
      </w:r>
      <w:r w:rsidRPr="00A42549">
        <w:rPr>
          <w:sz w:val="22"/>
          <w:szCs w:val="22"/>
        </w:rPr>
        <w:t xml:space="preserve">Die Sage vom </w:t>
      </w:r>
      <w:r w:rsidRPr="00A42549">
        <w:rPr>
          <w:iCs/>
          <w:sz w:val="22"/>
          <w:szCs w:val="22"/>
        </w:rPr>
        <w:t>Wahnsinn</w:t>
      </w:r>
      <w:r w:rsidRPr="00A42549">
        <w:rPr>
          <w:sz w:val="22"/>
          <w:szCs w:val="22"/>
        </w:rPr>
        <w:t xml:space="preserve"> Nebukadnezar's.”</w:t>
      </w:r>
    </w:p>
  </w:footnote>
  <w:footnote w:id="70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Grayson, </w:t>
      </w:r>
      <w:r w:rsidRPr="00A42549">
        <w:rPr>
          <w:i/>
          <w:sz w:val="22"/>
          <w:szCs w:val="22"/>
        </w:rPr>
        <w:t>Babylonian Historical-Literary Texts</w:t>
      </w:r>
      <w:r w:rsidRPr="00A42549">
        <w:rPr>
          <w:sz w:val="22"/>
          <w:szCs w:val="22"/>
        </w:rPr>
        <w:t>, 87–92; cf. Hasel, “The Book of Daniel,” 41–42.</w:t>
      </w:r>
    </w:p>
  </w:footnote>
  <w:footnote w:id="71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Ball, “Daniel and Babylon; Ferguson, </w:t>
      </w:r>
      <w:r w:rsidRPr="00A42549">
        <w:rPr>
          <w:b/>
          <w:sz w:val="22"/>
          <w:szCs w:val="22"/>
        </w:rPr>
        <w:t>“</w:t>
      </w:r>
      <w:r w:rsidRPr="00A42549">
        <w:rPr>
          <w:sz w:val="22"/>
          <w:szCs w:val="22"/>
        </w:rPr>
        <w:t>Nebuchadnezzar, Gilgamesh,</w:t>
      </w:r>
      <w:r w:rsidRPr="00A42549">
        <w:rPr>
          <w:b/>
          <w:sz w:val="22"/>
          <w:szCs w:val="22"/>
        </w:rPr>
        <w:t xml:space="preserve"> a</w:t>
      </w:r>
      <w:r w:rsidRPr="00A42549">
        <w:rPr>
          <w:sz w:val="22"/>
          <w:szCs w:val="22"/>
        </w:rPr>
        <w:t>nd the ‘Babylonian Job.’”</w:t>
      </w:r>
    </w:p>
  </w:footnote>
  <w:footnote w:id="71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Gadd, “The Harran Inscriptions of Nabonidus”; Röllig, “Erwägungen zu neuen Stelen König Nabonids.”</w:t>
      </w:r>
    </w:p>
  </w:footnote>
  <w:footnote w:id="71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Oppenheim, “Interpretation of Dreams,” 186.</w:t>
      </w:r>
    </w:p>
  </w:footnote>
  <w:footnote w:id="71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
          <w:sz w:val="22"/>
          <w:szCs w:val="22"/>
        </w:rPr>
        <w:t>Pericope Bibliography</w:t>
      </w:r>
      <w:r w:rsidRPr="00A42549">
        <w:rPr>
          <w:sz w:val="22"/>
          <w:szCs w:val="22"/>
        </w:rPr>
        <w:t xml:space="preserve">; and on Nabonidus, see Saggs, </w:t>
      </w:r>
      <w:r w:rsidRPr="00A42549">
        <w:rPr>
          <w:i/>
          <w:sz w:val="22"/>
          <w:szCs w:val="22"/>
        </w:rPr>
        <w:t>The Greatness That Was Babylon</w:t>
      </w:r>
      <w:r w:rsidRPr="00A42549">
        <w:rPr>
          <w:sz w:val="22"/>
          <w:szCs w:val="22"/>
        </w:rPr>
        <w:t xml:space="preserve">, 145–52; Oppenheim, </w:t>
      </w:r>
      <w:r w:rsidRPr="00A42549">
        <w:rPr>
          <w:i/>
          <w:sz w:val="22"/>
          <w:szCs w:val="22"/>
        </w:rPr>
        <w:t>Ancient Mesopotamia</w:t>
      </w:r>
      <w:r w:rsidRPr="00A42549">
        <w:rPr>
          <w:sz w:val="22"/>
          <w:szCs w:val="22"/>
        </w:rPr>
        <w:t xml:space="preserve">, 152–53; Beaulieu, </w:t>
      </w:r>
      <w:r w:rsidRPr="00A42549">
        <w:rPr>
          <w:i/>
          <w:sz w:val="22"/>
          <w:szCs w:val="22"/>
        </w:rPr>
        <w:t>The Reign of Nabonidus</w:t>
      </w:r>
      <w:r w:rsidRPr="00A42549">
        <w:rPr>
          <w:sz w:val="22"/>
          <w:szCs w:val="22"/>
        </w:rPr>
        <w:t>; Koch, . Steinmann</w:t>
      </w:r>
      <w:r w:rsidRPr="00A42549">
        <w:rPr>
          <w:b/>
          <w:sz w:val="22"/>
          <w:szCs w:val="22"/>
        </w:rPr>
        <w:t xml:space="preserve"> (</w:t>
      </w:r>
      <w:r w:rsidRPr="00A42549">
        <w:rPr>
          <w:sz w:val="22"/>
          <w:szCs w:val="22"/>
        </w:rPr>
        <w:t>“The Chicken and the Egg”) argues that the Qumran prayer is based on Dan 4.</w:t>
      </w:r>
      <w:r w:rsidRPr="00A42549">
        <w:rPr>
          <w:b/>
          <w:sz w:val="22"/>
          <w:szCs w:val="22"/>
        </w:rPr>
        <w:t xml:space="preserve">  </w:t>
      </w:r>
    </w:p>
  </w:footnote>
  <w:footnote w:id="714">
    <w:p w:rsidR="00786194" w:rsidRPr="00A42549" w:rsidRDefault="00786194" w:rsidP="00F417D7">
      <w:pPr>
        <w:pStyle w:val="FootnoteText"/>
        <w:tabs>
          <w:tab w:val="left" w:pos="4950"/>
        </w:tabs>
        <w:rPr>
          <w:sz w:val="22"/>
          <w:szCs w:val="22"/>
        </w:rPr>
      </w:pPr>
      <w:r w:rsidRPr="00A42549">
        <w:rPr>
          <w:rStyle w:val="FootnoteReference"/>
          <w:sz w:val="22"/>
          <w:szCs w:val="22"/>
        </w:rPr>
        <w:footnoteRef/>
      </w:r>
      <w:r w:rsidRPr="00A42549">
        <w:rPr>
          <w:sz w:val="22"/>
          <w:szCs w:val="22"/>
        </w:rPr>
        <w:t xml:space="preserve"> Newsom, </w:t>
      </w:r>
      <w:r w:rsidRPr="00A42549">
        <w:rPr>
          <w:i/>
          <w:sz w:val="22"/>
          <w:szCs w:val="22"/>
        </w:rPr>
        <w:t>Daniel</w:t>
      </w:r>
      <w:r w:rsidRPr="00A42549">
        <w:rPr>
          <w:sz w:val="22"/>
          <w:szCs w:val="22"/>
        </w:rPr>
        <w:t xml:space="preserve">, 130; cf. Newsom, </w:t>
      </w:r>
      <w:r w:rsidRPr="00A42549">
        <w:rPr>
          <w:bCs/>
          <w:sz w:val="22"/>
          <w:szCs w:val="22"/>
        </w:rPr>
        <w:t>“Why Nabonidus?”</w:t>
      </w:r>
    </w:p>
  </w:footnote>
  <w:footnote w:id="71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Mertens, </w:t>
      </w:r>
      <w:r w:rsidRPr="00A42549">
        <w:rPr>
          <w:i/>
          <w:sz w:val="22"/>
          <w:szCs w:val="22"/>
        </w:rPr>
        <w:t>Das Buch Daniel im Lichte der Texte vom Toten Meer</w:t>
      </w:r>
      <w:r w:rsidRPr="00A42549">
        <w:rPr>
          <w:sz w:val="22"/>
          <w:szCs w:val="22"/>
        </w:rPr>
        <w:t xml:space="preserve">, 37–40; more recently Segal, </w:t>
      </w:r>
      <w:r w:rsidRPr="00A42549">
        <w:rPr>
          <w:i/>
          <w:sz w:val="22"/>
          <w:szCs w:val="22"/>
        </w:rPr>
        <w:t>Dreams, Riddles, and Viisions</w:t>
      </w:r>
      <w:r w:rsidRPr="00A42549">
        <w:rPr>
          <w:sz w:val="22"/>
          <w:szCs w:val="22"/>
        </w:rPr>
        <w:t>, chap. 4.</w:t>
      </w:r>
    </w:p>
  </w:footnote>
  <w:footnote w:id="71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For example, Bickerman (</w:t>
      </w:r>
      <w:r w:rsidRPr="00A42549">
        <w:rPr>
          <w:i/>
          <w:sz w:val="22"/>
          <w:szCs w:val="22"/>
        </w:rPr>
        <w:t>Four Strange Books of the Bible</w:t>
      </w:r>
      <w:r w:rsidRPr="00A42549">
        <w:rPr>
          <w:sz w:val="22"/>
          <w:szCs w:val="22"/>
        </w:rPr>
        <w:t>, 74-77)</w:t>
      </w:r>
      <w:r w:rsidRPr="00A42549">
        <w:rPr>
          <w:i/>
          <w:sz w:val="22"/>
          <w:szCs w:val="22"/>
        </w:rPr>
        <w:t xml:space="preserve"> </w:t>
      </w:r>
      <w:r w:rsidRPr="00A42549">
        <w:rPr>
          <w:sz w:val="22"/>
          <w:szCs w:val="22"/>
        </w:rPr>
        <w:t>nicely suggests that the message lying behind Dan 4 gives the real divine response to Nabonidus, in contrast to the one in the Harran inscriptions.</w:t>
      </w:r>
    </w:p>
  </w:footnote>
  <w:footnote w:id="71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i/>
          <w:sz w:val="22"/>
          <w:szCs w:val="22"/>
        </w:rPr>
        <w:t>Aramaic Poetry</w:t>
      </w:r>
      <w:r w:rsidRPr="00A42549">
        <w:rPr>
          <w:sz w:val="22"/>
          <w:szCs w:val="22"/>
        </w:rPr>
        <w:t>, 84-130. Di Lella (</w:t>
      </w:r>
      <w:r w:rsidRPr="00A42549">
        <w:rPr>
          <w:bCs/>
          <w:sz w:val="22"/>
          <w:szCs w:val="22"/>
        </w:rPr>
        <w:t>“Daniel 4:7–14”) analyzes the literary devices in those verses; see also Richter, “Daniel 4,7-14.”</w:t>
      </w:r>
    </w:p>
  </w:footnote>
  <w:footnote w:id="71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Wesselius (“The Writing of Daniel”) sees the structure of Daniel as modeled on that of Ezra.</w:t>
      </w:r>
    </w:p>
  </w:footnote>
  <w:footnote w:id="719">
    <w:p w:rsidR="00786194" w:rsidRPr="00A42549" w:rsidRDefault="00786194" w:rsidP="009D01AC">
      <w:pPr>
        <w:pStyle w:val="FootnoteText"/>
        <w:rPr>
          <w:sz w:val="22"/>
          <w:szCs w:val="22"/>
        </w:rPr>
      </w:pPr>
      <w:r w:rsidRPr="00A42549">
        <w:rPr>
          <w:rStyle w:val="FootnoteReference"/>
          <w:sz w:val="22"/>
          <w:szCs w:val="22"/>
        </w:rPr>
        <w:footnoteRef/>
      </w:r>
      <w:r w:rsidRPr="00A42549">
        <w:rPr>
          <w:sz w:val="22"/>
          <w:szCs w:val="22"/>
        </w:rPr>
        <w:t xml:space="preserve"> Meadowcroft, “</w:t>
      </w:r>
      <w:r w:rsidRPr="00A42549">
        <w:rPr>
          <w:bCs/>
          <w:sz w:val="22"/>
          <w:szCs w:val="22"/>
        </w:rPr>
        <w:t>Point of View in Storytelling,” 34.</w:t>
      </w:r>
    </w:p>
  </w:footnote>
  <w:footnote w:id="72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Meadowcroft, </w:t>
      </w:r>
      <w:r w:rsidRPr="00A42549">
        <w:rPr>
          <w:bCs/>
          <w:iCs/>
          <w:sz w:val="22"/>
          <w:szCs w:val="22"/>
        </w:rPr>
        <w:t>“</w:t>
      </w:r>
      <w:r w:rsidRPr="00A42549">
        <w:rPr>
          <w:bCs/>
          <w:sz w:val="22"/>
          <w:szCs w:val="22"/>
        </w:rPr>
        <w:t>Metaphor, Narrative, Interpretation and Reader in Daniel 2—5,” 270-71.</w:t>
      </w:r>
    </w:p>
  </w:footnote>
  <w:footnote w:id="72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Meyer, </w:t>
      </w:r>
      <w:r w:rsidRPr="00A42549">
        <w:rPr>
          <w:i/>
          <w:sz w:val="22"/>
          <w:szCs w:val="22"/>
        </w:rPr>
        <w:t>Das Gebet des Nabonid</w:t>
      </w:r>
      <w:r w:rsidRPr="00A42549">
        <w:rPr>
          <w:sz w:val="22"/>
          <w:szCs w:val="22"/>
        </w:rPr>
        <w:t>, 111–12.</w:t>
      </w:r>
    </w:p>
  </w:footnote>
  <w:footnote w:id="72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Hippolytus, </w:t>
      </w:r>
      <w:r w:rsidRPr="00A42549">
        <w:rPr>
          <w:i/>
          <w:sz w:val="22"/>
          <w:szCs w:val="22"/>
        </w:rPr>
        <w:t>Daniel</w:t>
      </w:r>
      <w:r w:rsidRPr="00A42549">
        <w:rPr>
          <w:sz w:val="22"/>
          <w:szCs w:val="22"/>
        </w:rPr>
        <w:t xml:space="preserve"> 3.4.</w:t>
      </w:r>
    </w:p>
  </w:footnote>
  <w:footnote w:id="72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Keil, </w:t>
      </w:r>
      <w:r w:rsidRPr="00A42549">
        <w:rPr>
          <w:i/>
          <w:sz w:val="22"/>
          <w:szCs w:val="22"/>
        </w:rPr>
        <w:t>Daniel</w:t>
      </w:r>
      <w:r w:rsidRPr="00A42549">
        <w:rPr>
          <w:sz w:val="22"/>
          <w:szCs w:val="22"/>
        </w:rPr>
        <w:t>, 140–42.</w:t>
      </w:r>
    </w:p>
  </w:footnote>
  <w:footnote w:id="724">
    <w:p w:rsidR="00786194" w:rsidRPr="00A42549" w:rsidRDefault="00786194" w:rsidP="00472187">
      <w:pPr>
        <w:pStyle w:val="FootnoteText"/>
        <w:rPr>
          <w:sz w:val="22"/>
          <w:szCs w:val="22"/>
        </w:rPr>
      </w:pPr>
      <w:r w:rsidRPr="00A42549">
        <w:rPr>
          <w:rStyle w:val="FootnoteReference"/>
          <w:sz w:val="22"/>
          <w:szCs w:val="22"/>
        </w:rPr>
        <w:footnoteRef/>
      </w:r>
      <w:r w:rsidRPr="00A42549">
        <w:rPr>
          <w:sz w:val="22"/>
          <w:szCs w:val="22"/>
        </w:rPr>
        <w:t xml:space="preserve"> See Koch, </w:t>
      </w:r>
      <w:r w:rsidRPr="00A42549">
        <w:rPr>
          <w:i/>
          <w:sz w:val="22"/>
          <w:szCs w:val="22"/>
        </w:rPr>
        <w:t>Daniel 1—4</w:t>
      </w:r>
      <w:r w:rsidRPr="00A42549">
        <w:rPr>
          <w:sz w:val="22"/>
          <w:szCs w:val="22"/>
        </w:rPr>
        <w:t>, 444-50.</w:t>
      </w:r>
    </w:p>
  </w:footnote>
  <w:footnote w:id="725">
    <w:p w:rsidR="00786194" w:rsidRPr="00A42549" w:rsidRDefault="00786194" w:rsidP="004F5838">
      <w:pPr>
        <w:pStyle w:val="FootnoteText"/>
        <w:rPr>
          <w:sz w:val="22"/>
          <w:szCs w:val="22"/>
        </w:rPr>
      </w:pPr>
      <w:r w:rsidRPr="00A42549">
        <w:rPr>
          <w:rStyle w:val="FootnoteReference"/>
          <w:sz w:val="22"/>
          <w:szCs w:val="22"/>
        </w:rPr>
        <w:footnoteRef/>
      </w:r>
      <w:r w:rsidRPr="00A42549">
        <w:rPr>
          <w:sz w:val="22"/>
          <w:szCs w:val="22"/>
        </w:rPr>
        <w:t xml:space="preserve"> On these questions, see e.g., Collins, </w:t>
      </w:r>
      <w:r w:rsidRPr="00A42549">
        <w:rPr>
          <w:i/>
          <w:sz w:val="22"/>
          <w:szCs w:val="22"/>
        </w:rPr>
        <w:t>Daniel</w:t>
      </w:r>
      <w:r w:rsidRPr="00A42549">
        <w:rPr>
          <w:sz w:val="22"/>
          <w:szCs w:val="22"/>
        </w:rPr>
        <w:t xml:space="preserve">, 216-21; Koch, </w:t>
      </w:r>
      <w:r w:rsidRPr="00A42549">
        <w:rPr>
          <w:i/>
          <w:sz w:val="22"/>
          <w:szCs w:val="22"/>
        </w:rPr>
        <w:t>Daniel 1—4</w:t>
      </w:r>
      <w:r w:rsidRPr="00A42549">
        <w:rPr>
          <w:sz w:val="22"/>
          <w:szCs w:val="22"/>
        </w:rPr>
        <w:t xml:space="preserve">, 377-80, 387-401; Haag, </w:t>
      </w:r>
      <w:r w:rsidRPr="00A42549">
        <w:rPr>
          <w:i/>
          <w:sz w:val="22"/>
          <w:szCs w:val="22"/>
        </w:rPr>
        <w:t>Die Errettung Daniels</w:t>
      </w:r>
      <w:r w:rsidRPr="00A42549">
        <w:rPr>
          <w:sz w:val="22"/>
          <w:szCs w:val="22"/>
        </w:rPr>
        <w:t xml:space="preserve">; Wills, </w:t>
      </w:r>
      <w:r w:rsidRPr="00A42549">
        <w:rPr>
          <w:i/>
          <w:sz w:val="22"/>
          <w:szCs w:val="22"/>
        </w:rPr>
        <w:t>The Jew in the Court of the Foreign King</w:t>
      </w:r>
      <w:r w:rsidRPr="00A42549">
        <w:rPr>
          <w:sz w:val="22"/>
          <w:szCs w:val="22"/>
        </w:rPr>
        <w:t xml:space="preserve">; Albertz, </w:t>
      </w:r>
      <w:r w:rsidRPr="00A42549">
        <w:rPr>
          <w:i/>
          <w:sz w:val="22"/>
          <w:szCs w:val="22"/>
        </w:rPr>
        <w:t>Der Gott des Daniel</w:t>
      </w:r>
      <w:r w:rsidRPr="00A42549">
        <w:rPr>
          <w:sz w:val="22"/>
          <w:szCs w:val="22"/>
        </w:rPr>
        <w:t>; Schlenke</w:t>
      </w:r>
      <w:r w:rsidRPr="00A42549">
        <w:rPr>
          <w:b/>
          <w:sz w:val="22"/>
          <w:szCs w:val="22"/>
        </w:rPr>
        <w:t xml:space="preserve">, </w:t>
      </w:r>
      <w:r w:rsidRPr="00A42549">
        <w:rPr>
          <w:i/>
          <w:sz w:val="22"/>
          <w:szCs w:val="22"/>
        </w:rPr>
        <w:t>Gottes Reich und Königs Macht</w:t>
      </w:r>
      <w:r w:rsidRPr="00A42549">
        <w:rPr>
          <w:sz w:val="22"/>
          <w:szCs w:val="22"/>
        </w:rPr>
        <w:t>; Henze</w:t>
      </w:r>
      <w:r w:rsidRPr="00A42549">
        <w:rPr>
          <w:b/>
          <w:sz w:val="22"/>
          <w:szCs w:val="22"/>
        </w:rPr>
        <w:t xml:space="preserve">, </w:t>
      </w:r>
      <w:r w:rsidRPr="00A42549">
        <w:rPr>
          <w:i/>
          <w:sz w:val="22"/>
          <w:szCs w:val="22"/>
        </w:rPr>
        <w:t>The Madness of King Nebuchadnezzar</w:t>
      </w:r>
      <w:r w:rsidRPr="00A42549">
        <w:rPr>
          <w:sz w:val="22"/>
          <w:szCs w:val="22"/>
        </w:rPr>
        <w:t xml:space="preserve">, 14-49; Meadowcroft, </w:t>
      </w:r>
      <w:r w:rsidRPr="00A42549">
        <w:rPr>
          <w:i/>
          <w:sz w:val="22"/>
          <w:szCs w:val="22"/>
        </w:rPr>
        <w:t>Aramaic Daniel and Greek Daniel</w:t>
      </w:r>
      <w:r w:rsidRPr="00A42549">
        <w:rPr>
          <w:sz w:val="22"/>
          <w:szCs w:val="22"/>
        </w:rPr>
        <w:t xml:space="preserve">, 31-56; McLay, </w:t>
      </w:r>
      <w:r w:rsidRPr="00A42549">
        <w:rPr>
          <w:iCs/>
          <w:sz w:val="22"/>
          <w:szCs w:val="22"/>
        </w:rPr>
        <w:t xml:space="preserve">“The OG Translaton of Daniel iv—vi”; </w:t>
      </w:r>
      <w:r w:rsidRPr="00A42549">
        <w:rPr>
          <w:b/>
          <w:iCs/>
          <w:sz w:val="22"/>
          <w:szCs w:val="22"/>
        </w:rPr>
        <w:t>———.</w:t>
      </w:r>
      <w:r w:rsidRPr="00A42549">
        <w:rPr>
          <w:iCs/>
          <w:sz w:val="22"/>
          <w:szCs w:val="22"/>
        </w:rPr>
        <w:t xml:space="preserve"> “Double Translations in the Greek Versions of Daniel.”</w:t>
      </w:r>
    </w:p>
  </w:footnote>
  <w:footnote w:id="72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Berger, “Hellenistische Gattungen im NT,” 1274.</w:t>
      </w:r>
    </w:p>
  </w:footnote>
  <w:footnote w:id="727">
    <w:p w:rsidR="00786194" w:rsidRPr="00A42549" w:rsidRDefault="00786194" w:rsidP="00916414">
      <w:pPr>
        <w:pStyle w:val="FootnoteText"/>
        <w:rPr>
          <w:sz w:val="22"/>
          <w:szCs w:val="22"/>
        </w:rPr>
      </w:pPr>
      <w:r w:rsidRPr="00A42549">
        <w:rPr>
          <w:rStyle w:val="FootnoteReference"/>
          <w:sz w:val="22"/>
          <w:szCs w:val="22"/>
        </w:rPr>
        <w:footnoteRef/>
      </w:r>
      <w:r w:rsidRPr="00A42549">
        <w:rPr>
          <w:sz w:val="22"/>
          <w:szCs w:val="22"/>
        </w:rPr>
        <w:t xml:space="preserve"> Goldwurm, </w:t>
      </w:r>
      <w:r w:rsidRPr="00A42549">
        <w:rPr>
          <w:i/>
          <w:sz w:val="22"/>
          <w:szCs w:val="22"/>
        </w:rPr>
        <w:t>Daniel</w:t>
      </w:r>
      <w:r w:rsidRPr="00A42549">
        <w:rPr>
          <w:sz w:val="22"/>
          <w:szCs w:val="22"/>
        </w:rPr>
        <w:t>, 133.</w:t>
      </w:r>
    </w:p>
  </w:footnote>
  <w:footnote w:id="72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 Van Liere, “The Latin Bible, </w:t>
      </w:r>
      <w:r w:rsidRPr="00A42549">
        <w:rPr>
          <w:i/>
          <w:sz w:val="22"/>
          <w:szCs w:val="22"/>
        </w:rPr>
        <w:t>c.</w:t>
      </w:r>
      <w:r w:rsidRPr="00A42549">
        <w:rPr>
          <w:sz w:val="22"/>
          <w:szCs w:val="22"/>
        </w:rPr>
        <w:t xml:space="preserve">900 to the Council of Trent 1546,” in J. C. Paget et al. (eds.), </w:t>
      </w:r>
      <w:r w:rsidRPr="00A42549">
        <w:rPr>
          <w:i/>
          <w:sz w:val="22"/>
          <w:szCs w:val="22"/>
        </w:rPr>
        <w:t>The New Cambridge History of the Bible</w:t>
      </w:r>
      <w:r w:rsidRPr="00A42549">
        <w:rPr>
          <w:sz w:val="22"/>
          <w:szCs w:val="22"/>
        </w:rPr>
        <w:t xml:space="preserve"> 2:93-109 (106). The text of the Gutenberg Bible is accessible at http://www.bl.uk/treasures/gutenberg/record.asp.</w:t>
      </w:r>
    </w:p>
  </w:footnote>
  <w:footnote w:id="72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Luther, “Der Prophet Daniel,” 144; cf. Calvin, </w:t>
      </w:r>
      <w:r w:rsidRPr="00A42549">
        <w:rPr>
          <w:i/>
          <w:sz w:val="22"/>
          <w:szCs w:val="22"/>
        </w:rPr>
        <w:t>Daniel 1—6</w:t>
      </w:r>
      <w:r w:rsidRPr="00A42549">
        <w:rPr>
          <w:sz w:val="22"/>
          <w:szCs w:val="22"/>
        </w:rPr>
        <w:t xml:space="preserve">, 151. </w:t>
      </w:r>
    </w:p>
  </w:footnote>
  <w:footnote w:id="73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Jeffery, “Daniel,” on the chapter.</w:t>
      </w:r>
    </w:p>
  </w:footnote>
  <w:footnote w:id="73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Kirkpatrick, </w:t>
      </w:r>
      <w:r w:rsidRPr="00A42549">
        <w:rPr>
          <w:i/>
          <w:sz w:val="22"/>
          <w:szCs w:val="22"/>
        </w:rPr>
        <w:t>Competing for Honor</w:t>
      </w:r>
      <w:r w:rsidRPr="00A42549">
        <w:rPr>
          <w:sz w:val="22"/>
          <w:szCs w:val="22"/>
        </w:rPr>
        <w:t>, 117.</w:t>
      </w:r>
    </w:p>
  </w:footnote>
  <w:footnote w:id="73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Collins, </w:t>
      </w:r>
      <w:r w:rsidRPr="00A42549">
        <w:rPr>
          <w:i/>
          <w:sz w:val="22"/>
          <w:szCs w:val="22"/>
        </w:rPr>
        <w:t>Daniel</w:t>
      </w:r>
      <w:r w:rsidRPr="00A42549">
        <w:rPr>
          <w:sz w:val="22"/>
          <w:szCs w:val="22"/>
        </w:rPr>
        <w:t xml:space="preserve">, 221; Pace, </w:t>
      </w:r>
      <w:r w:rsidRPr="00A42549">
        <w:rPr>
          <w:i/>
          <w:sz w:val="22"/>
          <w:szCs w:val="22"/>
        </w:rPr>
        <w:t>Daniel</w:t>
      </w:r>
      <w:r w:rsidRPr="00A42549">
        <w:rPr>
          <w:sz w:val="22"/>
          <w:szCs w:val="22"/>
        </w:rPr>
        <w:t xml:space="preserve">. 124-25; Newsom, </w:t>
      </w:r>
      <w:r w:rsidRPr="00A42549">
        <w:rPr>
          <w:i/>
          <w:sz w:val="22"/>
          <w:szCs w:val="22"/>
        </w:rPr>
        <w:t>Daniel</w:t>
      </w:r>
      <w:r w:rsidRPr="00A42549">
        <w:rPr>
          <w:sz w:val="22"/>
          <w:szCs w:val="22"/>
        </w:rPr>
        <w:t>, 134.</w:t>
      </w:r>
    </w:p>
  </w:footnote>
  <w:footnote w:id="73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Ps-Saadia, on the passage.</w:t>
      </w:r>
    </w:p>
  </w:footnote>
  <w:footnote w:id="73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Lys, </w:t>
      </w:r>
      <w:r w:rsidRPr="00A42549">
        <w:rPr>
          <w:i/>
          <w:sz w:val="22"/>
          <w:szCs w:val="22"/>
        </w:rPr>
        <w:t>Ruach</w:t>
      </w:r>
      <w:r w:rsidRPr="00A42549">
        <w:rPr>
          <w:sz w:val="22"/>
          <w:szCs w:val="22"/>
        </w:rPr>
        <w:t>, 252–55.</w:t>
      </w:r>
    </w:p>
  </w:footnote>
  <w:footnote w:id="73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G. van der Leeuw, </w:t>
      </w:r>
      <w:r w:rsidRPr="00A42549">
        <w:rPr>
          <w:i/>
          <w:sz w:val="22"/>
          <w:szCs w:val="22"/>
        </w:rPr>
        <w:t>Religion in Essence and Manifestation</w:t>
      </w:r>
      <w:r w:rsidRPr="00A42549">
        <w:rPr>
          <w:sz w:val="22"/>
          <w:szCs w:val="22"/>
        </w:rPr>
        <w:t xml:space="preserve">, chap. 5.3; Eliade, </w:t>
      </w:r>
      <w:r w:rsidRPr="00A42549">
        <w:rPr>
          <w:i/>
          <w:sz w:val="22"/>
          <w:szCs w:val="22"/>
        </w:rPr>
        <w:t>Patterns in Comparative Religion</w:t>
      </w:r>
      <w:r w:rsidRPr="00A42549">
        <w:rPr>
          <w:sz w:val="22"/>
          <w:szCs w:val="22"/>
        </w:rPr>
        <w:t>, chap. 8; Cook</w:t>
      </w:r>
      <w:r w:rsidRPr="00A42549">
        <w:rPr>
          <w:b/>
          <w:sz w:val="22"/>
          <w:szCs w:val="22"/>
        </w:rPr>
        <w:t xml:space="preserve">, </w:t>
      </w:r>
      <w:r w:rsidRPr="00A42549">
        <w:rPr>
          <w:sz w:val="22"/>
          <w:szCs w:val="22"/>
        </w:rPr>
        <w:t>“Mythological Discourse In Ezekiel and Daniel.” Bunta (“</w:t>
      </w:r>
      <w:r w:rsidRPr="00A42549">
        <w:rPr>
          <w:rFonts w:eastAsiaTheme="minorHAnsi" w:cs="AGOptimaCyr-Bold"/>
          <w:bCs/>
          <w:sz w:val="22"/>
          <w:szCs w:val="22"/>
        </w:rPr>
        <w:t xml:space="preserve">The </w:t>
      </w:r>
      <w:r w:rsidRPr="00A42549">
        <w:rPr>
          <w:rFonts w:eastAsiaTheme="minorHAnsi" w:cs="AGOptimaCyr-BoldOblique"/>
          <w:bCs/>
          <w:i/>
          <w:iCs/>
          <w:sz w:val="22"/>
          <w:szCs w:val="22"/>
        </w:rPr>
        <w:t>Mēs</w:t>
      </w:r>
      <w:r w:rsidRPr="00A42549">
        <w:rPr>
          <w:rFonts w:eastAsiaTheme="minorHAnsi" w:cs="MSTT31c457"/>
          <w:i/>
          <w:sz w:val="22"/>
          <w:szCs w:val="22"/>
        </w:rPr>
        <w:t>u</w:t>
      </w:r>
      <w:r w:rsidRPr="00A42549">
        <w:rPr>
          <w:rFonts w:eastAsiaTheme="minorHAnsi" w:cs="AGOptimaCyr-Bold"/>
          <w:bCs/>
          <w:sz w:val="22"/>
          <w:szCs w:val="22"/>
        </w:rPr>
        <w:t xml:space="preserve">-tree and the Animal Inside”) sees a background in the Mesopotamian </w:t>
      </w:r>
      <w:r w:rsidRPr="00A42549">
        <w:rPr>
          <w:rFonts w:eastAsiaTheme="minorHAnsi" w:cs="AGOptimaCyr-Bold"/>
          <w:bCs/>
          <w:i/>
          <w:iCs/>
          <w:sz w:val="22"/>
          <w:szCs w:val="22"/>
        </w:rPr>
        <w:t>mēs</w:t>
      </w:r>
      <w:r w:rsidRPr="00A42549">
        <w:rPr>
          <w:rFonts w:eastAsiaTheme="minorHAnsi" w:cs="AGOptimaCyr-Bold"/>
          <w:bCs/>
          <w:i/>
          <w:sz w:val="22"/>
          <w:szCs w:val="22"/>
        </w:rPr>
        <w:t>u</w:t>
      </w:r>
      <w:r w:rsidRPr="00A42549">
        <w:rPr>
          <w:rFonts w:eastAsiaTheme="minorHAnsi" w:cs="AGOptimaCyr-Bold"/>
          <w:bCs/>
          <w:sz w:val="22"/>
          <w:szCs w:val="22"/>
        </w:rPr>
        <w:t>-tree.</w:t>
      </w:r>
    </w:p>
  </w:footnote>
  <w:footnote w:id="73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Langdon, </w:t>
      </w:r>
      <w:r w:rsidRPr="00A42549">
        <w:rPr>
          <w:i/>
          <w:sz w:val="22"/>
          <w:szCs w:val="22"/>
        </w:rPr>
        <w:t>Building Inscriptions of the Neo-Babylonian Empire</w:t>
      </w:r>
      <w:r w:rsidRPr="00A42549">
        <w:rPr>
          <w:sz w:val="22"/>
          <w:szCs w:val="22"/>
        </w:rPr>
        <w:t>, no. 19.</w:t>
      </w:r>
    </w:p>
  </w:footnote>
  <w:footnote w:id="73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Engnell, </w:t>
      </w:r>
      <w:r w:rsidRPr="00A42549">
        <w:rPr>
          <w:i/>
          <w:sz w:val="22"/>
          <w:szCs w:val="22"/>
        </w:rPr>
        <w:t>Studies in Divine Kingship</w:t>
      </w:r>
      <w:r w:rsidRPr="00A42549">
        <w:rPr>
          <w:sz w:val="22"/>
          <w:szCs w:val="22"/>
        </w:rPr>
        <w:t xml:space="preserve">, 25–30; Widengren, </w:t>
      </w:r>
      <w:r w:rsidRPr="00A42549">
        <w:rPr>
          <w:i/>
          <w:sz w:val="22"/>
          <w:szCs w:val="22"/>
        </w:rPr>
        <w:t>The King and the Tree of Life</w:t>
      </w:r>
      <w:r w:rsidRPr="00A42549">
        <w:rPr>
          <w:sz w:val="22"/>
          <w:szCs w:val="22"/>
        </w:rPr>
        <w:t xml:space="preserve">, 42–58; further references in Koch, </w:t>
      </w:r>
      <w:r w:rsidRPr="00A42549">
        <w:rPr>
          <w:i/>
          <w:sz w:val="22"/>
          <w:szCs w:val="22"/>
        </w:rPr>
        <w:t>Daniel 1—4</w:t>
      </w:r>
      <w:r w:rsidRPr="00A42549">
        <w:rPr>
          <w:sz w:val="22"/>
          <w:szCs w:val="22"/>
        </w:rPr>
        <w:t xml:space="preserve">, 424-26; and on the iconography, see </w:t>
      </w:r>
      <w:r w:rsidRPr="00A42549">
        <w:rPr>
          <w:iCs/>
          <w:sz w:val="22"/>
          <w:szCs w:val="22"/>
        </w:rPr>
        <w:t>Koch</w:t>
      </w:r>
      <w:r w:rsidRPr="00A42549">
        <w:rPr>
          <w:b/>
          <w:iCs/>
          <w:sz w:val="22"/>
          <w:szCs w:val="22"/>
        </w:rPr>
        <w:t>,</w:t>
      </w:r>
      <w:r w:rsidRPr="00A42549">
        <w:rPr>
          <w:sz w:val="22"/>
          <w:szCs w:val="22"/>
        </w:rPr>
        <w:t>“Gottes Herrschaft über das Reich des Menschen.”</w:t>
      </w:r>
    </w:p>
  </w:footnote>
  <w:footnote w:id="73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Buschhaus, “</w:t>
      </w:r>
      <w:r w:rsidRPr="00A42549">
        <w:rPr>
          <w:rFonts w:eastAsiaTheme="minorHAnsi" w:cs="Times New Roman"/>
          <w:sz w:val="22"/>
          <w:szCs w:val="22"/>
        </w:rPr>
        <w:t>Anunnakkū und Igigū im Buch Daniel,” notes the need for some clarification of the terms.</w:t>
      </w:r>
    </w:p>
  </w:footnote>
  <w:footnote w:id="73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Collins, </w:t>
      </w:r>
      <w:r w:rsidRPr="00A42549">
        <w:rPr>
          <w:i/>
          <w:sz w:val="22"/>
          <w:szCs w:val="22"/>
        </w:rPr>
        <w:t>Daniel</w:t>
      </w:r>
      <w:r w:rsidRPr="00A42549">
        <w:rPr>
          <w:sz w:val="22"/>
          <w:szCs w:val="22"/>
        </w:rPr>
        <w:t>, 224-25.</w:t>
      </w:r>
    </w:p>
  </w:footnote>
  <w:footnote w:id="740">
    <w:p w:rsidR="00786194" w:rsidRPr="00A42549" w:rsidRDefault="00786194" w:rsidP="00B453A3">
      <w:pPr>
        <w:pStyle w:val="FootnoteText"/>
        <w:rPr>
          <w:sz w:val="22"/>
          <w:szCs w:val="22"/>
        </w:rPr>
      </w:pPr>
      <w:r w:rsidRPr="00A42549">
        <w:rPr>
          <w:rStyle w:val="FootnoteReference"/>
          <w:sz w:val="22"/>
          <w:szCs w:val="22"/>
        </w:rPr>
        <w:footnoteRef/>
      </w:r>
      <w:r w:rsidRPr="00A42549">
        <w:rPr>
          <w:sz w:val="22"/>
          <w:szCs w:val="22"/>
        </w:rPr>
        <w:t xml:space="preserve"> Cf. Murray, “The Origin of Aramaic </w:t>
      </w:r>
      <w:r w:rsidRPr="00A42549">
        <w:rPr>
          <w:i/>
          <w:sz w:val="22"/>
          <w:szCs w:val="22"/>
        </w:rPr>
        <w:t>‘îr</w:t>
      </w:r>
      <w:r w:rsidRPr="00A42549">
        <w:rPr>
          <w:sz w:val="22"/>
          <w:szCs w:val="22"/>
        </w:rPr>
        <w:t>.”</w:t>
      </w:r>
    </w:p>
  </w:footnote>
  <w:footnote w:id="74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Against Eichrodt, </w:t>
      </w:r>
      <w:r w:rsidRPr="00A42549">
        <w:rPr>
          <w:i/>
          <w:sz w:val="22"/>
          <w:szCs w:val="22"/>
        </w:rPr>
        <w:t>Theologie</w:t>
      </w:r>
      <w:r w:rsidRPr="00A42549">
        <w:rPr>
          <w:sz w:val="22"/>
          <w:szCs w:val="22"/>
        </w:rPr>
        <w:t xml:space="preserve"> 2:105 (ET 199).</w:t>
      </w:r>
    </w:p>
  </w:footnote>
  <w:footnote w:id="74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Jerome, </w:t>
      </w:r>
      <w:r w:rsidRPr="00A42549">
        <w:rPr>
          <w:i/>
          <w:sz w:val="22"/>
          <w:szCs w:val="22"/>
        </w:rPr>
        <w:t>Daniel</w:t>
      </w:r>
      <w:r w:rsidRPr="00A42549">
        <w:rPr>
          <w:sz w:val="22"/>
          <w:szCs w:val="22"/>
        </w:rPr>
        <w:t>, 51.</w:t>
      </w:r>
    </w:p>
  </w:footnote>
  <w:footnote w:id="74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
          <w:sz w:val="22"/>
          <w:szCs w:val="22"/>
        </w:rPr>
        <w:t>ANET</w:t>
      </w:r>
      <w:r w:rsidRPr="00A42549">
        <w:rPr>
          <w:sz w:val="22"/>
          <w:szCs w:val="22"/>
        </w:rPr>
        <w:t>, 538; cf.</w:t>
      </w:r>
      <w:r w:rsidRPr="00A42549">
        <w:rPr>
          <w:i/>
          <w:sz w:val="22"/>
          <w:szCs w:val="22"/>
        </w:rPr>
        <w:t xml:space="preserve"> </w:t>
      </w:r>
      <w:r w:rsidRPr="00A42549">
        <w:rPr>
          <w:sz w:val="22"/>
          <w:szCs w:val="22"/>
        </w:rPr>
        <w:t xml:space="preserve">Grelot, </w:t>
      </w:r>
      <w:r w:rsidRPr="00A42549">
        <w:rPr>
          <w:bCs/>
          <w:sz w:val="22"/>
          <w:szCs w:val="22"/>
        </w:rPr>
        <w:t>“Nabuchodonosor changé en bête.”</w:t>
      </w:r>
    </w:p>
  </w:footnote>
  <w:footnote w:id="74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Rabinowitz, “A Legal Formula in the Book of Daniel”; Hurvitz, “The History of a Legal Formula”; and references.</w:t>
      </w:r>
    </w:p>
  </w:footnote>
  <w:footnote w:id="745">
    <w:p w:rsidR="00786194" w:rsidRPr="00A42549" w:rsidRDefault="00786194" w:rsidP="002F40E3">
      <w:pPr>
        <w:pStyle w:val="FootnoteText"/>
        <w:rPr>
          <w:sz w:val="22"/>
          <w:szCs w:val="22"/>
        </w:rPr>
      </w:pPr>
      <w:r w:rsidRPr="00A42549">
        <w:rPr>
          <w:rStyle w:val="FootnoteReference"/>
          <w:sz w:val="22"/>
          <w:szCs w:val="22"/>
        </w:rPr>
        <w:footnoteRef/>
      </w:r>
      <w:r w:rsidRPr="00A42549">
        <w:rPr>
          <w:sz w:val="22"/>
          <w:szCs w:val="22"/>
        </w:rPr>
        <w:t xml:space="preserve"> Smith-Christopher, “Daniel,” 75.</w:t>
      </w:r>
    </w:p>
  </w:footnote>
  <w:footnote w:id="746">
    <w:p w:rsidR="00786194" w:rsidRPr="00A42549" w:rsidRDefault="00786194" w:rsidP="00E42707">
      <w:pPr>
        <w:pStyle w:val="FootnoteText"/>
        <w:rPr>
          <w:sz w:val="22"/>
          <w:szCs w:val="22"/>
        </w:rPr>
      </w:pPr>
      <w:r w:rsidRPr="00A42549">
        <w:rPr>
          <w:rStyle w:val="FootnoteReference"/>
          <w:sz w:val="22"/>
          <w:szCs w:val="22"/>
        </w:rPr>
        <w:footnoteRef/>
      </w:r>
      <w:r w:rsidRPr="00A42549">
        <w:rPr>
          <w:sz w:val="22"/>
          <w:szCs w:val="22"/>
        </w:rPr>
        <w:t xml:space="preserve"> See their commentaries in </w:t>
      </w:r>
      <w:r w:rsidRPr="00A42549">
        <w:rPr>
          <w:rFonts w:ascii="Arial" w:hAnsi="Arial" w:cs="Arial"/>
          <w:sz w:val="22"/>
          <w:szCs w:val="22"/>
        </w:rPr>
        <w:t>גדולות</w:t>
      </w:r>
      <w:r w:rsidRPr="00A42549">
        <w:rPr>
          <w:sz w:val="22"/>
          <w:szCs w:val="22"/>
        </w:rPr>
        <w:t xml:space="preserve"> </w:t>
      </w:r>
      <w:r w:rsidRPr="00A42549">
        <w:rPr>
          <w:rFonts w:ascii="Arial" w:hAnsi="Arial" w:cs="Arial"/>
          <w:sz w:val="22"/>
          <w:szCs w:val="22"/>
        </w:rPr>
        <w:t>מקראות</w:t>
      </w:r>
      <w:r w:rsidRPr="00A42549">
        <w:rPr>
          <w:sz w:val="22"/>
          <w:szCs w:val="22"/>
        </w:rPr>
        <w:t xml:space="preserve"> on the passage.</w:t>
      </w:r>
    </w:p>
  </w:footnote>
  <w:footnote w:id="74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Plöger, </w:t>
      </w:r>
      <w:r w:rsidRPr="00A42549">
        <w:rPr>
          <w:i/>
          <w:sz w:val="22"/>
          <w:szCs w:val="22"/>
        </w:rPr>
        <w:t>Daniel</w:t>
      </w:r>
      <w:r w:rsidRPr="00A42549">
        <w:rPr>
          <w:sz w:val="22"/>
          <w:szCs w:val="22"/>
        </w:rPr>
        <w:t>, on the passage.</w:t>
      </w:r>
    </w:p>
  </w:footnote>
  <w:footnote w:id="74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Vattioni, “Aspetti del culto del signore dei cieli,” esp. 498,  48.</w:t>
      </w:r>
    </w:p>
  </w:footnote>
  <w:footnote w:id="74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Appler</w:t>
      </w:r>
      <w:r w:rsidRPr="00A42549">
        <w:rPr>
          <w:b/>
          <w:sz w:val="22"/>
          <w:szCs w:val="22"/>
        </w:rPr>
        <w:t xml:space="preserve">, </w:t>
      </w:r>
      <w:r w:rsidRPr="00A42549">
        <w:rPr>
          <w:sz w:val="22"/>
          <w:szCs w:val="22"/>
        </w:rPr>
        <w:t>“Digging in the Claws,” 125.</w:t>
      </w:r>
    </w:p>
  </w:footnote>
  <w:footnote w:id="750">
    <w:p w:rsidR="00786194" w:rsidRPr="00A42549" w:rsidRDefault="00786194" w:rsidP="00482476">
      <w:pPr>
        <w:pStyle w:val="FootnoteText"/>
        <w:rPr>
          <w:sz w:val="22"/>
          <w:szCs w:val="22"/>
        </w:rPr>
      </w:pPr>
      <w:r w:rsidRPr="00A42549">
        <w:rPr>
          <w:rStyle w:val="FootnoteReference"/>
          <w:sz w:val="22"/>
          <w:szCs w:val="22"/>
        </w:rPr>
        <w:footnoteRef/>
      </w:r>
      <w:r w:rsidRPr="00A42549">
        <w:rPr>
          <w:sz w:val="22"/>
          <w:szCs w:val="22"/>
        </w:rPr>
        <w:t xml:space="preserve"> Meadowcroft</w:t>
      </w:r>
      <w:r w:rsidRPr="00A42549">
        <w:rPr>
          <w:b/>
          <w:sz w:val="22"/>
          <w:szCs w:val="22"/>
        </w:rPr>
        <w:t xml:space="preserve">, </w:t>
      </w:r>
      <w:r w:rsidRPr="00A42549">
        <w:rPr>
          <w:iCs/>
          <w:sz w:val="22"/>
          <w:szCs w:val="22"/>
        </w:rPr>
        <w:t>“</w:t>
      </w:r>
      <w:r w:rsidRPr="00A42549">
        <w:rPr>
          <w:sz w:val="22"/>
          <w:szCs w:val="22"/>
        </w:rPr>
        <w:t>Metaphor, Narrative, Interpretation and Reader in Daniel 2—5,” 271.</w:t>
      </w:r>
    </w:p>
  </w:footnote>
  <w:footnote w:id="75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Appler</w:t>
      </w:r>
      <w:r w:rsidRPr="00A42549">
        <w:rPr>
          <w:b/>
          <w:sz w:val="22"/>
          <w:szCs w:val="22"/>
        </w:rPr>
        <w:t xml:space="preserve">, </w:t>
      </w:r>
      <w:r w:rsidRPr="00A42549">
        <w:rPr>
          <w:sz w:val="22"/>
          <w:szCs w:val="22"/>
        </w:rPr>
        <w:t>“Digging in the Claws,” 136, quoting from Brueggemann, “At the Mercy of Babylon,” 14.</w:t>
      </w:r>
    </w:p>
  </w:footnote>
  <w:footnote w:id="75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Langdon, </w:t>
      </w:r>
      <w:r w:rsidRPr="00A42549">
        <w:rPr>
          <w:i/>
          <w:sz w:val="22"/>
          <w:szCs w:val="22"/>
        </w:rPr>
        <w:t>Building Inscriptions of the Neo-Babylonian Empire</w:t>
      </w:r>
      <w:r w:rsidRPr="00A42549">
        <w:rPr>
          <w:sz w:val="22"/>
          <w:szCs w:val="22"/>
        </w:rPr>
        <w:t xml:space="preserve">; excerpts in Driver, </w:t>
      </w:r>
      <w:r w:rsidRPr="00A42549">
        <w:rPr>
          <w:i/>
          <w:sz w:val="22"/>
          <w:szCs w:val="22"/>
        </w:rPr>
        <w:t>Daniel</w:t>
      </w:r>
      <w:r w:rsidRPr="00A42549">
        <w:rPr>
          <w:sz w:val="22"/>
          <w:szCs w:val="22"/>
        </w:rPr>
        <w:t>,</w:t>
      </w:r>
      <w:r w:rsidRPr="00A42549">
        <w:rPr>
          <w:i/>
          <w:sz w:val="22"/>
          <w:szCs w:val="22"/>
        </w:rPr>
        <w:t xml:space="preserve"> </w:t>
      </w:r>
      <w:r w:rsidRPr="00A42549">
        <w:rPr>
          <w:sz w:val="22"/>
          <w:szCs w:val="22"/>
        </w:rPr>
        <w:t>xxiv–xxv.</w:t>
      </w:r>
    </w:p>
  </w:footnote>
  <w:footnote w:id="75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Koldewey, </w:t>
      </w:r>
      <w:r w:rsidRPr="00A42549">
        <w:rPr>
          <w:i/>
          <w:sz w:val="22"/>
          <w:szCs w:val="22"/>
        </w:rPr>
        <w:t>The Excavations at Babylon</w:t>
      </w:r>
      <w:r w:rsidRPr="00A42549">
        <w:rPr>
          <w:sz w:val="22"/>
          <w:szCs w:val="22"/>
        </w:rPr>
        <w:t xml:space="preserve">; Parrot, </w:t>
      </w:r>
      <w:r w:rsidRPr="00A42549">
        <w:rPr>
          <w:i/>
          <w:sz w:val="22"/>
          <w:szCs w:val="22"/>
        </w:rPr>
        <w:t>Babylon and the OT</w:t>
      </w:r>
      <w:r w:rsidRPr="00A42549">
        <w:rPr>
          <w:sz w:val="22"/>
          <w:szCs w:val="22"/>
        </w:rPr>
        <w:t xml:space="preserve">; Wiseman, </w:t>
      </w:r>
      <w:r w:rsidRPr="00A42549">
        <w:rPr>
          <w:i/>
          <w:sz w:val="22"/>
          <w:szCs w:val="22"/>
        </w:rPr>
        <w:t>Nebuchadrezzar and Babylon</w:t>
      </w:r>
      <w:r w:rsidRPr="00A42549">
        <w:rPr>
          <w:sz w:val="22"/>
          <w:szCs w:val="22"/>
        </w:rPr>
        <w:t xml:space="preserve">; Langdon, </w:t>
      </w:r>
      <w:r w:rsidRPr="00A42549">
        <w:rPr>
          <w:i/>
          <w:sz w:val="22"/>
          <w:szCs w:val="22"/>
        </w:rPr>
        <w:t>Building Inscriptions of the Neo-Babylonian Empire</w:t>
      </w:r>
      <w:r w:rsidRPr="00A42549">
        <w:rPr>
          <w:sz w:val="22"/>
          <w:szCs w:val="22"/>
        </w:rPr>
        <w:t xml:space="preserve">; Kuhrt, </w:t>
      </w:r>
      <w:r w:rsidRPr="00A42549">
        <w:rPr>
          <w:i/>
          <w:sz w:val="22"/>
          <w:szCs w:val="22"/>
        </w:rPr>
        <w:t xml:space="preserve">The Ancient Near East </w:t>
      </w:r>
      <w:r w:rsidRPr="00A42549">
        <w:rPr>
          <w:sz w:val="22"/>
          <w:szCs w:val="22"/>
        </w:rPr>
        <w:t xml:space="preserve">2:593-97; for other ancient testimony to his achievements both as soldier and as builder, quotations in Josephus, </w:t>
      </w:r>
      <w:r w:rsidRPr="00A42549">
        <w:rPr>
          <w:i/>
          <w:sz w:val="22"/>
          <w:szCs w:val="22"/>
        </w:rPr>
        <w:t>Antiquities</w:t>
      </w:r>
      <w:r w:rsidRPr="00A42549">
        <w:rPr>
          <w:sz w:val="22"/>
          <w:szCs w:val="22"/>
        </w:rPr>
        <w:t xml:space="preserve"> 10.11.1 [10.219–28]; </w:t>
      </w:r>
      <w:r w:rsidRPr="00A42549">
        <w:rPr>
          <w:i/>
          <w:sz w:val="22"/>
          <w:szCs w:val="22"/>
        </w:rPr>
        <w:t>Against Apion</w:t>
      </w:r>
      <w:r w:rsidRPr="00A42549">
        <w:rPr>
          <w:sz w:val="22"/>
          <w:szCs w:val="22"/>
        </w:rPr>
        <w:t xml:space="preserve"> 1.19 [128–41]; and for the motif of the proud king risking divine judgment, Herodotus, </w:t>
      </w:r>
      <w:r w:rsidRPr="00A42549">
        <w:rPr>
          <w:i/>
          <w:sz w:val="22"/>
          <w:szCs w:val="22"/>
        </w:rPr>
        <w:t>Histories</w:t>
      </w:r>
      <w:r w:rsidRPr="00A42549">
        <w:rPr>
          <w:sz w:val="22"/>
          <w:szCs w:val="22"/>
        </w:rPr>
        <w:t xml:space="preserve"> 7.10.</w:t>
      </w:r>
    </w:p>
  </w:footnote>
  <w:footnote w:id="75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Newsom, </w:t>
      </w:r>
      <w:r w:rsidRPr="00A42549">
        <w:rPr>
          <w:i/>
          <w:sz w:val="22"/>
          <w:szCs w:val="22"/>
        </w:rPr>
        <w:t>Daniel</w:t>
      </w:r>
      <w:r w:rsidRPr="00A42549">
        <w:rPr>
          <w:sz w:val="22"/>
          <w:szCs w:val="22"/>
        </w:rPr>
        <w:t>, 146.</w:t>
      </w:r>
    </w:p>
  </w:footnote>
  <w:footnote w:id="75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Ps-Saadia on the passage.</w:t>
      </w:r>
    </w:p>
  </w:footnote>
  <w:footnote w:id="75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Baldwin, </w:t>
      </w:r>
      <w:r w:rsidRPr="00A42549">
        <w:rPr>
          <w:i/>
          <w:sz w:val="22"/>
          <w:szCs w:val="22"/>
        </w:rPr>
        <w:t>Daniel</w:t>
      </w:r>
      <w:r w:rsidRPr="00A42549">
        <w:rPr>
          <w:sz w:val="22"/>
          <w:szCs w:val="22"/>
        </w:rPr>
        <w:t>, on the passage.</w:t>
      </w:r>
    </w:p>
  </w:footnote>
  <w:footnote w:id="75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Hays, “Chirps from the Dust”; quotation from 324. Jerome reports and dismisses the view that Nebuchadnezzar himself stands for Satan (</w:t>
      </w:r>
      <w:r w:rsidRPr="00A42549">
        <w:rPr>
          <w:i/>
          <w:sz w:val="22"/>
          <w:szCs w:val="22"/>
        </w:rPr>
        <w:t>Daniel</w:t>
      </w:r>
      <w:r w:rsidRPr="00A42549">
        <w:rPr>
          <w:sz w:val="22"/>
          <w:szCs w:val="22"/>
        </w:rPr>
        <w:t>, 46-47).</w:t>
      </w:r>
    </w:p>
  </w:footnote>
  <w:footnote w:id="75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Basson</w:t>
      </w:r>
      <w:r w:rsidRPr="00A42549">
        <w:rPr>
          <w:b/>
          <w:sz w:val="22"/>
          <w:szCs w:val="22"/>
        </w:rPr>
        <w:t>,</w:t>
      </w:r>
      <w:r w:rsidRPr="00A42549">
        <w:rPr>
          <w:sz w:val="22"/>
          <w:szCs w:val="22"/>
        </w:rPr>
        <w:t>“‘A King in the Grass.’”</w:t>
      </w:r>
    </w:p>
  </w:footnote>
  <w:footnote w:id="75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Young, </w:t>
      </w:r>
      <w:r w:rsidRPr="00A42549">
        <w:rPr>
          <w:i/>
          <w:sz w:val="22"/>
          <w:szCs w:val="22"/>
        </w:rPr>
        <w:t>Daniel</w:t>
      </w:r>
      <w:r w:rsidRPr="00A42549">
        <w:rPr>
          <w:sz w:val="22"/>
          <w:szCs w:val="22"/>
        </w:rPr>
        <w:t>, on the passage.</w:t>
      </w:r>
    </w:p>
  </w:footnote>
  <w:footnote w:id="76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Bentzen, </w:t>
      </w:r>
      <w:r w:rsidRPr="00A42549">
        <w:rPr>
          <w:i/>
          <w:sz w:val="22"/>
          <w:szCs w:val="22"/>
        </w:rPr>
        <w:t>Daniel</w:t>
      </w:r>
      <w:r w:rsidRPr="00A42549">
        <w:rPr>
          <w:sz w:val="22"/>
          <w:szCs w:val="22"/>
        </w:rPr>
        <w:t>, on the passage.</w:t>
      </w:r>
    </w:p>
  </w:footnote>
  <w:footnote w:id="7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Hippolytus, </w:t>
      </w:r>
      <w:r w:rsidRPr="00A42549">
        <w:rPr>
          <w:i/>
          <w:sz w:val="22"/>
          <w:szCs w:val="22"/>
        </w:rPr>
        <w:t xml:space="preserve">Daniel </w:t>
      </w:r>
      <w:r w:rsidRPr="00A42549">
        <w:rPr>
          <w:sz w:val="22"/>
          <w:szCs w:val="22"/>
        </w:rPr>
        <w:t>3.6.</w:t>
      </w:r>
    </w:p>
  </w:footnote>
  <w:footnote w:id="76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Brueggemann, </w:t>
      </w:r>
      <w:r w:rsidRPr="00A42549">
        <w:rPr>
          <w:rFonts w:eastAsiaTheme="minorHAnsi" w:cs="Times New Roman"/>
          <w:sz w:val="22"/>
          <w:szCs w:val="22"/>
        </w:rPr>
        <w:t>“The Non-negotiable Price of Sanity,” 33.</w:t>
      </w:r>
    </w:p>
  </w:footnote>
  <w:footnote w:id="76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Saadia, </w:t>
      </w:r>
      <w:r w:rsidRPr="00A42549">
        <w:rPr>
          <w:i/>
          <w:sz w:val="22"/>
          <w:szCs w:val="22"/>
        </w:rPr>
        <w:t>Daniel</w:t>
      </w:r>
      <w:r w:rsidRPr="00A42549">
        <w:rPr>
          <w:sz w:val="22"/>
          <w:szCs w:val="22"/>
        </w:rPr>
        <w:t>, 484.</w:t>
      </w:r>
    </w:p>
  </w:footnote>
  <w:footnote w:id="76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Lucas, </w:t>
      </w:r>
      <w:r w:rsidRPr="00A42549">
        <w:rPr>
          <w:i/>
          <w:sz w:val="22"/>
          <w:szCs w:val="22"/>
        </w:rPr>
        <w:t>Daniel</w:t>
      </w:r>
      <w:r w:rsidRPr="00A42549">
        <w:rPr>
          <w:sz w:val="22"/>
          <w:szCs w:val="22"/>
        </w:rPr>
        <w:t>, 114.</w:t>
      </w:r>
    </w:p>
  </w:footnote>
  <w:footnote w:id="76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Barth, </w:t>
      </w:r>
      <w:r w:rsidRPr="00A42549">
        <w:rPr>
          <w:i/>
          <w:sz w:val="22"/>
          <w:szCs w:val="22"/>
        </w:rPr>
        <w:t>CD</w:t>
      </w:r>
      <w:r w:rsidRPr="00A42549">
        <w:rPr>
          <w:sz w:val="22"/>
          <w:szCs w:val="22"/>
        </w:rPr>
        <w:t xml:space="preserve"> iii, 3:460–63 on the rule of the heavens and the ambassadors of God is relevant to Dan 4.</w:t>
      </w:r>
    </w:p>
  </w:footnote>
  <w:footnote w:id="76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Wink, </w:t>
      </w:r>
      <w:r w:rsidRPr="00A42549">
        <w:rPr>
          <w:i/>
          <w:sz w:val="22"/>
          <w:szCs w:val="22"/>
        </w:rPr>
        <w:t>Naming the Powers</w:t>
      </w:r>
      <w:r w:rsidRPr="00A42549">
        <w:rPr>
          <w:sz w:val="22"/>
          <w:szCs w:val="22"/>
        </w:rPr>
        <w:t xml:space="preserve">, 119. I take Wink to be referring to Alfred North Whitehead’s </w:t>
      </w:r>
      <w:r w:rsidRPr="00A42549">
        <w:rPr>
          <w:i/>
          <w:sz w:val="22"/>
          <w:szCs w:val="22"/>
        </w:rPr>
        <w:t>Religion in the Making</w:t>
      </w:r>
      <w:r w:rsidRPr="00A42549">
        <w:rPr>
          <w:sz w:val="22"/>
          <w:szCs w:val="22"/>
        </w:rPr>
        <w:t>.</w:t>
      </w:r>
    </w:p>
  </w:footnote>
  <w:footnote w:id="767">
    <w:p w:rsidR="00786194" w:rsidRPr="00A42549" w:rsidRDefault="00786194" w:rsidP="00090EBE">
      <w:pPr>
        <w:pStyle w:val="FootnoteText"/>
        <w:rPr>
          <w:i/>
          <w:sz w:val="22"/>
          <w:szCs w:val="22"/>
          <w:u w:val="single"/>
        </w:rPr>
      </w:pPr>
      <w:r w:rsidRPr="00A42549">
        <w:rPr>
          <w:rStyle w:val="FootnoteReference"/>
          <w:sz w:val="22"/>
          <w:szCs w:val="22"/>
        </w:rPr>
        <w:footnoteRef/>
      </w:r>
      <w:r w:rsidRPr="00A42549">
        <w:rPr>
          <w:sz w:val="22"/>
          <w:szCs w:val="22"/>
        </w:rPr>
        <w:t xml:space="preserve"> Cf. Nolan Fewell, </w:t>
      </w:r>
      <w:r w:rsidRPr="00A42549">
        <w:rPr>
          <w:i/>
          <w:sz w:val="22"/>
          <w:szCs w:val="22"/>
        </w:rPr>
        <w:t>Circle of Sovereignt</w:t>
      </w:r>
      <w:r w:rsidRPr="00A42549">
        <w:rPr>
          <w:sz w:val="22"/>
          <w:szCs w:val="22"/>
        </w:rPr>
        <w:t>y</w:t>
      </w:r>
      <w:r w:rsidRPr="00A42549">
        <w:rPr>
          <w:i/>
          <w:sz w:val="22"/>
          <w:szCs w:val="22"/>
        </w:rPr>
        <w:t>, 67.</w:t>
      </w:r>
    </w:p>
  </w:footnote>
  <w:footnote w:id="76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Hebbard, </w:t>
      </w:r>
      <w:r w:rsidRPr="00A42549">
        <w:rPr>
          <w:i/>
          <w:sz w:val="22"/>
          <w:szCs w:val="22"/>
        </w:rPr>
        <w:t>Reading Daniel</w:t>
      </w:r>
      <w:r w:rsidRPr="00A42549">
        <w:rPr>
          <w:sz w:val="22"/>
          <w:szCs w:val="22"/>
        </w:rPr>
        <w:t>, 119.</w:t>
      </w:r>
    </w:p>
  </w:footnote>
  <w:footnote w:id="769">
    <w:p w:rsidR="00786194" w:rsidRPr="00A42549" w:rsidRDefault="00786194" w:rsidP="00747328">
      <w:pPr>
        <w:pStyle w:val="FootnoteText"/>
        <w:rPr>
          <w:sz w:val="22"/>
          <w:szCs w:val="22"/>
        </w:rPr>
      </w:pPr>
      <w:r w:rsidRPr="00A42549">
        <w:rPr>
          <w:rStyle w:val="FootnoteReference"/>
          <w:sz w:val="22"/>
          <w:szCs w:val="22"/>
        </w:rPr>
        <w:footnoteRef/>
      </w:r>
      <w:r w:rsidRPr="00A42549">
        <w:rPr>
          <w:sz w:val="22"/>
          <w:szCs w:val="22"/>
        </w:rPr>
        <w:t xml:space="preserve"> Cf. Calvin, </w:t>
      </w:r>
      <w:r w:rsidRPr="00A42549">
        <w:rPr>
          <w:i/>
          <w:sz w:val="22"/>
          <w:szCs w:val="22"/>
        </w:rPr>
        <w:t>Daniel 1—6</w:t>
      </w:r>
      <w:r w:rsidRPr="00A42549">
        <w:rPr>
          <w:sz w:val="22"/>
          <w:szCs w:val="22"/>
        </w:rPr>
        <w:t>, 171.</w:t>
      </w:r>
    </w:p>
  </w:footnote>
  <w:footnote w:id="77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Aukerman, </w:t>
      </w:r>
      <w:r w:rsidRPr="00A42549">
        <w:rPr>
          <w:i/>
          <w:sz w:val="22"/>
          <w:szCs w:val="22"/>
        </w:rPr>
        <w:t>Darkening Valley</w:t>
      </w:r>
      <w:r w:rsidRPr="00A42549">
        <w:rPr>
          <w:sz w:val="22"/>
          <w:szCs w:val="22"/>
        </w:rPr>
        <w:t xml:space="preserve">, 99; cf. Wink, </w:t>
      </w:r>
      <w:r w:rsidRPr="00A42549">
        <w:rPr>
          <w:i/>
          <w:sz w:val="22"/>
          <w:szCs w:val="22"/>
        </w:rPr>
        <w:t>Naming the Powers</w:t>
      </w:r>
      <w:r w:rsidRPr="00A42549">
        <w:rPr>
          <w:sz w:val="22"/>
          <w:szCs w:val="22"/>
        </w:rPr>
        <w:t>, 115–16.</w:t>
      </w:r>
    </w:p>
  </w:footnote>
  <w:footnote w:id="77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the relationship between Gen 11 and Dan 4, see further Frisch</w:t>
      </w:r>
      <w:r w:rsidRPr="00A42549">
        <w:rPr>
          <w:b/>
          <w:sz w:val="22"/>
          <w:szCs w:val="22"/>
        </w:rPr>
        <w:t xml:space="preserve">, </w:t>
      </w:r>
      <w:r w:rsidRPr="00A42549">
        <w:rPr>
          <w:i/>
          <w:sz w:val="22"/>
          <w:szCs w:val="22"/>
        </w:rPr>
        <w:t>The</w:t>
      </w:r>
      <w:r w:rsidRPr="00A42549">
        <w:rPr>
          <w:b/>
          <w:i/>
          <w:sz w:val="22"/>
          <w:szCs w:val="22"/>
        </w:rPr>
        <w:t xml:space="preserve"> </w:t>
      </w:r>
      <w:r w:rsidRPr="00A42549">
        <w:rPr>
          <w:i/>
          <w:sz w:val="22"/>
          <w:szCs w:val="22"/>
        </w:rPr>
        <w:t>Danielic Discourse on Empire in Second Temple Literature</w:t>
      </w:r>
      <w:r w:rsidRPr="00A42549">
        <w:rPr>
          <w:sz w:val="22"/>
          <w:szCs w:val="22"/>
        </w:rPr>
        <w:t>, 113-16.</w:t>
      </w:r>
    </w:p>
  </w:footnote>
  <w:footnote w:id="77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Lüthi, </w:t>
      </w:r>
      <w:r w:rsidRPr="00A42549">
        <w:rPr>
          <w:i/>
          <w:sz w:val="22"/>
          <w:szCs w:val="22"/>
        </w:rPr>
        <w:t>The Church to Come</w:t>
      </w:r>
      <w:r w:rsidRPr="00A42549">
        <w:rPr>
          <w:sz w:val="22"/>
          <w:szCs w:val="22"/>
        </w:rPr>
        <w:t>, 58.</w:t>
      </w:r>
    </w:p>
  </w:footnote>
  <w:footnote w:id="77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Kennedy, “Daniel,” on the passage. For the words’ attribution to Andrew Melville, see e.g., Tranter, </w:t>
      </w:r>
      <w:r w:rsidRPr="00A42549">
        <w:rPr>
          <w:i/>
          <w:sz w:val="22"/>
          <w:szCs w:val="22"/>
        </w:rPr>
        <w:t>The Story of Scotland</w:t>
      </w:r>
      <w:r w:rsidRPr="00A42549">
        <w:rPr>
          <w:sz w:val="22"/>
          <w:szCs w:val="22"/>
        </w:rPr>
        <w:t>, 129.</w:t>
      </w:r>
    </w:p>
  </w:footnote>
  <w:footnote w:id="774">
    <w:p w:rsidR="00786194" w:rsidRPr="00A42549" w:rsidRDefault="00786194" w:rsidP="00E25055">
      <w:pPr>
        <w:pStyle w:val="FootnoteText"/>
        <w:rPr>
          <w:sz w:val="22"/>
          <w:szCs w:val="22"/>
        </w:rPr>
      </w:pPr>
      <w:r w:rsidRPr="00A42549">
        <w:rPr>
          <w:rStyle w:val="FootnoteReference"/>
          <w:sz w:val="22"/>
          <w:szCs w:val="22"/>
        </w:rPr>
        <w:footnoteRef/>
      </w:r>
      <w:r w:rsidRPr="00A42549">
        <w:rPr>
          <w:sz w:val="22"/>
          <w:szCs w:val="22"/>
        </w:rPr>
        <w:t xml:space="preserve"> Cf. Pace, </w:t>
      </w:r>
      <w:r w:rsidRPr="00A42549">
        <w:rPr>
          <w:i/>
          <w:sz w:val="22"/>
          <w:szCs w:val="22"/>
        </w:rPr>
        <w:t>Daniel</w:t>
      </w:r>
      <w:r w:rsidRPr="00A42549">
        <w:rPr>
          <w:sz w:val="22"/>
          <w:szCs w:val="22"/>
        </w:rPr>
        <w:t>, 130.</w:t>
      </w:r>
    </w:p>
  </w:footnote>
  <w:footnote w:id="775">
    <w:p w:rsidR="00786194" w:rsidRPr="00A42549" w:rsidRDefault="00786194" w:rsidP="00DC3E89">
      <w:pPr>
        <w:pStyle w:val="FootnoteText"/>
        <w:rPr>
          <w:sz w:val="22"/>
          <w:szCs w:val="22"/>
        </w:rPr>
      </w:pPr>
      <w:r w:rsidRPr="00A42549">
        <w:rPr>
          <w:rStyle w:val="FootnoteReference"/>
          <w:sz w:val="22"/>
          <w:szCs w:val="22"/>
        </w:rPr>
        <w:footnoteRef/>
      </w:r>
      <w:r w:rsidRPr="00A42549">
        <w:rPr>
          <w:sz w:val="22"/>
          <w:szCs w:val="22"/>
        </w:rPr>
        <w:t xml:space="preserve"> Wright, </w:t>
      </w:r>
      <w:r w:rsidRPr="00A42549">
        <w:rPr>
          <w:i/>
          <w:sz w:val="22"/>
          <w:szCs w:val="22"/>
        </w:rPr>
        <w:t xml:space="preserve">Hearing the Message of Daniel, </w:t>
      </w:r>
      <w:r w:rsidRPr="00A42549">
        <w:rPr>
          <w:sz w:val="22"/>
          <w:szCs w:val="22"/>
        </w:rPr>
        <w:t>100.</w:t>
      </w:r>
    </w:p>
  </w:footnote>
  <w:footnote w:id="776">
    <w:p w:rsidR="00786194" w:rsidRPr="00A42549" w:rsidRDefault="00786194" w:rsidP="005D2D9C">
      <w:pPr>
        <w:pStyle w:val="FootnoteText"/>
        <w:rPr>
          <w:sz w:val="22"/>
          <w:szCs w:val="22"/>
        </w:rPr>
      </w:pPr>
      <w:r w:rsidRPr="00A42549">
        <w:rPr>
          <w:rStyle w:val="FootnoteReference"/>
          <w:sz w:val="22"/>
          <w:szCs w:val="22"/>
        </w:rPr>
        <w:footnoteRef/>
      </w:r>
      <w:r w:rsidRPr="00A42549">
        <w:rPr>
          <w:sz w:val="22"/>
          <w:szCs w:val="22"/>
        </w:rPr>
        <w:t xml:space="preserve"> Cf. Montgomery, </w:t>
      </w:r>
      <w:r w:rsidRPr="00A42549">
        <w:rPr>
          <w:i/>
          <w:sz w:val="22"/>
          <w:szCs w:val="22"/>
        </w:rPr>
        <w:t>Daniel</w:t>
      </w:r>
      <w:r w:rsidRPr="00A42549">
        <w:rPr>
          <w:sz w:val="22"/>
          <w:szCs w:val="22"/>
        </w:rPr>
        <w:t>, 83.</w:t>
      </w:r>
    </w:p>
  </w:footnote>
  <w:footnote w:id="777">
    <w:p w:rsidR="00786194" w:rsidRPr="00A42549" w:rsidRDefault="00786194" w:rsidP="005D2D9C">
      <w:pPr>
        <w:pStyle w:val="FootnoteText"/>
        <w:rPr>
          <w:sz w:val="22"/>
          <w:szCs w:val="22"/>
        </w:rPr>
      </w:pPr>
      <w:r w:rsidRPr="00A42549">
        <w:rPr>
          <w:rStyle w:val="FootnoteReference"/>
          <w:sz w:val="22"/>
          <w:szCs w:val="22"/>
        </w:rPr>
        <w:footnoteRef/>
      </w:r>
      <w:r w:rsidRPr="00A42549">
        <w:rPr>
          <w:sz w:val="22"/>
          <w:szCs w:val="22"/>
        </w:rPr>
        <w:t xml:space="preserve"> Cf. Lucas, </w:t>
      </w:r>
      <w:r w:rsidRPr="00A42549">
        <w:rPr>
          <w:i/>
          <w:sz w:val="22"/>
          <w:szCs w:val="22"/>
        </w:rPr>
        <w:t>Daniel</w:t>
      </w:r>
      <w:r w:rsidRPr="00A42549">
        <w:rPr>
          <w:sz w:val="22"/>
          <w:szCs w:val="22"/>
        </w:rPr>
        <w:t>, 117.</w:t>
      </w:r>
    </w:p>
  </w:footnote>
  <w:footnote w:id="77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Jerome, </w:t>
      </w:r>
      <w:r w:rsidRPr="00A42549">
        <w:rPr>
          <w:i/>
          <w:sz w:val="22"/>
          <w:szCs w:val="22"/>
        </w:rPr>
        <w:t>Daniel</w:t>
      </w:r>
      <w:r w:rsidRPr="00A42549">
        <w:rPr>
          <w:sz w:val="22"/>
          <w:szCs w:val="22"/>
        </w:rPr>
        <w:t>, 51-52.</w:t>
      </w:r>
    </w:p>
  </w:footnote>
  <w:footnote w:id="779">
    <w:p w:rsidR="00786194" w:rsidRPr="00A42549" w:rsidRDefault="00786194" w:rsidP="000300C0">
      <w:pPr>
        <w:pStyle w:val="FootnoteText"/>
        <w:tabs>
          <w:tab w:val="left" w:pos="6765"/>
        </w:tabs>
        <w:rPr>
          <w:sz w:val="22"/>
          <w:szCs w:val="22"/>
        </w:rPr>
      </w:pPr>
      <w:r w:rsidRPr="00A42549">
        <w:rPr>
          <w:rStyle w:val="FootnoteReference"/>
          <w:sz w:val="22"/>
          <w:szCs w:val="22"/>
        </w:rPr>
        <w:footnoteRef/>
      </w:r>
      <w:r w:rsidRPr="00A42549">
        <w:rPr>
          <w:sz w:val="22"/>
          <w:szCs w:val="22"/>
        </w:rPr>
        <w:t xml:space="preserve"> See Langdon, </w:t>
      </w:r>
      <w:r w:rsidRPr="00A42549">
        <w:rPr>
          <w:i/>
          <w:sz w:val="22"/>
          <w:szCs w:val="22"/>
        </w:rPr>
        <w:t>Building Inscriptions of the Neo-Babylonian Empire</w:t>
      </w:r>
      <w:r w:rsidRPr="00A42549">
        <w:rPr>
          <w:sz w:val="22"/>
          <w:szCs w:val="22"/>
        </w:rPr>
        <w:t>.</w:t>
      </w:r>
      <w:r w:rsidRPr="00A42549">
        <w:rPr>
          <w:sz w:val="22"/>
          <w:szCs w:val="22"/>
        </w:rPr>
        <w:tab/>
      </w:r>
    </w:p>
  </w:footnote>
  <w:footnote w:id="780">
    <w:p w:rsidR="00786194" w:rsidRPr="00A42549" w:rsidRDefault="00786194" w:rsidP="00090EBE">
      <w:pPr>
        <w:pStyle w:val="FootnoteText"/>
        <w:rPr>
          <w:sz w:val="22"/>
          <w:szCs w:val="22"/>
        </w:rPr>
      </w:pPr>
      <w:r w:rsidRPr="00A42549">
        <w:rPr>
          <w:rStyle w:val="FootnoteReference"/>
          <w:sz w:val="22"/>
          <w:szCs w:val="22"/>
        </w:rPr>
        <w:footnoteRef/>
      </w:r>
      <w:r w:rsidRPr="00A42549">
        <w:rPr>
          <w:sz w:val="22"/>
          <w:szCs w:val="22"/>
        </w:rPr>
        <w:t xml:space="preserve"> Towner, </w:t>
      </w:r>
      <w:r w:rsidRPr="00A42549">
        <w:rPr>
          <w:i/>
          <w:sz w:val="22"/>
          <w:szCs w:val="22"/>
        </w:rPr>
        <w:t>Daniel</w:t>
      </w:r>
      <w:r w:rsidRPr="00A42549">
        <w:rPr>
          <w:sz w:val="22"/>
          <w:szCs w:val="22"/>
        </w:rPr>
        <w:t>, 63.</w:t>
      </w:r>
    </w:p>
  </w:footnote>
  <w:footnote w:id="78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Aukerman, </w:t>
      </w:r>
      <w:r w:rsidRPr="00A42549">
        <w:rPr>
          <w:i/>
          <w:sz w:val="22"/>
          <w:szCs w:val="22"/>
        </w:rPr>
        <w:t>Darkening Valley</w:t>
      </w:r>
      <w:r w:rsidRPr="00A42549">
        <w:rPr>
          <w:sz w:val="22"/>
          <w:szCs w:val="22"/>
        </w:rPr>
        <w:t>, 50–51.</w:t>
      </w:r>
    </w:p>
  </w:footnote>
  <w:footnote w:id="782">
    <w:p w:rsidR="00786194" w:rsidRPr="00A42549" w:rsidRDefault="00786194" w:rsidP="00662A49">
      <w:pPr>
        <w:pStyle w:val="FootnoteText"/>
        <w:rPr>
          <w:sz w:val="22"/>
          <w:szCs w:val="22"/>
        </w:rPr>
      </w:pPr>
      <w:r w:rsidRPr="00A42549">
        <w:rPr>
          <w:rStyle w:val="FootnoteReference"/>
          <w:sz w:val="22"/>
          <w:szCs w:val="22"/>
        </w:rPr>
        <w:footnoteRef/>
      </w:r>
      <w:r w:rsidRPr="00A42549">
        <w:rPr>
          <w:sz w:val="22"/>
          <w:szCs w:val="22"/>
        </w:rPr>
        <w:t xml:space="preserve"> Wright, </w:t>
      </w:r>
      <w:r w:rsidRPr="00A42549">
        <w:rPr>
          <w:i/>
          <w:sz w:val="22"/>
          <w:szCs w:val="22"/>
        </w:rPr>
        <w:t xml:space="preserve">Hearing the Message of Daniel, </w:t>
      </w:r>
      <w:r w:rsidRPr="00A42549">
        <w:rPr>
          <w:sz w:val="22"/>
          <w:szCs w:val="22"/>
        </w:rPr>
        <w:t>99-100.</w:t>
      </w:r>
    </w:p>
  </w:footnote>
  <w:footnote w:id="78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Joubert, </w:t>
      </w:r>
      <w:r w:rsidRPr="00A42549">
        <w:rPr>
          <w:i/>
          <w:sz w:val="22"/>
          <w:szCs w:val="22"/>
        </w:rPr>
        <w:t>Power and Responsibility in the Book of Daniel</w:t>
      </w:r>
      <w:r w:rsidRPr="00A42549">
        <w:rPr>
          <w:sz w:val="22"/>
          <w:szCs w:val="22"/>
        </w:rPr>
        <w:t>, on the passage.</w:t>
      </w:r>
    </w:p>
  </w:footnote>
  <w:footnote w:id="78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t>
      </w:r>
      <w:r w:rsidRPr="00A42549">
        <w:rPr>
          <w:i/>
          <w:sz w:val="22"/>
          <w:szCs w:val="22"/>
        </w:rPr>
        <w:t>DTT</w:t>
      </w:r>
      <w:r w:rsidRPr="00A42549">
        <w:rPr>
          <w:sz w:val="22"/>
          <w:szCs w:val="22"/>
        </w:rPr>
        <w:t xml:space="preserve"> on </w:t>
      </w:r>
      <w:r w:rsidRPr="00A42549">
        <w:rPr>
          <w:rFonts w:ascii="Arial" w:hAnsi="Arial" w:cs="Arial"/>
          <w:sz w:val="22"/>
          <w:szCs w:val="22"/>
        </w:rPr>
        <w:t>ק</w:t>
      </w:r>
      <w:r w:rsidRPr="00A42549">
        <w:rPr>
          <w:sz w:val="22"/>
          <w:szCs w:val="22"/>
        </w:rPr>
        <w:t xml:space="preserve"> </w:t>
      </w:r>
      <w:r w:rsidRPr="00A42549">
        <w:rPr>
          <w:rFonts w:ascii="Arial" w:hAnsi="Arial" w:cs="Arial"/>
          <w:sz w:val="22"/>
          <w:szCs w:val="22"/>
        </w:rPr>
        <w:t>ר פ.</w:t>
      </w:r>
    </w:p>
  </w:footnote>
  <w:footnote w:id="78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Pace, </w:t>
      </w:r>
      <w:r w:rsidRPr="00A42549">
        <w:rPr>
          <w:i/>
          <w:sz w:val="22"/>
          <w:szCs w:val="22"/>
        </w:rPr>
        <w:t>Daniel</w:t>
      </w:r>
      <w:r w:rsidRPr="00A42549">
        <w:rPr>
          <w:sz w:val="22"/>
          <w:szCs w:val="22"/>
        </w:rPr>
        <w:t>, 138.</w:t>
      </w:r>
    </w:p>
  </w:footnote>
  <w:footnote w:id="78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Theodoret, </w:t>
      </w:r>
      <w:r w:rsidRPr="00A42549">
        <w:rPr>
          <w:i/>
          <w:sz w:val="22"/>
          <w:szCs w:val="22"/>
        </w:rPr>
        <w:t>Daniel</w:t>
      </w:r>
      <w:r w:rsidRPr="00A42549">
        <w:rPr>
          <w:sz w:val="22"/>
          <w:szCs w:val="22"/>
        </w:rPr>
        <w:t>,</w:t>
      </w:r>
      <w:r w:rsidRPr="00A42549">
        <w:rPr>
          <w:i/>
          <w:sz w:val="22"/>
          <w:szCs w:val="22"/>
        </w:rPr>
        <w:t xml:space="preserve"> </w:t>
      </w:r>
      <w:r w:rsidRPr="00A42549">
        <w:rPr>
          <w:sz w:val="22"/>
          <w:szCs w:val="22"/>
        </w:rPr>
        <w:t>124-25.</w:t>
      </w:r>
    </w:p>
  </w:footnote>
  <w:footnote w:id="78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Wright, </w:t>
      </w:r>
      <w:r w:rsidRPr="00A42549">
        <w:rPr>
          <w:i/>
          <w:sz w:val="22"/>
          <w:szCs w:val="22"/>
        </w:rPr>
        <w:t xml:space="preserve">Hearing the Message of Daniel, </w:t>
      </w:r>
      <w:r w:rsidRPr="00A42549">
        <w:rPr>
          <w:sz w:val="22"/>
          <w:szCs w:val="22"/>
        </w:rPr>
        <w:t>89</w:t>
      </w:r>
    </w:p>
  </w:footnote>
  <w:footnote w:id="788">
    <w:p w:rsidR="00786194" w:rsidRPr="00A42549" w:rsidRDefault="00786194" w:rsidP="00263A61">
      <w:pPr>
        <w:pStyle w:val="FootnoteText"/>
        <w:rPr>
          <w:sz w:val="22"/>
          <w:szCs w:val="22"/>
        </w:rPr>
      </w:pPr>
      <w:r w:rsidRPr="00A42549">
        <w:rPr>
          <w:rStyle w:val="FootnoteReference"/>
          <w:sz w:val="22"/>
          <w:szCs w:val="22"/>
        </w:rPr>
        <w:footnoteRef/>
      </w:r>
      <w:r w:rsidRPr="00A42549">
        <w:rPr>
          <w:sz w:val="22"/>
          <w:szCs w:val="22"/>
        </w:rPr>
        <w:t xml:space="preserve"> Rashi in </w:t>
      </w:r>
      <w:r w:rsidRPr="00A42549">
        <w:rPr>
          <w:rFonts w:ascii="Arial" w:hAnsi="Arial" w:cs="Arial"/>
          <w:sz w:val="22"/>
          <w:szCs w:val="22"/>
        </w:rPr>
        <w:t>גדולות</w:t>
      </w:r>
      <w:r w:rsidRPr="00A42549">
        <w:rPr>
          <w:sz w:val="22"/>
          <w:szCs w:val="22"/>
        </w:rPr>
        <w:t xml:space="preserve"> </w:t>
      </w:r>
      <w:r w:rsidRPr="00A42549">
        <w:rPr>
          <w:rFonts w:ascii="Arial" w:hAnsi="Arial" w:cs="Arial"/>
          <w:sz w:val="22"/>
          <w:szCs w:val="22"/>
        </w:rPr>
        <w:t>מקראות</w:t>
      </w:r>
      <w:r w:rsidRPr="00A42549">
        <w:rPr>
          <w:sz w:val="22"/>
          <w:szCs w:val="22"/>
        </w:rPr>
        <w:t xml:space="preserve"> on the passage.</w:t>
      </w:r>
    </w:p>
  </w:footnote>
  <w:footnote w:id="789">
    <w:p w:rsidR="00786194" w:rsidRPr="00A42549" w:rsidRDefault="00786194" w:rsidP="00263A61">
      <w:pPr>
        <w:pStyle w:val="FootnoteText"/>
        <w:rPr>
          <w:sz w:val="22"/>
          <w:szCs w:val="22"/>
        </w:rPr>
      </w:pPr>
      <w:r w:rsidRPr="00A42549">
        <w:rPr>
          <w:rStyle w:val="FootnoteReference"/>
          <w:sz w:val="22"/>
          <w:szCs w:val="22"/>
        </w:rPr>
        <w:footnoteRef/>
      </w:r>
      <w:r w:rsidRPr="00A42549">
        <w:rPr>
          <w:sz w:val="22"/>
          <w:szCs w:val="22"/>
        </w:rPr>
        <w:t xml:space="preserve"> Rupert of</w:t>
      </w:r>
      <w:r w:rsidRPr="00A42549">
        <w:rPr>
          <w:b/>
          <w:sz w:val="22"/>
          <w:szCs w:val="22"/>
        </w:rPr>
        <w:t xml:space="preserve"> </w:t>
      </w:r>
      <w:r w:rsidRPr="00A42549">
        <w:rPr>
          <w:sz w:val="22"/>
          <w:szCs w:val="22"/>
        </w:rPr>
        <w:t>Deutz</w:t>
      </w:r>
      <w:r w:rsidRPr="00A42549">
        <w:rPr>
          <w:b/>
          <w:sz w:val="22"/>
          <w:szCs w:val="22"/>
        </w:rPr>
        <w:t>,</w:t>
      </w:r>
      <w:r w:rsidRPr="00A42549">
        <w:rPr>
          <w:sz w:val="22"/>
          <w:szCs w:val="22"/>
        </w:rPr>
        <w:t xml:space="preserve"> </w:t>
      </w:r>
      <w:r w:rsidRPr="00A42549">
        <w:rPr>
          <w:i/>
          <w:sz w:val="22"/>
          <w:szCs w:val="22"/>
        </w:rPr>
        <w:t>De Trinitate: in Danielem</w:t>
      </w:r>
      <w:r w:rsidRPr="00A42549">
        <w:rPr>
          <w:sz w:val="22"/>
          <w:szCs w:val="22"/>
        </w:rPr>
        <w:t>, on the passage.</w:t>
      </w:r>
    </w:p>
  </w:footnote>
  <w:footnote w:id="79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Theodoret, </w:t>
      </w:r>
      <w:r w:rsidRPr="00A42549">
        <w:rPr>
          <w:i/>
          <w:sz w:val="22"/>
          <w:szCs w:val="22"/>
        </w:rPr>
        <w:t>Daniel</w:t>
      </w:r>
      <w:r w:rsidRPr="00A42549">
        <w:rPr>
          <w:sz w:val="22"/>
          <w:szCs w:val="22"/>
        </w:rPr>
        <w:t>, on the passage.</w:t>
      </w:r>
    </w:p>
  </w:footnote>
  <w:footnote w:id="791">
    <w:p w:rsidR="00786194" w:rsidRPr="00A42549" w:rsidRDefault="00786194" w:rsidP="00263A61">
      <w:pPr>
        <w:pStyle w:val="FootnoteText"/>
        <w:rPr>
          <w:sz w:val="22"/>
          <w:szCs w:val="22"/>
        </w:rPr>
      </w:pPr>
      <w:r w:rsidRPr="00A42549">
        <w:rPr>
          <w:rStyle w:val="FootnoteReference"/>
          <w:sz w:val="22"/>
          <w:szCs w:val="22"/>
        </w:rPr>
        <w:footnoteRef/>
      </w:r>
      <w:r w:rsidRPr="00A42549">
        <w:rPr>
          <w:sz w:val="22"/>
          <w:szCs w:val="22"/>
        </w:rPr>
        <w:t xml:space="preserve"> Sumner, “Daniel,” 148.</w:t>
      </w:r>
    </w:p>
  </w:footnote>
  <w:footnote w:id="792">
    <w:p w:rsidR="00786194" w:rsidRPr="00A42549" w:rsidRDefault="00786194" w:rsidP="00A53064">
      <w:pPr>
        <w:pStyle w:val="FootnoteText"/>
        <w:rPr>
          <w:i/>
          <w:sz w:val="22"/>
          <w:szCs w:val="22"/>
        </w:rPr>
      </w:pPr>
      <w:r w:rsidRPr="00A42549">
        <w:rPr>
          <w:rStyle w:val="FootnoteReference"/>
          <w:sz w:val="22"/>
          <w:szCs w:val="22"/>
        </w:rPr>
        <w:footnoteRef/>
      </w:r>
      <w:r w:rsidRPr="00A42549">
        <w:rPr>
          <w:sz w:val="22"/>
          <w:szCs w:val="22"/>
        </w:rPr>
        <w:t xml:space="preserve"> Cf. Pascal’s </w:t>
      </w:r>
      <w:r w:rsidRPr="00A42549">
        <w:rPr>
          <w:i/>
          <w:sz w:val="22"/>
          <w:szCs w:val="22"/>
        </w:rPr>
        <w:t>Pensées</w:t>
      </w:r>
      <w:r w:rsidRPr="00A42549">
        <w:rPr>
          <w:sz w:val="22"/>
          <w:szCs w:val="22"/>
        </w:rPr>
        <w:t>, 331 (</w:t>
      </w:r>
      <w:r w:rsidRPr="00A42549">
        <w:rPr>
          <w:i/>
          <w:sz w:val="22"/>
          <w:szCs w:val="22"/>
        </w:rPr>
        <w:t xml:space="preserve">Thoughts of Blaise Pascal, </w:t>
      </w:r>
      <w:r w:rsidRPr="00A42549">
        <w:rPr>
          <w:sz w:val="22"/>
          <w:szCs w:val="22"/>
        </w:rPr>
        <w:t>129</w:t>
      </w:r>
      <w:r w:rsidRPr="00A42549">
        <w:rPr>
          <w:i/>
          <w:sz w:val="22"/>
          <w:szCs w:val="22"/>
        </w:rPr>
        <w:t>).</w:t>
      </w:r>
    </w:p>
  </w:footnote>
  <w:footnote w:id="793">
    <w:p w:rsidR="00786194" w:rsidRPr="00A42549" w:rsidRDefault="00786194" w:rsidP="00F86724">
      <w:pPr>
        <w:pStyle w:val="FootnoteText"/>
        <w:rPr>
          <w:sz w:val="22"/>
          <w:szCs w:val="22"/>
        </w:rPr>
      </w:pPr>
      <w:r w:rsidRPr="00A42549">
        <w:rPr>
          <w:rStyle w:val="FootnoteReference"/>
          <w:sz w:val="22"/>
          <w:szCs w:val="22"/>
        </w:rPr>
        <w:footnoteRef/>
      </w:r>
      <w:r w:rsidRPr="00A42549">
        <w:rPr>
          <w:sz w:val="22"/>
          <w:szCs w:val="22"/>
        </w:rPr>
        <w:t xml:space="preserve"> Towner, </w:t>
      </w:r>
      <w:r w:rsidRPr="00A42549">
        <w:rPr>
          <w:i/>
          <w:sz w:val="22"/>
          <w:szCs w:val="22"/>
        </w:rPr>
        <w:t>Daniel</w:t>
      </w:r>
      <w:r w:rsidRPr="00A42549">
        <w:rPr>
          <w:sz w:val="22"/>
          <w:szCs w:val="22"/>
        </w:rPr>
        <w:t>, 59.</w:t>
      </w:r>
    </w:p>
  </w:footnote>
  <w:footnote w:id="794">
    <w:p w:rsidR="00786194" w:rsidRPr="00A42549" w:rsidRDefault="00786194" w:rsidP="00E6244C">
      <w:pPr>
        <w:pStyle w:val="FootnoteText"/>
        <w:rPr>
          <w:sz w:val="22"/>
          <w:szCs w:val="22"/>
        </w:rPr>
      </w:pPr>
      <w:r w:rsidRPr="00A42549">
        <w:rPr>
          <w:rStyle w:val="FootnoteReference"/>
          <w:sz w:val="22"/>
          <w:szCs w:val="22"/>
        </w:rPr>
        <w:footnoteRef/>
      </w:r>
      <w:r w:rsidRPr="00A42549">
        <w:rPr>
          <w:sz w:val="22"/>
          <w:szCs w:val="22"/>
        </w:rPr>
        <w:t xml:space="preserve"> Wright, </w:t>
      </w:r>
      <w:r w:rsidRPr="00A42549">
        <w:rPr>
          <w:i/>
          <w:sz w:val="22"/>
          <w:szCs w:val="22"/>
        </w:rPr>
        <w:t xml:space="preserve">Hearing the Message of Daniel, </w:t>
      </w:r>
      <w:r w:rsidRPr="00A42549">
        <w:rPr>
          <w:sz w:val="22"/>
          <w:szCs w:val="22"/>
        </w:rPr>
        <w:t>107.</w:t>
      </w:r>
    </w:p>
  </w:footnote>
  <w:footnote w:id="795">
    <w:p w:rsidR="00786194" w:rsidRPr="00A42549" w:rsidRDefault="00786194" w:rsidP="0027518B">
      <w:pPr>
        <w:pStyle w:val="FootnoteText"/>
        <w:rPr>
          <w:sz w:val="22"/>
          <w:szCs w:val="22"/>
        </w:rPr>
      </w:pPr>
      <w:r w:rsidRPr="00A42549">
        <w:rPr>
          <w:rStyle w:val="FootnoteReference"/>
          <w:sz w:val="22"/>
          <w:szCs w:val="22"/>
        </w:rPr>
        <w:footnoteRef/>
      </w:r>
      <w:r w:rsidRPr="00A42549">
        <w:rPr>
          <w:sz w:val="22"/>
          <w:szCs w:val="22"/>
        </w:rPr>
        <w:t xml:space="preserve"> Brueggemann</w:t>
      </w:r>
      <w:r w:rsidRPr="00A42549">
        <w:rPr>
          <w:b/>
          <w:sz w:val="22"/>
          <w:szCs w:val="22"/>
        </w:rPr>
        <w:t>,</w:t>
      </w:r>
      <w:r w:rsidRPr="00A42549">
        <w:rPr>
          <w:sz w:val="22"/>
          <w:szCs w:val="22"/>
        </w:rPr>
        <w:t>“The Non-negotiable Price of Sanity,” 34.</w:t>
      </w:r>
    </w:p>
  </w:footnote>
  <w:footnote w:id="79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Barth, </w:t>
      </w:r>
      <w:r w:rsidRPr="00A42549">
        <w:rPr>
          <w:i/>
          <w:sz w:val="22"/>
          <w:szCs w:val="22"/>
        </w:rPr>
        <w:t>CD</w:t>
      </w:r>
      <w:r w:rsidRPr="00A42549">
        <w:rPr>
          <w:sz w:val="22"/>
          <w:szCs w:val="22"/>
        </w:rPr>
        <w:t xml:space="preserve"> iii, 3:461–62.</w:t>
      </w:r>
    </w:p>
  </w:footnote>
  <w:footnote w:id="79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t>
      </w:r>
      <w:r w:rsidRPr="00A42549">
        <w:rPr>
          <w:bCs/>
          <w:sz w:val="22"/>
          <w:szCs w:val="22"/>
        </w:rPr>
        <w:t>Alomía</w:t>
      </w:r>
      <w:r w:rsidRPr="00A42549">
        <w:rPr>
          <w:b/>
          <w:bCs/>
          <w:sz w:val="22"/>
          <w:szCs w:val="22"/>
        </w:rPr>
        <w:t>,</w:t>
      </w:r>
      <w:r w:rsidRPr="00A42549">
        <w:rPr>
          <w:sz w:val="22"/>
          <w:szCs w:val="22"/>
        </w:rPr>
        <w:t xml:space="preserve">, </w:t>
      </w:r>
      <w:r w:rsidRPr="00A42549">
        <w:rPr>
          <w:i/>
          <w:sz w:val="22"/>
          <w:szCs w:val="22"/>
        </w:rPr>
        <w:t xml:space="preserve">Daniel </w:t>
      </w:r>
      <w:r w:rsidRPr="00A42549">
        <w:rPr>
          <w:sz w:val="22"/>
          <w:szCs w:val="22"/>
        </w:rPr>
        <w:t>2:120, 122.</w:t>
      </w:r>
    </w:p>
  </w:footnote>
  <w:footnote w:id="79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Theodoret, </w:t>
      </w:r>
      <w:r w:rsidRPr="00A42549">
        <w:rPr>
          <w:i/>
          <w:sz w:val="22"/>
          <w:szCs w:val="22"/>
        </w:rPr>
        <w:t>Daniel</w:t>
      </w:r>
      <w:r w:rsidRPr="00A42549">
        <w:rPr>
          <w:sz w:val="22"/>
          <w:szCs w:val="22"/>
        </w:rPr>
        <w:t>,</w:t>
      </w:r>
      <w:r w:rsidRPr="00A42549">
        <w:rPr>
          <w:i/>
          <w:sz w:val="22"/>
          <w:szCs w:val="22"/>
        </w:rPr>
        <w:t xml:space="preserve"> </w:t>
      </w:r>
      <w:r w:rsidRPr="00A42549">
        <w:rPr>
          <w:sz w:val="22"/>
          <w:szCs w:val="22"/>
        </w:rPr>
        <w:t>on the passage.</w:t>
      </w:r>
    </w:p>
  </w:footnote>
  <w:footnote w:id="799">
    <w:p w:rsidR="00786194" w:rsidRPr="00A42549" w:rsidRDefault="00786194" w:rsidP="00F86724">
      <w:pPr>
        <w:pStyle w:val="FootnoteText"/>
        <w:rPr>
          <w:sz w:val="22"/>
          <w:szCs w:val="22"/>
        </w:rPr>
      </w:pPr>
      <w:r w:rsidRPr="00A42549">
        <w:rPr>
          <w:rStyle w:val="FootnoteReference"/>
          <w:sz w:val="22"/>
          <w:szCs w:val="22"/>
        </w:rPr>
        <w:footnoteRef/>
      </w:r>
      <w:r w:rsidRPr="00A42549">
        <w:rPr>
          <w:sz w:val="22"/>
          <w:szCs w:val="22"/>
        </w:rPr>
        <w:t xml:space="preserve"> Burkholder</w:t>
      </w:r>
      <w:r w:rsidRPr="00A42549">
        <w:rPr>
          <w:b/>
          <w:sz w:val="22"/>
          <w:szCs w:val="22"/>
        </w:rPr>
        <w:t>,</w:t>
      </w:r>
      <w:r w:rsidRPr="00A42549">
        <w:rPr>
          <w:sz w:val="22"/>
          <w:szCs w:val="22"/>
        </w:rPr>
        <w:t xml:space="preserve"> “Literary Patterns and God's Sovereignty in Daniel 4,” 53.</w:t>
      </w:r>
    </w:p>
  </w:footnote>
  <w:footnote w:id="80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Theodoret, </w:t>
      </w:r>
      <w:r w:rsidRPr="00A42549">
        <w:rPr>
          <w:i/>
          <w:sz w:val="22"/>
          <w:szCs w:val="22"/>
        </w:rPr>
        <w:t>Daniel</w:t>
      </w:r>
      <w:r w:rsidRPr="00A42549">
        <w:rPr>
          <w:sz w:val="22"/>
          <w:szCs w:val="22"/>
        </w:rPr>
        <w:t>, on the passage.</w:t>
      </w:r>
    </w:p>
  </w:footnote>
  <w:footnote w:id="801">
    <w:p w:rsidR="00786194" w:rsidRPr="00A42549" w:rsidRDefault="00786194" w:rsidP="0069336E">
      <w:pPr>
        <w:pStyle w:val="FootnoteText"/>
        <w:rPr>
          <w:sz w:val="22"/>
          <w:szCs w:val="22"/>
        </w:rPr>
      </w:pPr>
      <w:r w:rsidRPr="00A42549">
        <w:rPr>
          <w:rStyle w:val="FootnoteReference"/>
          <w:sz w:val="22"/>
          <w:szCs w:val="22"/>
        </w:rPr>
        <w:footnoteRef/>
      </w:r>
      <w:r w:rsidRPr="00A42549">
        <w:rPr>
          <w:sz w:val="22"/>
          <w:szCs w:val="22"/>
        </w:rPr>
        <w:t xml:space="preserve"> See Newsom, </w:t>
      </w:r>
      <w:r w:rsidRPr="00A42549">
        <w:rPr>
          <w:i/>
          <w:sz w:val="22"/>
          <w:szCs w:val="22"/>
        </w:rPr>
        <w:t>Daniel</w:t>
      </w:r>
      <w:r w:rsidRPr="00A42549">
        <w:rPr>
          <w:sz w:val="22"/>
          <w:szCs w:val="22"/>
        </w:rPr>
        <w:t>, 33-34.</w:t>
      </w:r>
    </w:p>
  </w:footnote>
  <w:footnote w:id="802">
    <w:p w:rsidR="00786194" w:rsidRPr="00A42549" w:rsidRDefault="00786194" w:rsidP="001B765E">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153.</w:t>
      </w:r>
    </w:p>
  </w:footnote>
  <w:footnote w:id="803">
    <w:p w:rsidR="00786194" w:rsidRPr="00A42549" w:rsidRDefault="00786194" w:rsidP="001B765E">
      <w:pPr>
        <w:pStyle w:val="FootnoteText"/>
        <w:rPr>
          <w:sz w:val="22"/>
          <w:szCs w:val="22"/>
        </w:rPr>
      </w:pPr>
      <w:r w:rsidRPr="00A42549">
        <w:rPr>
          <w:rStyle w:val="FootnoteReference"/>
          <w:sz w:val="22"/>
          <w:szCs w:val="22"/>
        </w:rPr>
        <w:footnoteRef/>
      </w:r>
      <w:r w:rsidRPr="00A42549">
        <w:rPr>
          <w:sz w:val="22"/>
          <w:szCs w:val="22"/>
        </w:rPr>
        <w:t xml:space="preserve"> Cf. Nolan Fewell, </w:t>
      </w:r>
      <w:r w:rsidRPr="00A42549">
        <w:rPr>
          <w:i/>
          <w:sz w:val="22"/>
          <w:szCs w:val="22"/>
        </w:rPr>
        <w:t>Circle of Sovereignty</w:t>
      </w:r>
      <w:r w:rsidRPr="00A42549">
        <w:rPr>
          <w:sz w:val="22"/>
          <w:szCs w:val="22"/>
        </w:rPr>
        <w:t>, 77.</w:t>
      </w:r>
    </w:p>
  </w:footnote>
  <w:footnote w:id="804">
    <w:p w:rsidR="00786194" w:rsidRPr="00A42549" w:rsidRDefault="00786194" w:rsidP="001B765E">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154.</w:t>
      </w:r>
    </w:p>
  </w:footnote>
  <w:footnote w:id="80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Pace, </w:t>
      </w:r>
      <w:r w:rsidRPr="00A42549">
        <w:rPr>
          <w:i/>
          <w:sz w:val="22"/>
          <w:szCs w:val="22"/>
        </w:rPr>
        <w:t>Daniel</w:t>
      </w:r>
      <w:r w:rsidRPr="00A42549">
        <w:rPr>
          <w:sz w:val="22"/>
          <w:szCs w:val="22"/>
        </w:rPr>
        <w:t>, 117-18.</w:t>
      </w:r>
    </w:p>
  </w:footnote>
  <w:footnote w:id="80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Lederach (</w:t>
      </w:r>
      <w:r w:rsidRPr="00A42549">
        <w:rPr>
          <w:i/>
          <w:sz w:val="22"/>
          <w:szCs w:val="22"/>
        </w:rPr>
        <w:t>Daniel</w:t>
      </w:r>
      <w:r w:rsidRPr="00A42549">
        <w:rPr>
          <w:sz w:val="22"/>
          <w:szCs w:val="22"/>
        </w:rPr>
        <w:t>, 120) sees an advantage in keeping a link between the comment on Darius’s accession and his first act as king.</w:t>
      </w:r>
    </w:p>
  </w:footnote>
  <w:footnote w:id="80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t>
      </w:r>
      <w:r w:rsidRPr="00A42549">
        <w:rPr>
          <w:bCs/>
          <w:sz w:val="22"/>
          <w:szCs w:val="22"/>
        </w:rPr>
        <w:t>Goswell, “The Divisions of the Book of Daniel,” 92.</w:t>
      </w:r>
    </w:p>
  </w:footnote>
  <w:footnote w:id="8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Gunkel, </w:t>
      </w:r>
      <w:r w:rsidRPr="00A42549">
        <w:rPr>
          <w:i/>
          <w:sz w:val="22"/>
          <w:szCs w:val="22"/>
        </w:rPr>
        <w:t>Das Märchen im AT</w:t>
      </w:r>
      <w:r w:rsidRPr="00A42549">
        <w:rPr>
          <w:sz w:val="22"/>
          <w:szCs w:val="22"/>
        </w:rPr>
        <w:t>, 142 (ET 153).</w:t>
      </w:r>
    </w:p>
  </w:footnote>
  <w:footnote w:id="80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Krappe, “La vision de Balthassar”; Baumgartner, “Ein Vierteljahrhundert Danielforschung,” 134–35.</w:t>
      </w:r>
    </w:p>
  </w:footnote>
  <w:footnote w:id="81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Westermann, </w:t>
      </w:r>
      <w:r w:rsidRPr="00A42549">
        <w:rPr>
          <w:i/>
          <w:sz w:val="22"/>
          <w:szCs w:val="22"/>
        </w:rPr>
        <w:t>Grundformen prophetischer Rede</w:t>
      </w:r>
      <w:r w:rsidRPr="00A42549">
        <w:rPr>
          <w:sz w:val="22"/>
          <w:szCs w:val="22"/>
        </w:rPr>
        <w:t xml:space="preserve"> = </w:t>
      </w:r>
      <w:r w:rsidRPr="00A42549">
        <w:rPr>
          <w:i/>
          <w:sz w:val="22"/>
          <w:szCs w:val="22"/>
        </w:rPr>
        <w:t>Basic Forms of Prophetic Speech</w:t>
      </w:r>
      <w:r w:rsidRPr="00A42549">
        <w:rPr>
          <w:sz w:val="22"/>
          <w:szCs w:val="22"/>
        </w:rPr>
        <w:t xml:space="preserve">; Koch, </w:t>
      </w:r>
      <w:r w:rsidRPr="00A42549">
        <w:rPr>
          <w:i/>
          <w:sz w:val="22"/>
          <w:szCs w:val="22"/>
        </w:rPr>
        <w:t>Was ist Formgeschichte?</w:t>
      </w:r>
      <w:r w:rsidRPr="00A42549">
        <w:rPr>
          <w:sz w:val="22"/>
          <w:szCs w:val="22"/>
        </w:rPr>
        <w:t xml:space="preserve"> = </w:t>
      </w:r>
      <w:r w:rsidRPr="00A42549">
        <w:rPr>
          <w:i/>
          <w:sz w:val="22"/>
          <w:szCs w:val="22"/>
        </w:rPr>
        <w:t>The Growth of the Biblical Tradition</w:t>
      </w:r>
      <w:r w:rsidRPr="00A42549">
        <w:rPr>
          <w:sz w:val="22"/>
          <w:szCs w:val="22"/>
        </w:rPr>
        <w:t>, chaps. 15–18.</w:t>
      </w:r>
    </w:p>
  </w:footnote>
  <w:footnote w:id="81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Wilson, “Form-Critical Investigation of the Prophetic Literature,” 117.</w:t>
      </w:r>
    </w:p>
  </w:footnote>
  <w:footnote w:id="81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Plöger, </w:t>
      </w:r>
      <w:r w:rsidRPr="00A42549">
        <w:rPr>
          <w:i/>
          <w:sz w:val="22"/>
          <w:szCs w:val="22"/>
        </w:rPr>
        <w:t>Daniel</w:t>
      </w:r>
      <w:r w:rsidRPr="00A42549">
        <w:rPr>
          <w:sz w:val="22"/>
          <w:szCs w:val="22"/>
        </w:rPr>
        <w:t>,</w:t>
      </w:r>
      <w:r w:rsidRPr="00A42549">
        <w:rPr>
          <w:i/>
          <w:sz w:val="22"/>
          <w:szCs w:val="22"/>
        </w:rPr>
        <w:t xml:space="preserve"> </w:t>
      </w:r>
      <w:r w:rsidRPr="00A42549">
        <w:rPr>
          <w:sz w:val="22"/>
          <w:szCs w:val="22"/>
        </w:rPr>
        <w:t>on the passage.</w:t>
      </w:r>
    </w:p>
  </w:footnote>
  <w:footnote w:id="813">
    <w:p w:rsidR="00786194" w:rsidRPr="00A42549" w:rsidRDefault="00786194" w:rsidP="00153DB8">
      <w:pPr>
        <w:pStyle w:val="FootnoteText"/>
        <w:rPr>
          <w:sz w:val="22"/>
          <w:szCs w:val="22"/>
        </w:rPr>
      </w:pPr>
      <w:r w:rsidRPr="00A42549">
        <w:rPr>
          <w:rStyle w:val="FootnoteReference"/>
          <w:sz w:val="22"/>
          <w:szCs w:val="22"/>
        </w:rPr>
        <w:footnoteRef/>
      </w:r>
      <w:r w:rsidRPr="00A42549">
        <w:rPr>
          <w:sz w:val="22"/>
          <w:szCs w:val="22"/>
        </w:rPr>
        <w:t xml:space="preserve"> Cf. Bentzen, </w:t>
      </w:r>
      <w:r w:rsidRPr="00A42549">
        <w:rPr>
          <w:i/>
          <w:sz w:val="22"/>
          <w:szCs w:val="22"/>
        </w:rPr>
        <w:t>Daniel</w:t>
      </w:r>
      <w:r w:rsidRPr="00A42549">
        <w:rPr>
          <w:sz w:val="22"/>
          <w:szCs w:val="22"/>
        </w:rPr>
        <w:t>, on the chapter.</w:t>
      </w:r>
    </w:p>
  </w:footnote>
  <w:footnote w:id="81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Gammie, “On the Intention and Sources of Daniel i-vi,” 287–89.</w:t>
      </w:r>
    </w:p>
  </w:footnote>
  <w:footnote w:id="81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Segal, </w:t>
      </w:r>
      <w:r w:rsidRPr="00A42549">
        <w:rPr>
          <w:i/>
          <w:sz w:val="22"/>
          <w:szCs w:val="22"/>
        </w:rPr>
        <w:t>Dreams, Riddles, and Visions</w:t>
      </w:r>
      <w:r w:rsidRPr="00A42549">
        <w:rPr>
          <w:sz w:val="22"/>
          <w:szCs w:val="22"/>
        </w:rPr>
        <w:t>, section 3.3.</w:t>
      </w:r>
    </w:p>
  </w:footnote>
  <w:footnote w:id="81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e.g., Ginsberg, </w:t>
      </w:r>
      <w:r w:rsidRPr="00A42549">
        <w:rPr>
          <w:i/>
          <w:sz w:val="22"/>
          <w:szCs w:val="22"/>
        </w:rPr>
        <w:t>Studies in Daniel</w:t>
      </w:r>
      <w:r w:rsidRPr="00A42549">
        <w:rPr>
          <w:sz w:val="22"/>
          <w:szCs w:val="22"/>
        </w:rPr>
        <w:t>, 26.</w:t>
      </w:r>
    </w:p>
  </w:footnote>
  <w:footnote w:id="81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Plöger, </w:t>
      </w:r>
      <w:r w:rsidRPr="00A42549">
        <w:rPr>
          <w:i/>
          <w:sz w:val="22"/>
          <w:szCs w:val="22"/>
        </w:rPr>
        <w:t>Daniel</w:t>
      </w:r>
      <w:r w:rsidRPr="00A42549">
        <w:rPr>
          <w:sz w:val="22"/>
          <w:szCs w:val="22"/>
        </w:rPr>
        <w:t>, on the passage.</w:t>
      </w:r>
    </w:p>
  </w:footnote>
  <w:footnote w:id="81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Joubert, </w:t>
      </w:r>
      <w:r w:rsidRPr="00A42549">
        <w:rPr>
          <w:i/>
          <w:sz w:val="22"/>
          <w:szCs w:val="22"/>
        </w:rPr>
        <w:t>Power and Responsibility in the Book of Daniel</w:t>
      </w:r>
      <w:r w:rsidRPr="00A42549">
        <w:rPr>
          <w:sz w:val="22"/>
          <w:szCs w:val="22"/>
        </w:rPr>
        <w:t>, 100.</w:t>
      </w:r>
    </w:p>
  </w:footnote>
  <w:footnote w:id="81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For approaches to the relationship between the two versions, see e.g., Ashley, </w:t>
      </w:r>
      <w:r w:rsidRPr="00A42549">
        <w:rPr>
          <w:i/>
          <w:sz w:val="22"/>
          <w:szCs w:val="22"/>
        </w:rPr>
        <w:t>Daniel Chapters 1–6</w:t>
      </w:r>
      <w:r w:rsidRPr="00A42549">
        <w:rPr>
          <w:sz w:val="22"/>
          <w:szCs w:val="22"/>
        </w:rPr>
        <w:t xml:space="preserve">; Grelot, “Le chapitre v de </w:t>
      </w:r>
      <w:r w:rsidRPr="00A42549">
        <w:rPr>
          <w:i/>
          <w:sz w:val="22"/>
          <w:szCs w:val="22"/>
        </w:rPr>
        <w:t>Daniel</w:t>
      </w:r>
      <w:r w:rsidRPr="00A42549">
        <w:rPr>
          <w:sz w:val="22"/>
          <w:szCs w:val="22"/>
        </w:rPr>
        <w:t xml:space="preserve"> dans la Septante”; Pannkuk, “The Preface to OG Daniel 5”; </w:t>
      </w:r>
      <w:r w:rsidRPr="00A42549">
        <w:rPr>
          <w:iCs/>
          <w:sz w:val="22"/>
          <w:szCs w:val="22"/>
        </w:rPr>
        <w:t>Young</w:t>
      </w:r>
      <w:r w:rsidRPr="00A42549">
        <w:rPr>
          <w:b/>
          <w:iCs/>
          <w:sz w:val="22"/>
          <w:szCs w:val="22"/>
        </w:rPr>
        <w:t xml:space="preserve">, </w:t>
      </w:r>
      <w:r w:rsidRPr="00A42549">
        <w:rPr>
          <w:iCs/>
          <w:sz w:val="22"/>
          <w:szCs w:val="22"/>
        </w:rPr>
        <w:t xml:space="preserve">“The Original Problem”; Collins, </w:t>
      </w:r>
      <w:r w:rsidRPr="00A42549">
        <w:rPr>
          <w:i/>
          <w:iCs/>
          <w:sz w:val="22"/>
          <w:szCs w:val="22"/>
        </w:rPr>
        <w:t>Daniel</w:t>
      </w:r>
      <w:r w:rsidRPr="00A42549">
        <w:rPr>
          <w:iCs/>
          <w:sz w:val="22"/>
          <w:szCs w:val="22"/>
        </w:rPr>
        <w:t xml:space="preserve">, 241-43; Albertz, </w:t>
      </w:r>
      <w:r w:rsidRPr="00A42549">
        <w:rPr>
          <w:i/>
          <w:iCs/>
          <w:sz w:val="22"/>
          <w:szCs w:val="22"/>
        </w:rPr>
        <w:t>Der Gott des Daniel</w:t>
      </w:r>
      <w:r w:rsidRPr="00A42549">
        <w:rPr>
          <w:iCs/>
          <w:sz w:val="22"/>
          <w:szCs w:val="22"/>
        </w:rPr>
        <w:t>; Wills</w:t>
      </w:r>
      <w:r w:rsidRPr="00A42549">
        <w:rPr>
          <w:b/>
          <w:iCs/>
          <w:sz w:val="22"/>
          <w:szCs w:val="22"/>
        </w:rPr>
        <w:t xml:space="preserve">, </w:t>
      </w:r>
      <w:r w:rsidRPr="00A42549">
        <w:rPr>
          <w:i/>
          <w:iCs/>
          <w:sz w:val="22"/>
          <w:szCs w:val="22"/>
        </w:rPr>
        <w:t>The Jew in the Court of the Foreign King</w:t>
      </w:r>
      <w:r w:rsidRPr="00A42549">
        <w:rPr>
          <w:iCs/>
          <w:sz w:val="22"/>
          <w:szCs w:val="22"/>
        </w:rPr>
        <w:t>, 87-152.</w:t>
      </w:r>
    </w:p>
  </w:footnote>
  <w:footnote w:id="82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Newsom, </w:t>
      </w:r>
      <w:r w:rsidRPr="00A42549">
        <w:rPr>
          <w:i/>
          <w:sz w:val="22"/>
          <w:szCs w:val="22"/>
        </w:rPr>
        <w:t>Daniel</w:t>
      </w:r>
      <w:r w:rsidRPr="00A42549">
        <w:rPr>
          <w:sz w:val="22"/>
          <w:szCs w:val="22"/>
        </w:rPr>
        <w:t>, 161-62.</w:t>
      </w:r>
    </w:p>
  </w:footnote>
  <w:footnote w:id="821">
    <w:p w:rsidR="00786194" w:rsidRPr="00A42549" w:rsidRDefault="00786194" w:rsidP="003F5F6F">
      <w:pPr>
        <w:pStyle w:val="FootnoteText"/>
        <w:rPr>
          <w:sz w:val="22"/>
          <w:szCs w:val="22"/>
        </w:rPr>
      </w:pPr>
      <w:r w:rsidRPr="00A42549">
        <w:rPr>
          <w:rStyle w:val="FootnoteReference"/>
          <w:sz w:val="22"/>
          <w:szCs w:val="22"/>
        </w:rPr>
        <w:footnoteRef/>
      </w:r>
      <w:r w:rsidRPr="00A42549">
        <w:rPr>
          <w:sz w:val="22"/>
          <w:szCs w:val="22"/>
        </w:rPr>
        <w:t xml:space="preserve"> So Davies, </w:t>
      </w:r>
      <w:r w:rsidRPr="00A42549">
        <w:rPr>
          <w:i/>
          <w:sz w:val="22"/>
          <w:szCs w:val="22"/>
        </w:rPr>
        <w:t>Daniel</w:t>
      </w:r>
      <w:r w:rsidRPr="00A42549">
        <w:rPr>
          <w:sz w:val="22"/>
          <w:szCs w:val="22"/>
        </w:rPr>
        <w:t>, on the passage.</w:t>
      </w:r>
    </w:p>
  </w:footnote>
  <w:footnote w:id="82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Towner, </w:t>
      </w:r>
      <w:r w:rsidRPr="00A42549">
        <w:rPr>
          <w:i/>
          <w:sz w:val="22"/>
          <w:szCs w:val="22"/>
        </w:rPr>
        <w:t>Daniel</w:t>
      </w:r>
      <w:r w:rsidRPr="00A42549">
        <w:rPr>
          <w:sz w:val="22"/>
          <w:szCs w:val="22"/>
        </w:rPr>
        <w:t>, 77.</w:t>
      </w:r>
    </w:p>
  </w:footnote>
  <w:footnote w:id="82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Sp Müller, “Magisch-mantische Weisheit und die Gestalt Daniels,” 86.</w:t>
      </w:r>
    </w:p>
  </w:footnote>
  <w:footnote w:id="82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Montgomery, </w:t>
      </w:r>
      <w:r w:rsidRPr="00A42549">
        <w:rPr>
          <w:i/>
          <w:sz w:val="22"/>
          <w:szCs w:val="22"/>
        </w:rPr>
        <w:t>Daniel</w:t>
      </w:r>
      <w:r w:rsidRPr="00A42549">
        <w:rPr>
          <w:sz w:val="22"/>
          <w:szCs w:val="22"/>
        </w:rPr>
        <w:t>, on the chapter.</w:t>
      </w:r>
    </w:p>
  </w:footnote>
  <w:footnote w:id="82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Hall, </w:t>
      </w:r>
      <w:r w:rsidRPr="00A42549">
        <w:rPr>
          <w:i/>
          <w:sz w:val="22"/>
          <w:szCs w:val="22"/>
        </w:rPr>
        <w:t>Post-exilic Theological Streams and the Book of Daniel</w:t>
      </w:r>
      <w:r w:rsidRPr="00A42549">
        <w:rPr>
          <w:sz w:val="22"/>
          <w:szCs w:val="22"/>
        </w:rPr>
        <w:t xml:space="preserve">, 136-85; Haag, </w:t>
      </w:r>
      <w:r w:rsidRPr="00A42549">
        <w:rPr>
          <w:i/>
          <w:sz w:val="22"/>
          <w:szCs w:val="22"/>
        </w:rPr>
        <w:t>Die Errettung Daniels aus der Löwengrube</w:t>
      </w:r>
      <w:r w:rsidRPr="00A42549">
        <w:rPr>
          <w:sz w:val="22"/>
          <w:szCs w:val="22"/>
        </w:rPr>
        <w:t>; Schreiner, “‘. . . wird der Gott des Himmels ein Reich errichten, das in Ewigkeit nicht untergeht,’”132; Schlenke</w:t>
      </w:r>
      <w:r w:rsidRPr="00A42549">
        <w:rPr>
          <w:b/>
          <w:sz w:val="22"/>
          <w:szCs w:val="22"/>
        </w:rPr>
        <w:t xml:space="preserve">, </w:t>
      </w:r>
      <w:r w:rsidRPr="00A42549">
        <w:rPr>
          <w:i/>
          <w:sz w:val="22"/>
          <w:szCs w:val="22"/>
        </w:rPr>
        <w:t>Gottes Reich und Königs Macht</w:t>
      </w:r>
      <w:r w:rsidRPr="00A42549">
        <w:rPr>
          <w:sz w:val="22"/>
          <w:szCs w:val="22"/>
        </w:rPr>
        <w:t>; Wills</w:t>
      </w:r>
      <w:r w:rsidRPr="00A42549">
        <w:rPr>
          <w:b/>
          <w:sz w:val="22"/>
          <w:szCs w:val="22"/>
        </w:rPr>
        <w:t xml:space="preserve">, </w:t>
      </w:r>
      <w:r w:rsidRPr="00A42549">
        <w:rPr>
          <w:i/>
          <w:sz w:val="22"/>
          <w:szCs w:val="22"/>
        </w:rPr>
        <w:t>The Jew in the Court of the Foreign King</w:t>
      </w:r>
      <w:r w:rsidRPr="00A42549">
        <w:rPr>
          <w:sz w:val="22"/>
          <w:szCs w:val="22"/>
        </w:rPr>
        <w:t>, 87-152.</w:t>
      </w:r>
    </w:p>
  </w:footnote>
  <w:footnote w:id="82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Plöger, </w:t>
      </w:r>
      <w:r w:rsidRPr="00A42549">
        <w:rPr>
          <w:i/>
          <w:sz w:val="22"/>
          <w:szCs w:val="22"/>
        </w:rPr>
        <w:t>Daniel</w:t>
      </w:r>
      <w:r w:rsidRPr="00A42549">
        <w:rPr>
          <w:sz w:val="22"/>
          <w:szCs w:val="22"/>
        </w:rPr>
        <w:t>, on the passage.</w:t>
      </w:r>
    </w:p>
  </w:footnote>
  <w:footnote w:id="827">
    <w:p w:rsidR="00786194" w:rsidRPr="00A42549" w:rsidRDefault="00786194" w:rsidP="00922BB9">
      <w:pPr>
        <w:pStyle w:val="FootnoteText"/>
        <w:rPr>
          <w:sz w:val="22"/>
          <w:szCs w:val="22"/>
        </w:rPr>
      </w:pPr>
      <w:r w:rsidRPr="00A42549">
        <w:rPr>
          <w:rStyle w:val="FootnoteReference"/>
          <w:sz w:val="22"/>
          <w:szCs w:val="22"/>
        </w:rPr>
        <w:footnoteRef/>
      </w:r>
      <w:r w:rsidRPr="00A42549">
        <w:rPr>
          <w:sz w:val="22"/>
          <w:szCs w:val="22"/>
        </w:rPr>
        <w:t xml:space="preserve"> Redditt, </w:t>
      </w:r>
      <w:r w:rsidRPr="00A42549">
        <w:rPr>
          <w:i/>
          <w:sz w:val="22"/>
          <w:szCs w:val="22"/>
        </w:rPr>
        <w:t>Daniel</w:t>
      </w:r>
      <w:r w:rsidRPr="00A42549">
        <w:rPr>
          <w:sz w:val="22"/>
          <w:szCs w:val="22"/>
        </w:rPr>
        <w:t>, 100-1.</w:t>
      </w:r>
    </w:p>
  </w:footnote>
  <w:footnote w:id="82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Nolan Fewell, </w:t>
      </w:r>
      <w:r w:rsidRPr="00A42549">
        <w:rPr>
          <w:i/>
          <w:sz w:val="22"/>
          <w:szCs w:val="22"/>
        </w:rPr>
        <w:t>Circle of Sovereignty</w:t>
      </w:r>
      <w:r w:rsidRPr="00A42549">
        <w:rPr>
          <w:sz w:val="22"/>
          <w:szCs w:val="22"/>
        </w:rPr>
        <w:t>, 81.</w:t>
      </w:r>
    </w:p>
  </w:footnote>
  <w:footnote w:id="82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the “Nabonidus Lampoon,” </w:t>
      </w:r>
      <w:r w:rsidRPr="00A42549">
        <w:rPr>
          <w:i/>
          <w:sz w:val="22"/>
          <w:szCs w:val="22"/>
        </w:rPr>
        <w:t>ANET</w:t>
      </w:r>
      <w:r w:rsidRPr="00A42549">
        <w:rPr>
          <w:sz w:val="22"/>
          <w:szCs w:val="22"/>
        </w:rPr>
        <w:t xml:space="preserve"> 313; the Harran stelae, </w:t>
      </w:r>
      <w:r w:rsidRPr="00A42549">
        <w:rPr>
          <w:i/>
          <w:sz w:val="22"/>
          <w:szCs w:val="22"/>
        </w:rPr>
        <w:t>ANET</w:t>
      </w:r>
      <w:r w:rsidRPr="00A42549">
        <w:rPr>
          <w:sz w:val="22"/>
          <w:szCs w:val="22"/>
        </w:rPr>
        <w:t xml:space="preserve"> 560–63; other material in Dougherty, </w:t>
      </w:r>
      <w:r w:rsidRPr="00A42549">
        <w:rPr>
          <w:i/>
          <w:sz w:val="22"/>
          <w:szCs w:val="22"/>
        </w:rPr>
        <w:t>Nabonidus</w:t>
      </w:r>
      <w:r w:rsidRPr="00A42549">
        <w:rPr>
          <w:sz w:val="22"/>
          <w:szCs w:val="22"/>
        </w:rPr>
        <w:t>.</w:t>
      </w:r>
      <w:r w:rsidRPr="00A42549">
        <w:rPr>
          <w:i/>
          <w:sz w:val="22"/>
          <w:szCs w:val="22"/>
        </w:rPr>
        <w:t xml:space="preserve"> and Belshazzar</w:t>
      </w:r>
      <w:r w:rsidRPr="00A42549">
        <w:rPr>
          <w:sz w:val="22"/>
          <w:szCs w:val="22"/>
        </w:rPr>
        <w:t>; cf. Millard, "Daniel and Belshazzar in History."</w:t>
      </w:r>
    </w:p>
  </w:footnote>
  <w:footnote w:id="83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Lambert, “Nabonidus in Arabia,” 59–61.</w:t>
      </w:r>
    </w:p>
  </w:footnote>
  <w:footnote w:id="83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For a current historical account, see e.g., Briant, </w:t>
      </w:r>
      <w:r w:rsidRPr="00A42549">
        <w:rPr>
          <w:i/>
          <w:sz w:val="22"/>
          <w:szCs w:val="22"/>
        </w:rPr>
        <w:t>From Cyrus to Alexander</w:t>
      </w:r>
      <w:r w:rsidRPr="00A42549">
        <w:rPr>
          <w:sz w:val="22"/>
          <w:szCs w:val="22"/>
        </w:rPr>
        <w:t>, 40-44.</w:t>
      </w:r>
    </w:p>
  </w:footnote>
  <w:footnote w:id="83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
          <w:sz w:val="22"/>
          <w:szCs w:val="22"/>
        </w:rPr>
        <w:t>ANET</w:t>
      </w:r>
      <w:r w:rsidRPr="00A42549">
        <w:rPr>
          <w:sz w:val="22"/>
          <w:szCs w:val="22"/>
        </w:rPr>
        <w:t xml:space="preserve"> 315–16; </w:t>
      </w:r>
      <w:r w:rsidRPr="00A42549">
        <w:rPr>
          <w:i/>
          <w:sz w:val="22"/>
          <w:szCs w:val="22"/>
        </w:rPr>
        <w:t>DOTT</w:t>
      </w:r>
      <w:r w:rsidRPr="00A42549">
        <w:rPr>
          <w:sz w:val="22"/>
          <w:szCs w:val="22"/>
        </w:rPr>
        <w:t xml:space="preserve"> 92–95.</w:t>
      </w:r>
    </w:p>
  </w:footnote>
  <w:footnote w:id="83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t>
      </w:r>
      <w:r w:rsidRPr="00A42549">
        <w:rPr>
          <w:i/>
          <w:sz w:val="22"/>
          <w:szCs w:val="22"/>
        </w:rPr>
        <w:t>ANET</w:t>
      </w:r>
      <w:r w:rsidRPr="00A42549">
        <w:rPr>
          <w:sz w:val="22"/>
          <w:szCs w:val="22"/>
        </w:rPr>
        <w:t xml:space="preserve"> 306; </w:t>
      </w:r>
      <w:r w:rsidRPr="00A42549">
        <w:rPr>
          <w:i/>
          <w:sz w:val="22"/>
          <w:szCs w:val="22"/>
        </w:rPr>
        <w:t>DOTT</w:t>
      </w:r>
      <w:r w:rsidRPr="00A42549">
        <w:rPr>
          <w:sz w:val="22"/>
          <w:szCs w:val="22"/>
        </w:rPr>
        <w:t xml:space="preserve"> 81–83; Grayson, </w:t>
      </w:r>
      <w:r w:rsidRPr="00A42549">
        <w:rPr>
          <w:i/>
          <w:sz w:val="22"/>
          <w:szCs w:val="22"/>
        </w:rPr>
        <w:t>Assyrian and Babylonian Chronicles</w:t>
      </w:r>
      <w:r w:rsidRPr="00A42549">
        <w:rPr>
          <w:sz w:val="22"/>
          <w:szCs w:val="22"/>
        </w:rPr>
        <w:t>, 7</w:t>
      </w:r>
    </w:p>
  </w:footnote>
  <w:footnote w:id="83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Driver, </w:t>
      </w:r>
      <w:r w:rsidRPr="00A42549">
        <w:rPr>
          <w:i/>
          <w:sz w:val="22"/>
          <w:szCs w:val="22"/>
        </w:rPr>
        <w:t>Daniel</w:t>
      </w:r>
      <w:r w:rsidRPr="00A42549">
        <w:rPr>
          <w:sz w:val="22"/>
          <w:szCs w:val="22"/>
        </w:rPr>
        <w:t>, on the passage.</w:t>
      </w:r>
    </w:p>
  </w:footnote>
  <w:footnote w:id="83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Cook, </w:t>
      </w:r>
      <w:r w:rsidRPr="00A42549">
        <w:rPr>
          <w:i/>
          <w:sz w:val="22"/>
          <w:szCs w:val="22"/>
        </w:rPr>
        <w:t>The Persian Empire</w:t>
      </w:r>
      <w:r w:rsidRPr="00A42549">
        <w:rPr>
          <w:sz w:val="22"/>
          <w:szCs w:val="22"/>
        </w:rPr>
        <w:t>, 12.</w:t>
      </w:r>
    </w:p>
  </w:footnote>
  <w:footnote w:id="83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Though see Cook, </w:t>
      </w:r>
      <w:r w:rsidRPr="00A42549">
        <w:rPr>
          <w:i/>
          <w:sz w:val="22"/>
          <w:szCs w:val="22"/>
        </w:rPr>
        <w:t>The Persian Empire</w:t>
      </w:r>
      <w:r w:rsidRPr="00A42549">
        <w:rPr>
          <w:sz w:val="22"/>
          <w:szCs w:val="22"/>
        </w:rPr>
        <w:t>, 31.</w:t>
      </w:r>
    </w:p>
  </w:footnote>
  <w:footnote w:id="83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Montgomery, </w:t>
      </w:r>
      <w:r w:rsidRPr="00A42549">
        <w:rPr>
          <w:i/>
          <w:sz w:val="22"/>
          <w:szCs w:val="22"/>
        </w:rPr>
        <w:t>Daniel</w:t>
      </w:r>
      <w:r w:rsidRPr="00A42549">
        <w:rPr>
          <w:sz w:val="22"/>
          <w:szCs w:val="22"/>
        </w:rPr>
        <w:t>,</w:t>
      </w:r>
      <w:r w:rsidRPr="00A42549">
        <w:rPr>
          <w:i/>
          <w:sz w:val="22"/>
          <w:szCs w:val="22"/>
        </w:rPr>
        <w:t xml:space="preserve"> </w:t>
      </w:r>
      <w:r w:rsidRPr="00A42549">
        <w:rPr>
          <w:sz w:val="22"/>
          <w:szCs w:val="22"/>
        </w:rPr>
        <w:t>72.</w:t>
      </w:r>
    </w:p>
  </w:footnote>
  <w:footnote w:id="83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Driver, </w:t>
      </w:r>
      <w:r w:rsidRPr="00A42549">
        <w:rPr>
          <w:i/>
          <w:sz w:val="22"/>
          <w:szCs w:val="22"/>
        </w:rPr>
        <w:t>Daniel</w:t>
      </w:r>
      <w:r w:rsidRPr="00A42549">
        <w:rPr>
          <w:sz w:val="22"/>
          <w:szCs w:val="22"/>
        </w:rPr>
        <w:t>,</w:t>
      </w:r>
      <w:r w:rsidRPr="00A42549">
        <w:rPr>
          <w:i/>
          <w:sz w:val="22"/>
          <w:szCs w:val="22"/>
        </w:rPr>
        <w:t xml:space="preserve"> </w:t>
      </w:r>
      <w:r w:rsidRPr="00A42549">
        <w:rPr>
          <w:sz w:val="22"/>
          <w:szCs w:val="22"/>
        </w:rPr>
        <w:t>xxxi: but see Rowley, “The Historicity of the Fifth Chapter of Daniel,” 26–30.</w:t>
      </w:r>
    </w:p>
  </w:footnote>
  <w:footnote w:id="83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Rowley, “The Belshazzar of Daniel and of History,” 258–62.</w:t>
      </w:r>
    </w:p>
  </w:footnote>
  <w:footnote w:id="84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Hilton, “Babel Reversed,” 100; also Jerome, </w:t>
      </w:r>
      <w:r w:rsidRPr="00A42549">
        <w:rPr>
          <w:i/>
          <w:sz w:val="22"/>
          <w:szCs w:val="22"/>
        </w:rPr>
        <w:t>Daniel</w:t>
      </w:r>
      <w:r w:rsidRPr="00A42549">
        <w:rPr>
          <w:sz w:val="22"/>
          <w:szCs w:val="22"/>
        </w:rPr>
        <w:t xml:space="preserve">, 56; and Yephet, </w:t>
      </w:r>
      <w:r w:rsidRPr="00A42549">
        <w:rPr>
          <w:i/>
          <w:sz w:val="22"/>
          <w:szCs w:val="22"/>
        </w:rPr>
        <w:t>Daniel</w:t>
      </w:r>
      <w:r w:rsidRPr="00A42549">
        <w:rPr>
          <w:sz w:val="22"/>
          <w:szCs w:val="22"/>
        </w:rPr>
        <w:t>, on the passage.</w:t>
      </w:r>
    </w:p>
  </w:footnote>
  <w:footnote w:id="84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Keil, </w:t>
      </w:r>
      <w:r w:rsidRPr="00A42549">
        <w:rPr>
          <w:i/>
          <w:sz w:val="22"/>
          <w:szCs w:val="22"/>
        </w:rPr>
        <w:t>Biblischer Kommentar</w:t>
      </w:r>
      <w:r w:rsidRPr="00A42549">
        <w:rPr>
          <w:sz w:val="22"/>
          <w:szCs w:val="22"/>
        </w:rPr>
        <w:t>, on the passage.</w:t>
      </w:r>
    </w:p>
  </w:footnote>
  <w:footnote w:id="842">
    <w:p w:rsidR="00786194" w:rsidRPr="00A42549" w:rsidRDefault="00786194" w:rsidP="0094421A">
      <w:pPr>
        <w:pStyle w:val="FootnoteText"/>
        <w:rPr>
          <w:i/>
          <w:sz w:val="22"/>
          <w:szCs w:val="22"/>
        </w:rPr>
      </w:pPr>
      <w:r w:rsidRPr="00A42549">
        <w:rPr>
          <w:rStyle w:val="FootnoteReference"/>
          <w:sz w:val="22"/>
          <w:szCs w:val="22"/>
        </w:rPr>
        <w:footnoteRef/>
      </w:r>
      <w:r w:rsidRPr="00A42549">
        <w:rPr>
          <w:sz w:val="22"/>
          <w:szCs w:val="22"/>
        </w:rPr>
        <w:t xml:space="preserve"> Kirkpatrick, Competing for Honor</w:t>
      </w:r>
      <w:r w:rsidRPr="00A42549">
        <w:rPr>
          <w:i/>
          <w:sz w:val="22"/>
          <w:szCs w:val="22"/>
        </w:rPr>
        <w:t xml:space="preserve">, </w:t>
      </w:r>
      <w:r w:rsidRPr="00A42549">
        <w:rPr>
          <w:sz w:val="22"/>
          <w:szCs w:val="22"/>
        </w:rPr>
        <w:t>129-37</w:t>
      </w:r>
      <w:r w:rsidRPr="00A42549">
        <w:rPr>
          <w:i/>
          <w:sz w:val="22"/>
          <w:szCs w:val="22"/>
        </w:rPr>
        <w:t>.</w:t>
      </w:r>
    </w:p>
  </w:footnote>
  <w:footnote w:id="843">
    <w:p w:rsidR="00786194" w:rsidRPr="00A42549" w:rsidRDefault="00786194" w:rsidP="002D10AB">
      <w:pPr>
        <w:pStyle w:val="FootnoteText"/>
        <w:rPr>
          <w:sz w:val="22"/>
          <w:szCs w:val="22"/>
        </w:rPr>
      </w:pPr>
      <w:r w:rsidRPr="00A42549">
        <w:rPr>
          <w:rStyle w:val="FootnoteReference"/>
          <w:sz w:val="22"/>
          <w:szCs w:val="22"/>
        </w:rPr>
        <w:footnoteRef/>
      </w:r>
      <w:r w:rsidRPr="00A42549">
        <w:rPr>
          <w:sz w:val="22"/>
          <w:szCs w:val="22"/>
        </w:rPr>
        <w:t xml:space="preserve"> On banquets in the Persian period, see Briant, </w:t>
      </w:r>
      <w:r w:rsidRPr="00A42549">
        <w:rPr>
          <w:i/>
          <w:sz w:val="22"/>
          <w:szCs w:val="22"/>
        </w:rPr>
        <w:t>From Cyrus to Alexander</w:t>
      </w:r>
      <w:r w:rsidRPr="00A42549">
        <w:rPr>
          <w:sz w:val="22"/>
          <w:szCs w:val="22"/>
        </w:rPr>
        <w:t>, 286-97.</w:t>
      </w:r>
    </w:p>
  </w:footnote>
  <w:footnote w:id="844">
    <w:p w:rsidR="00786194" w:rsidRPr="00A42549" w:rsidRDefault="00786194" w:rsidP="00C4466C">
      <w:pPr>
        <w:pStyle w:val="FootnoteText"/>
        <w:rPr>
          <w:i/>
          <w:sz w:val="22"/>
          <w:szCs w:val="22"/>
        </w:rPr>
      </w:pPr>
      <w:r w:rsidRPr="00A42549">
        <w:rPr>
          <w:rStyle w:val="FootnoteReference"/>
          <w:sz w:val="22"/>
          <w:szCs w:val="22"/>
        </w:rPr>
        <w:footnoteRef/>
      </w:r>
      <w:r w:rsidRPr="00A42549">
        <w:rPr>
          <w:sz w:val="22"/>
          <w:szCs w:val="22"/>
        </w:rPr>
        <w:t xml:space="preserve"> So Wolters</w:t>
      </w:r>
      <w:r w:rsidRPr="00A42549">
        <w:rPr>
          <w:b/>
          <w:sz w:val="22"/>
          <w:szCs w:val="22"/>
        </w:rPr>
        <w:t>, “</w:t>
      </w:r>
      <w:r w:rsidRPr="00A42549">
        <w:rPr>
          <w:iCs/>
          <w:sz w:val="22"/>
          <w:szCs w:val="22"/>
        </w:rPr>
        <w:t xml:space="preserve">Belshazzar's Feast and the Cult of the Moon God Sîn,” following Beaulieu, </w:t>
      </w:r>
      <w:r w:rsidRPr="00A42549">
        <w:rPr>
          <w:i/>
          <w:iCs/>
          <w:sz w:val="22"/>
          <w:szCs w:val="22"/>
        </w:rPr>
        <w:t>The Reign of Nabonidus.</w:t>
      </w:r>
    </w:p>
  </w:footnote>
  <w:footnote w:id="84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Shea, “Darius the Mede,” 142; see the critique in Grabbe, “The Belshazzar of Daniel and the Belshazzar of History.”  </w:t>
      </w:r>
    </w:p>
  </w:footnote>
  <w:footnote w:id="84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Newsom, </w:t>
      </w:r>
      <w:r w:rsidRPr="00A42549">
        <w:rPr>
          <w:i/>
          <w:sz w:val="22"/>
          <w:szCs w:val="22"/>
        </w:rPr>
        <w:t>Daniel</w:t>
      </w:r>
      <w:r w:rsidRPr="00A42549">
        <w:rPr>
          <w:sz w:val="22"/>
          <w:szCs w:val="22"/>
        </w:rPr>
        <w:t xml:space="preserve">, 165. </w:t>
      </w:r>
    </w:p>
  </w:footnote>
  <w:footnote w:id="84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Stefanovic</w:t>
      </w:r>
      <w:r w:rsidRPr="00A42549">
        <w:rPr>
          <w:b/>
          <w:sz w:val="22"/>
          <w:szCs w:val="22"/>
        </w:rPr>
        <w:t xml:space="preserve">, </w:t>
      </w:r>
      <w:r w:rsidRPr="00A42549">
        <w:rPr>
          <w:sz w:val="22"/>
          <w:szCs w:val="22"/>
        </w:rPr>
        <w:t>“Like Father, Like Son.”</w:t>
      </w:r>
    </w:p>
  </w:footnote>
  <w:footnote w:id="84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E.g., Keil, </w:t>
      </w:r>
      <w:r w:rsidRPr="00A42549">
        <w:rPr>
          <w:i/>
          <w:sz w:val="22"/>
          <w:szCs w:val="22"/>
        </w:rPr>
        <w:t>Biblischer Kommentar</w:t>
      </w:r>
      <w:r w:rsidRPr="00A42549">
        <w:rPr>
          <w:sz w:val="22"/>
          <w:szCs w:val="22"/>
        </w:rPr>
        <w:t>, on the passage.</w:t>
      </w:r>
    </w:p>
  </w:footnote>
  <w:footnote w:id="84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Prince, </w:t>
      </w:r>
      <w:r w:rsidRPr="00A42549">
        <w:rPr>
          <w:i/>
          <w:sz w:val="22"/>
          <w:szCs w:val="22"/>
        </w:rPr>
        <w:t>Mene Mene Tekel Upharsin</w:t>
      </w:r>
      <w:r w:rsidRPr="00A42549">
        <w:rPr>
          <w:sz w:val="22"/>
          <w:szCs w:val="22"/>
        </w:rPr>
        <w:t>, 11.</w:t>
      </w:r>
    </w:p>
  </w:footnote>
  <w:footnote w:id="85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Prince, </w:t>
      </w:r>
      <w:r w:rsidRPr="00A42549">
        <w:rPr>
          <w:i/>
          <w:sz w:val="22"/>
          <w:szCs w:val="22"/>
        </w:rPr>
        <w:t>Mene Mene Tekel Upharsin</w:t>
      </w:r>
      <w:r w:rsidRPr="00A42549">
        <w:rPr>
          <w:sz w:val="22"/>
          <w:szCs w:val="22"/>
        </w:rPr>
        <w:t xml:space="preserve">, 12; contrast Gibson, “Belshazzar’s Feast”; Baldwin, </w:t>
      </w:r>
      <w:r w:rsidRPr="00A42549">
        <w:rPr>
          <w:i/>
          <w:sz w:val="22"/>
          <w:szCs w:val="22"/>
        </w:rPr>
        <w:t>Daniel</w:t>
      </w:r>
      <w:r w:rsidRPr="00A42549">
        <w:rPr>
          <w:sz w:val="22"/>
          <w:szCs w:val="22"/>
        </w:rPr>
        <w:t>, on the passage.</w:t>
      </w:r>
    </w:p>
  </w:footnote>
  <w:footnote w:id="85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Wolters, “Untying the King’s Knots”; cf. Rashi in </w:t>
      </w:r>
      <w:r w:rsidRPr="00A42549">
        <w:rPr>
          <w:rFonts w:ascii="Arial" w:hAnsi="Arial" w:cs="Arial"/>
          <w:sz w:val="22"/>
          <w:szCs w:val="22"/>
        </w:rPr>
        <w:t>גדולות</w:t>
      </w:r>
      <w:r w:rsidRPr="00A42549">
        <w:rPr>
          <w:sz w:val="22"/>
          <w:szCs w:val="22"/>
        </w:rPr>
        <w:t xml:space="preserve"> </w:t>
      </w:r>
      <w:r w:rsidRPr="00A42549">
        <w:rPr>
          <w:rFonts w:ascii="Arial" w:hAnsi="Arial" w:cs="Arial"/>
          <w:sz w:val="22"/>
          <w:szCs w:val="22"/>
        </w:rPr>
        <w:t>מקראות</w:t>
      </w:r>
      <w:r w:rsidRPr="00A42549">
        <w:rPr>
          <w:sz w:val="22"/>
          <w:szCs w:val="22"/>
        </w:rPr>
        <w:t xml:space="preserve"> on the passage.</w:t>
      </w:r>
    </w:p>
  </w:footnote>
  <w:footnote w:id="85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Towner, </w:t>
      </w:r>
      <w:r w:rsidRPr="00A42549">
        <w:rPr>
          <w:i/>
          <w:sz w:val="22"/>
          <w:szCs w:val="22"/>
        </w:rPr>
        <w:t>Daniel</w:t>
      </w:r>
      <w:r w:rsidRPr="00A42549">
        <w:rPr>
          <w:sz w:val="22"/>
          <w:szCs w:val="22"/>
        </w:rPr>
        <w:t>, 73.</w:t>
      </w:r>
    </w:p>
  </w:footnote>
  <w:footnote w:id="85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Berrigan, </w:t>
      </w:r>
      <w:r w:rsidRPr="00A42549">
        <w:rPr>
          <w:i/>
          <w:sz w:val="22"/>
          <w:szCs w:val="22"/>
        </w:rPr>
        <w:t>Daniel</w:t>
      </w:r>
      <w:r w:rsidRPr="00A42549">
        <w:rPr>
          <w:sz w:val="22"/>
          <w:szCs w:val="22"/>
        </w:rPr>
        <w:t>, 77.</w:t>
      </w:r>
    </w:p>
  </w:footnote>
  <w:footnote w:id="85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Frye, </w:t>
      </w:r>
      <w:r w:rsidRPr="00A42549">
        <w:rPr>
          <w:i/>
          <w:sz w:val="22"/>
          <w:szCs w:val="22"/>
        </w:rPr>
        <w:t>Heritage of Persia</w:t>
      </w:r>
      <w:r w:rsidRPr="00A42549">
        <w:rPr>
          <w:sz w:val="22"/>
          <w:szCs w:val="22"/>
        </w:rPr>
        <w:t>, 74–75.</w:t>
      </w:r>
    </w:p>
  </w:footnote>
  <w:footnote w:id="85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Alt, “Zur Menetekel-Inschrift.”</w:t>
      </w:r>
    </w:p>
  </w:footnote>
  <w:footnote w:id="85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w:t>
      </w:r>
      <w:r w:rsidRPr="00A42549">
        <w:rPr>
          <w:bCs/>
          <w:sz w:val="22"/>
          <w:szCs w:val="22"/>
        </w:rPr>
        <w:t>Kirchmayr</w:t>
      </w:r>
      <w:r w:rsidRPr="00A42549">
        <w:rPr>
          <w:b/>
          <w:bCs/>
          <w:sz w:val="22"/>
          <w:szCs w:val="22"/>
        </w:rPr>
        <w:t xml:space="preserve">, </w:t>
      </w:r>
      <w:r w:rsidRPr="00A42549">
        <w:rPr>
          <w:bCs/>
          <w:sz w:val="22"/>
          <w:szCs w:val="22"/>
        </w:rPr>
        <w:t>“Mene-tekel-uparsin.”</w:t>
      </w:r>
    </w:p>
  </w:footnote>
  <w:footnote w:id="85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Andreasen, “The Role of the Queen Mother in Israelite Society,” 191, 194; for Babylon, cf. Oppenheim, </w:t>
      </w:r>
      <w:r w:rsidRPr="00A42549">
        <w:rPr>
          <w:i/>
          <w:sz w:val="22"/>
          <w:szCs w:val="22"/>
        </w:rPr>
        <w:t>Ancient Mesopotamia</w:t>
      </w:r>
      <w:r w:rsidRPr="00A42549">
        <w:rPr>
          <w:sz w:val="22"/>
          <w:szCs w:val="22"/>
        </w:rPr>
        <w:t xml:space="preserve">, 104; for Persia, see Montgomery, </w:t>
      </w:r>
      <w:r w:rsidRPr="00A42549">
        <w:rPr>
          <w:i/>
          <w:sz w:val="22"/>
          <w:szCs w:val="22"/>
        </w:rPr>
        <w:t>Daniel</w:t>
      </w:r>
      <w:r w:rsidRPr="00A42549">
        <w:rPr>
          <w:sz w:val="22"/>
          <w:szCs w:val="22"/>
        </w:rPr>
        <w:t xml:space="preserve">, on the passage; and on this example, </w:t>
      </w:r>
      <w:r w:rsidRPr="00A42549">
        <w:rPr>
          <w:bCs/>
          <w:sz w:val="22"/>
          <w:szCs w:val="22"/>
        </w:rPr>
        <w:t>Van</w:t>
      </w:r>
      <w:r w:rsidRPr="00A42549">
        <w:rPr>
          <w:b/>
          <w:bCs/>
          <w:sz w:val="22"/>
          <w:szCs w:val="22"/>
        </w:rPr>
        <w:t xml:space="preserve"> </w:t>
      </w:r>
      <w:r w:rsidRPr="00A42549">
        <w:rPr>
          <w:bCs/>
          <w:sz w:val="22"/>
          <w:szCs w:val="22"/>
        </w:rPr>
        <w:t>Deventer</w:t>
      </w:r>
      <w:r w:rsidRPr="00A42549">
        <w:rPr>
          <w:b/>
          <w:bCs/>
          <w:sz w:val="22"/>
          <w:szCs w:val="22"/>
        </w:rPr>
        <w:t xml:space="preserve">, </w:t>
      </w:r>
      <w:r w:rsidRPr="00A42549">
        <w:rPr>
          <w:bCs/>
          <w:sz w:val="22"/>
          <w:szCs w:val="22"/>
        </w:rPr>
        <w:t>“Another Wise Queen (Mother).” ———.</w:t>
      </w:r>
      <w:r w:rsidRPr="00A42549">
        <w:rPr>
          <w:b/>
          <w:bCs/>
          <w:sz w:val="22"/>
          <w:szCs w:val="22"/>
        </w:rPr>
        <w:t xml:space="preserve">  </w:t>
      </w:r>
      <w:r w:rsidRPr="00A42549">
        <w:rPr>
          <w:bCs/>
          <w:sz w:val="22"/>
          <w:szCs w:val="22"/>
        </w:rPr>
        <w:t>“Would the Actually ‘Powerful’ Please Stand?”</w:t>
      </w:r>
    </w:p>
  </w:footnote>
  <w:footnote w:id="858">
    <w:p w:rsidR="00786194" w:rsidRPr="00A42549" w:rsidRDefault="00786194" w:rsidP="00551892">
      <w:pPr>
        <w:pStyle w:val="FootnoteText"/>
        <w:rPr>
          <w:sz w:val="22"/>
          <w:szCs w:val="22"/>
        </w:rPr>
      </w:pPr>
      <w:r w:rsidRPr="00A42549">
        <w:rPr>
          <w:rStyle w:val="FootnoteReference"/>
          <w:sz w:val="22"/>
          <w:szCs w:val="22"/>
        </w:rPr>
        <w:footnoteRef/>
      </w:r>
      <w:r w:rsidRPr="00A42549">
        <w:rPr>
          <w:sz w:val="22"/>
          <w:szCs w:val="22"/>
        </w:rPr>
        <w:t xml:space="preserve"> Meadowcroft, </w:t>
      </w:r>
      <w:r w:rsidRPr="00A42549">
        <w:rPr>
          <w:i/>
          <w:sz w:val="22"/>
          <w:szCs w:val="22"/>
        </w:rPr>
        <w:t>Aramaic Daniel and Greek Daniel</w:t>
      </w:r>
      <w:r w:rsidRPr="00A42549">
        <w:rPr>
          <w:sz w:val="22"/>
          <w:szCs w:val="22"/>
        </w:rPr>
        <w:t>, 68-69.</w:t>
      </w:r>
    </w:p>
  </w:footnote>
  <w:footnote w:id="85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Rowley, “The Belshazzar of Daniel and of History,” 193–95.</w:t>
      </w:r>
    </w:p>
  </w:footnote>
  <w:footnote w:id="86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Ashley, </w:t>
      </w:r>
      <w:r w:rsidRPr="00A42549">
        <w:rPr>
          <w:i/>
          <w:sz w:val="22"/>
          <w:szCs w:val="22"/>
        </w:rPr>
        <w:t>Daniel Chapters 1–6</w:t>
      </w:r>
      <w:r w:rsidRPr="00A42549">
        <w:rPr>
          <w:sz w:val="22"/>
          <w:szCs w:val="22"/>
        </w:rPr>
        <w:t>, 147–54.</w:t>
      </w:r>
    </w:p>
  </w:footnote>
  <w:footnote w:id="8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Miller’s paraphrase of “remarkable spirit” (</w:t>
      </w:r>
      <w:r w:rsidRPr="00A42549">
        <w:rPr>
          <w:i/>
          <w:sz w:val="22"/>
          <w:szCs w:val="22"/>
        </w:rPr>
        <w:t>Daniel</w:t>
      </w:r>
      <w:r w:rsidRPr="00A42549">
        <w:rPr>
          <w:sz w:val="22"/>
          <w:szCs w:val="22"/>
        </w:rPr>
        <w:t>, 160.</w:t>
      </w:r>
    </w:p>
  </w:footnote>
  <w:footnote w:id="86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Plöger, </w:t>
      </w:r>
      <w:r w:rsidRPr="00A42549">
        <w:rPr>
          <w:i/>
          <w:sz w:val="22"/>
          <w:szCs w:val="22"/>
        </w:rPr>
        <w:t>Daniel</w:t>
      </w:r>
      <w:r w:rsidRPr="00A42549">
        <w:rPr>
          <w:sz w:val="22"/>
          <w:szCs w:val="22"/>
        </w:rPr>
        <w:t>, on the passage.</w:t>
      </w:r>
    </w:p>
  </w:footnote>
  <w:footnote w:id="86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Müller, “Der Begriff 'Rätsel' im AT.”</w:t>
      </w:r>
    </w:p>
  </w:footnote>
  <w:footnote w:id="86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Paul</w:t>
      </w:r>
      <w:r w:rsidRPr="00A42549">
        <w:rPr>
          <w:b/>
          <w:sz w:val="22"/>
          <w:szCs w:val="22"/>
        </w:rPr>
        <w:t xml:space="preserve">, </w:t>
      </w:r>
      <w:r w:rsidRPr="00A42549">
        <w:rPr>
          <w:sz w:val="22"/>
          <w:szCs w:val="22"/>
        </w:rPr>
        <w:t>”Decoding a ‘Joint’ Expression in Daniel 5:6, 16”</w:t>
      </w:r>
    </w:p>
  </w:footnote>
  <w:footnote w:id="86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Lacocque, </w:t>
      </w:r>
      <w:r w:rsidRPr="00A42549">
        <w:rPr>
          <w:i/>
          <w:sz w:val="22"/>
          <w:szCs w:val="22"/>
        </w:rPr>
        <w:t>Daniel</w:t>
      </w:r>
      <w:r w:rsidRPr="00A42549">
        <w:rPr>
          <w:sz w:val="22"/>
          <w:szCs w:val="22"/>
        </w:rPr>
        <w:t>, 97.</w:t>
      </w:r>
    </w:p>
  </w:footnote>
  <w:footnote w:id="86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Plöger, </w:t>
      </w:r>
      <w:r w:rsidRPr="00A42549">
        <w:rPr>
          <w:i/>
          <w:sz w:val="22"/>
          <w:szCs w:val="22"/>
        </w:rPr>
        <w:t>Daniel</w:t>
      </w:r>
      <w:r w:rsidRPr="00A42549">
        <w:rPr>
          <w:sz w:val="22"/>
          <w:szCs w:val="22"/>
        </w:rPr>
        <w:t>, on the passage.</w:t>
      </w:r>
    </w:p>
  </w:footnote>
  <w:footnote w:id="86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Lacocque, </w:t>
      </w:r>
      <w:r w:rsidRPr="00A42549">
        <w:rPr>
          <w:i/>
          <w:sz w:val="22"/>
          <w:szCs w:val="22"/>
        </w:rPr>
        <w:t>Daniel</w:t>
      </w:r>
      <w:r w:rsidRPr="00A42549">
        <w:rPr>
          <w:sz w:val="22"/>
          <w:szCs w:val="22"/>
        </w:rPr>
        <w:t>, on the passage.</w:t>
      </w:r>
    </w:p>
  </w:footnote>
  <w:footnote w:id="86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Anderson, </w:t>
      </w:r>
      <w:r w:rsidRPr="00A42549">
        <w:rPr>
          <w:i/>
          <w:sz w:val="22"/>
          <w:szCs w:val="22"/>
        </w:rPr>
        <w:t>Signs and Wonders</w:t>
      </w:r>
      <w:r w:rsidRPr="00A42549">
        <w:rPr>
          <w:sz w:val="22"/>
          <w:szCs w:val="22"/>
        </w:rPr>
        <w:t>, on the passage.</w:t>
      </w:r>
    </w:p>
  </w:footnote>
  <w:footnote w:id="86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Smith-Christopher, “Daniel,” 83.</w:t>
      </w:r>
    </w:p>
  </w:footnote>
  <w:footnote w:id="87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Seow, </w:t>
      </w:r>
      <w:r w:rsidRPr="00A42549">
        <w:rPr>
          <w:i/>
          <w:sz w:val="22"/>
          <w:szCs w:val="22"/>
        </w:rPr>
        <w:t>Daniel</w:t>
      </w:r>
      <w:r w:rsidRPr="00A42549">
        <w:rPr>
          <w:sz w:val="22"/>
          <w:szCs w:val="22"/>
        </w:rPr>
        <w:t>, 82.</w:t>
      </w:r>
    </w:p>
  </w:footnote>
  <w:footnote w:id="87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Collins, </w:t>
      </w:r>
      <w:r w:rsidRPr="00A42549">
        <w:rPr>
          <w:i/>
          <w:sz w:val="22"/>
          <w:szCs w:val="22"/>
        </w:rPr>
        <w:t>Daniel</w:t>
      </w:r>
      <w:r w:rsidRPr="00A42549">
        <w:rPr>
          <w:sz w:val="22"/>
          <w:szCs w:val="22"/>
        </w:rPr>
        <w:t>, 250.</w:t>
      </w:r>
    </w:p>
  </w:footnote>
  <w:footnote w:id="87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Broida</w:t>
      </w:r>
      <w:r w:rsidRPr="00A42549">
        <w:rPr>
          <w:b/>
          <w:sz w:val="22"/>
          <w:szCs w:val="22"/>
        </w:rPr>
        <w:t>, “</w:t>
      </w:r>
      <w:r w:rsidRPr="00A42549">
        <w:rPr>
          <w:sz w:val="22"/>
          <w:szCs w:val="22"/>
        </w:rPr>
        <w:t>Textualizing Divination.”</w:t>
      </w:r>
    </w:p>
  </w:footnote>
  <w:footnote w:id="87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since Clermont-Ganneau, “Mané, thécel, pharés.” Wolters (“The Riddle of the Scales”) argues that the image of weighing on scales runs through all the levels of interpretation of the riddle.</w:t>
      </w:r>
    </w:p>
  </w:footnote>
  <w:footnote w:id="87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Eissfeldt, “Die Menetekel-Inschrift,” 111–12.</w:t>
      </w:r>
    </w:p>
  </w:footnote>
  <w:footnote w:id="87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Brown, “Proverb-Book, Gold-Economy, Alphabet,” 187; Eissfeldt, “Die Menetekel-Inschrift,” 109–111.</w:t>
      </w:r>
    </w:p>
  </w:footnote>
  <w:footnote w:id="87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Freedman, “The Prayer of Nabonidus.”</w:t>
      </w:r>
    </w:p>
  </w:footnote>
  <w:footnote w:id="87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Ginsberg, </w:t>
      </w:r>
      <w:r w:rsidRPr="00A42549">
        <w:rPr>
          <w:i/>
          <w:sz w:val="22"/>
          <w:szCs w:val="22"/>
        </w:rPr>
        <w:t>Studies on Daniel</w:t>
      </w:r>
      <w:r w:rsidRPr="00A42549">
        <w:rPr>
          <w:sz w:val="22"/>
          <w:szCs w:val="22"/>
        </w:rPr>
        <w:t>, 25.</w:t>
      </w:r>
    </w:p>
  </w:footnote>
  <w:footnote w:id="87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Hoffman, “Mene, mene tekel upharsin.”</w:t>
      </w:r>
    </w:p>
  </w:footnote>
  <w:footnote w:id="87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Prince, </w:t>
      </w:r>
      <w:r w:rsidRPr="00A42549">
        <w:rPr>
          <w:i/>
          <w:sz w:val="22"/>
          <w:szCs w:val="22"/>
        </w:rPr>
        <w:t>Mene Mene Tekel Upharsin.</w:t>
      </w:r>
    </w:p>
  </w:footnote>
  <w:footnote w:id="88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Haller, “Das Alter von Daniel 7.”</w:t>
      </w:r>
    </w:p>
  </w:footnote>
  <w:footnote w:id="88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Kraeling, “The Handwriting on the Wall.”</w:t>
      </w:r>
    </w:p>
  </w:footnote>
  <w:footnote w:id="88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Lacocque, </w:t>
      </w:r>
      <w:r w:rsidRPr="00A42549">
        <w:rPr>
          <w:i/>
          <w:sz w:val="22"/>
          <w:szCs w:val="22"/>
        </w:rPr>
        <w:t>Daniel</w:t>
      </w:r>
      <w:r w:rsidRPr="00A42549">
        <w:rPr>
          <w:sz w:val="22"/>
          <w:szCs w:val="22"/>
        </w:rPr>
        <w:t>, on the passage.</w:t>
      </w:r>
    </w:p>
  </w:footnote>
  <w:footnote w:id="88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Silberman, “Unriddling the Riddle,”  esp. 333.</w:t>
      </w:r>
    </w:p>
  </w:footnote>
  <w:footnote w:id="88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Cook, </w:t>
      </w:r>
      <w:r w:rsidRPr="00A42549">
        <w:rPr>
          <w:i/>
          <w:sz w:val="22"/>
          <w:szCs w:val="22"/>
        </w:rPr>
        <w:t>The Persian Empire</w:t>
      </w:r>
      <w:r w:rsidRPr="00A42549">
        <w:rPr>
          <w:sz w:val="22"/>
          <w:szCs w:val="22"/>
        </w:rPr>
        <w:t>, 42–43).</w:t>
      </w:r>
    </w:p>
  </w:footnote>
  <w:footnote w:id="88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Newsom, </w:t>
      </w:r>
      <w:r w:rsidRPr="00A42549">
        <w:rPr>
          <w:i/>
          <w:sz w:val="22"/>
          <w:szCs w:val="22"/>
        </w:rPr>
        <w:t>Daniel</w:t>
      </w:r>
      <w:r w:rsidRPr="00A42549">
        <w:rPr>
          <w:sz w:val="22"/>
          <w:szCs w:val="22"/>
        </w:rPr>
        <w:t xml:space="preserve">, 178, comparing Noegel, </w:t>
      </w:r>
      <w:r w:rsidRPr="00A42549">
        <w:rPr>
          <w:bCs/>
          <w:i/>
          <w:sz w:val="22"/>
          <w:szCs w:val="22"/>
        </w:rPr>
        <w:t>Nocturnal Ciphers</w:t>
      </w:r>
      <w:r w:rsidRPr="00A42549">
        <w:rPr>
          <w:bCs/>
          <w:sz w:val="22"/>
          <w:szCs w:val="22"/>
        </w:rPr>
        <w:t>, 178.</w:t>
      </w:r>
    </w:p>
  </w:footnote>
  <w:footnote w:id="88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Grabbe, “Another Look at the </w:t>
      </w:r>
      <w:r w:rsidRPr="00A42549">
        <w:rPr>
          <w:i/>
          <w:sz w:val="22"/>
          <w:szCs w:val="22"/>
        </w:rPr>
        <w:t>Gestalt</w:t>
      </w:r>
      <w:r w:rsidRPr="00A42549">
        <w:rPr>
          <w:sz w:val="22"/>
          <w:szCs w:val="22"/>
        </w:rPr>
        <w:t xml:space="preserve"> of ‘Darius the Mede.’”</w:t>
      </w:r>
    </w:p>
  </w:footnote>
  <w:footnote w:id="88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Rowley, </w:t>
      </w:r>
      <w:r w:rsidRPr="00A42549">
        <w:rPr>
          <w:i/>
          <w:sz w:val="22"/>
          <w:szCs w:val="22"/>
        </w:rPr>
        <w:t>Darius the Mede</w:t>
      </w:r>
      <w:r w:rsidRPr="00A42549">
        <w:rPr>
          <w:sz w:val="22"/>
          <w:szCs w:val="22"/>
        </w:rPr>
        <w:t>.</w:t>
      </w:r>
    </w:p>
  </w:footnote>
  <w:footnote w:id="88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Sparks, “On the Origin of Darius the Mede.”</w:t>
      </w:r>
    </w:p>
  </w:footnote>
  <w:footnote w:id="88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Caquot, “Les quatre bêtes et le ‘Fils d’homme’ (</w:t>
      </w:r>
      <w:r w:rsidRPr="00A42549">
        <w:rPr>
          <w:i/>
          <w:sz w:val="22"/>
          <w:szCs w:val="22"/>
        </w:rPr>
        <w:t>Daniel</w:t>
      </w:r>
      <w:r w:rsidRPr="00A42549">
        <w:rPr>
          <w:sz w:val="22"/>
          <w:szCs w:val="22"/>
        </w:rPr>
        <w:t xml:space="preserve"> 7),” 45.</w:t>
      </w:r>
    </w:p>
  </w:footnote>
  <w:footnote w:id="89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Young, </w:t>
      </w:r>
      <w:r w:rsidRPr="00A42549">
        <w:rPr>
          <w:i/>
          <w:sz w:val="22"/>
          <w:szCs w:val="22"/>
        </w:rPr>
        <w:t>Daniel</w:t>
      </w:r>
      <w:r w:rsidRPr="00A42549">
        <w:rPr>
          <w:sz w:val="22"/>
          <w:szCs w:val="22"/>
        </w:rPr>
        <w:t xml:space="preserve">, on the passage; also </w:t>
      </w:r>
      <w:r w:rsidRPr="00A42549">
        <w:rPr>
          <w:bCs/>
          <w:sz w:val="22"/>
          <w:szCs w:val="22"/>
        </w:rPr>
        <w:t>Waterhouse</w:t>
      </w:r>
      <w:r w:rsidRPr="00A42549">
        <w:rPr>
          <w:b/>
          <w:bCs/>
          <w:sz w:val="22"/>
          <w:szCs w:val="22"/>
        </w:rPr>
        <w:t xml:space="preserve">, </w:t>
      </w:r>
      <w:r w:rsidRPr="00A42549">
        <w:rPr>
          <w:bCs/>
          <w:sz w:val="22"/>
          <w:szCs w:val="22"/>
        </w:rPr>
        <w:t>“Why was Darius the Mede Expunged from History?”</w:t>
      </w:r>
    </w:p>
  </w:footnote>
  <w:footnote w:id="89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Frye, </w:t>
      </w:r>
      <w:r w:rsidRPr="00A42549">
        <w:rPr>
          <w:i/>
          <w:sz w:val="22"/>
          <w:szCs w:val="22"/>
        </w:rPr>
        <w:t>Heritage of Persia</w:t>
      </w:r>
      <w:r w:rsidRPr="00A42549">
        <w:rPr>
          <w:sz w:val="22"/>
          <w:szCs w:val="22"/>
        </w:rPr>
        <w:t>, 97 on the name Darius.</w:t>
      </w:r>
    </w:p>
  </w:footnote>
  <w:footnote w:id="89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e.g., Colless</w:t>
      </w:r>
      <w:r w:rsidRPr="00A42549">
        <w:rPr>
          <w:b/>
          <w:sz w:val="22"/>
          <w:szCs w:val="22"/>
        </w:rPr>
        <w:t xml:space="preserve">, </w:t>
      </w:r>
      <w:r w:rsidRPr="00A42549">
        <w:rPr>
          <w:sz w:val="22"/>
          <w:szCs w:val="22"/>
        </w:rPr>
        <w:t>“Cyrus the Persian as Darius the Mede in the Book of Daniel.”</w:t>
      </w:r>
    </w:p>
  </w:footnote>
  <w:footnote w:id="89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Boutflower, “The Historical Value of Daniel v and vi.”  </w:t>
      </w:r>
    </w:p>
  </w:footnote>
  <w:footnote w:id="89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Alfrink, “Darius Medus.”</w:t>
      </w:r>
    </w:p>
  </w:footnote>
  <w:footnote w:id="89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Anderson,  in the most recent systematic study, </w:t>
      </w:r>
      <w:r w:rsidRPr="00A42549">
        <w:rPr>
          <w:i/>
          <w:sz w:val="22"/>
          <w:szCs w:val="22"/>
        </w:rPr>
        <w:t>Darius the Mede</w:t>
      </w:r>
      <w:r w:rsidRPr="00A42549">
        <w:rPr>
          <w:sz w:val="22"/>
          <w:szCs w:val="22"/>
        </w:rPr>
        <w:t>; Waterhouse, “Why Was Darius the Mede Expunged from History?”</w:t>
      </w:r>
    </w:p>
  </w:footnote>
  <w:footnote w:id="896">
    <w:p w:rsidR="00786194" w:rsidRPr="00A42549" w:rsidRDefault="00786194" w:rsidP="00232B2F">
      <w:pPr>
        <w:autoSpaceDE w:val="0"/>
        <w:autoSpaceDN w:val="0"/>
        <w:adjustRightInd w:val="0"/>
      </w:pPr>
      <w:r w:rsidRPr="00A42549">
        <w:rPr>
          <w:rStyle w:val="FootnoteReference"/>
        </w:rPr>
        <w:footnoteRef/>
      </w:r>
      <w:r w:rsidRPr="00A42549">
        <w:t xml:space="preserve"> Shea (see </w:t>
      </w:r>
      <w:r w:rsidRPr="00A42549">
        <w:rPr>
          <w:i/>
        </w:rPr>
        <w:t>Pericope Bibliography</w:t>
      </w:r>
      <w:r w:rsidRPr="00A42549">
        <w:t>)</w:t>
      </w:r>
      <w:r w:rsidRPr="00A42549">
        <w:rPr>
          <w:rFonts w:eastAsiaTheme="minorHAnsi" w:cs="CenturySchoolbook-Bold"/>
          <w:bCs/>
        </w:rPr>
        <w:t xml:space="preserve"> </w:t>
      </w:r>
      <w:r w:rsidRPr="00A42549">
        <w:t xml:space="preserve"> is the most painstaking advocate of this view, though he had a brief flirtation with Cyrus (“Darius the Mede in His Persian-Babylonian Setting”).</w:t>
      </w:r>
    </w:p>
  </w:footnote>
  <w:footnote w:id="89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Whitcomb, </w:t>
      </w:r>
      <w:r w:rsidRPr="00A42549">
        <w:rPr>
          <w:i/>
          <w:sz w:val="22"/>
          <w:szCs w:val="22"/>
        </w:rPr>
        <w:t>Darius the Mede</w:t>
      </w:r>
      <w:r w:rsidRPr="00A42549">
        <w:rPr>
          <w:sz w:val="22"/>
          <w:szCs w:val="22"/>
        </w:rPr>
        <w:t>.</w:t>
      </w:r>
    </w:p>
  </w:footnote>
  <w:footnote w:id="89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Koch, “Dareios, der Meder.”</w:t>
      </w:r>
    </w:p>
  </w:footnote>
  <w:footnote w:id="89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Ashley, </w:t>
      </w:r>
      <w:r w:rsidRPr="00A42549">
        <w:rPr>
          <w:i/>
          <w:sz w:val="22"/>
          <w:szCs w:val="22"/>
        </w:rPr>
        <w:t xml:space="preserve">Daniel Chapters 1–6, </w:t>
      </w:r>
      <w:r w:rsidRPr="00A42549">
        <w:rPr>
          <w:sz w:val="22"/>
          <w:szCs w:val="22"/>
        </w:rPr>
        <w:t xml:space="preserve">on the passage; cf. Ps-Saadia and Rashi in </w:t>
      </w:r>
      <w:r w:rsidRPr="00A42549">
        <w:rPr>
          <w:rFonts w:ascii="Arial" w:hAnsi="Arial" w:cs="Arial"/>
          <w:sz w:val="22"/>
          <w:szCs w:val="22"/>
        </w:rPr>
        <w:t>גדולות</w:t>
      </w:r>
      <w:r w:rsidRPr="00A42549">
        <w:rPr>
          <w:sz w:val="22"/>
          <w:szCs w:val="22"/>
        </w:rPr>
        <w:t xml:space="preserve"> </w:t>
      </w:r>
      <w:r w:rsidRPr="00A42549">
        <w:rPr>
          <w:rFonts w:ascii="Arial" w:hAnsi="Arial" w:cs="Arial"/>
          <w:sz w:val="22"/>
          <w:szCs w:val="22"/>
        </w:rPr>
        <w:t>מקראות</w:t>
      </w:r>
      <w:r w:rsidRPr="00A42549">
        <w:rPr>
          <w:sz w:val="22"/>
          <w:szCs w:val="22"/>
        </w:rPr>
        <w:t xml:space="preserve"> on the passage.</w:t>
      </w:r>
    </w:p>
  </w:footnote>
  <w:footnote w:id="90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Lister, “‘Mene, mene, tekel, upharsin’”; Galling, “Die 62 Jahre des Meders Darius in Dan 6 1.”</w:t>
      </w:r>
    </w:p>
  </w:footnote>
  <w:footnote w:id="90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Wallace, </w:t>
      </w:r>
      <w:r w:rsidRPr="00A42549">
        <w:rPr>
          <w:i/>
          <w:sz w:val="22"/>
          <w:szCs w:val="22"/>
        </w:rPr>
        <w:t>The Lord Is King</w:t>
      </w:r>
      <w:r w:rsidRPr="00A42549">
        <w:rPr>
          <w:sz w:val="22"/>
          <w:szCs w:val="22"/>
        </w:rPr>
        <w:t>, on the passage.</w:t>
      </w:r>
    </w:p>
  </w:footnote>
  <w:footnote w:id="902">
    <w:p w:rsidR="00786194" w:rsidRPr="00A42549" w:rsidRDefault="00786194" w:rsidP="00287A93">
      <w:pPr>
        <w:pStyle w:val="FootnoteText"/>
        <w:rPr>
          <w:i/>
          <w:sz w:val="22"/>
          <w:szCs w:val="22"/>
        </w:rPr>
      </w:pPr>
      <w:r w:rsidRPr="00A42549">
        <w:rPr>
          <w:rStyle w:val="FootnoteReference"/>
          <w:sz w:val="22"/>
          <w:szCs w:val="22"/>
        </w:rPr>
        <w:footnoteRef/>
      </w:r>
      <w:r w:rsidRPr="00A42549">
        <w:rPr>
          <w:sz w:val="22"/>
          <w:szCs w:val="22"/>
        </w:rPr>
        <w:t xml:space="preserve"> Wright, </w:t>
      </w:r>
      <w:r w:rsidRPr="00A42549">
        <w:rPr>
          <w:i/>
          <w:sz w:val="22"/>
          <w:szCs w:val="22"/>
        </w:rPr>
        <w:t xml:space="preserve">Hearing the Message of Daniel, </w:t>
      </w:r>
      <w:r w:rsidRPr="00A42549">
        <w:rPr>
          <w:sz w:val="22"/>
          <w:szCs w:val="22"/>
        </w:rPr>
        <w:t>101.</w:t>
      </w:r>
      <w:r w:rsidRPr="00A42549">
        <w:rPr>
          <w:i/>
          <w:sz w:val="22"/>
          <w:szCs w:val="22"/>
        </w:rPr>
        <w:t xml:space="preserve"> </w:t>
      </w:r>
    </w:p>
  </w:footnote>
  <w:footnote w:id="90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Hill, “Daniel,” 103.</w:t>
      </w:r>
    </w:p>
  </w:footnote>
  <w:footnote w:id="904">
    <w:p w:rsidR="00786194" w:rsidRPr="00A42549" w:rsidRDefault="00786194" w:rsidP="00287A93">
      <w:pPr>
        <w:pStyle w:val="FootnoteText"/>
        <w:rPr>
          <w:sz w:val="22"/>
          <w:szCs w:val="22"/>
        </w:rPr>
      </w:pPr>
      <w:r w:rsidRPr="00A42549">
        <w:rPr>
          <w:rStyle w:val="FootnoteReference"/>
          <w:sz w:val="22"/>
          <w:szCs w:val="22"/>
        </w:rPr>
        <w:footnoteRef/>
      </w:r>
      <w:r w:rsidRPr="00A42549">
        <w:rPr>
          <w:sz w:val="22"/>
          <w:szCs w:val="22"/>
        </w:rPr>
        <w:t xml:space="preserve"> Nolan Fewell, </w:t>
      </w:r>
      <w:r w:rsidRPr="00A42549">
        <w:rPr>
          <w:i/>
          <w:sz w:val="22"/>
          <w:szCs w:val="22"/>
        </w:rPr>
        <w:t>Circle of Sovereignty</w:t>
      </w:r>
      <w:r w:rsidRPr="00A42549">
        <w:rPr>
          <w:sz w:val="22"/>
          <w:szCs w:val="22"/>
        </w:rPr>
        <w:t>,</w:t>
      </w:r>
      <w:r w:rsidRPr="00A42549">
        <w:rPr>
          <w:i/>
          <w:sz w:val="22"/>
          <w:szCs w:val="22"/>
        </w:rPr>
        <w:t xml:space="preserve"> </w:t>
      </w:r>
      <w:r w:rsidRPr="00A42549">
        <w:rPr>
          <w:sz w:val="22"/>
          <w:szCs w:val="22"/>
        </w:rPr>
        <w:t>84.</w:t>
      </w:r>
    </w:p>
  </w:footnote>
  <w:footnote w:id="905">
    <w:p w:rsidR="00786194" w:rsidRPr="00A42549" w:rsidRDefault="00786194" w:rsidP="00287A93">
      <w:pPr>
        <w:pStyle w:val="FootnoteText"/>
        <w:rPr>
          <w:sz w:val="22"/>
          <w:szCs w:val="22"/>
        </w:rPr>
      </w:pPr>
      <w:r w:rsidRPr="00A42549">
        <w:rPr>
          <w:rStyle w:val="FootnoteReference"/>
          <w:sz w:val="22"/>
          <w:szCs w:val="22"/>
        </w:rPr>
        <w:footnoteRef/>
      </w:r>
      <w:r w:rsidRPr="00A42549">
        <w:rPr>
          <w:sz w:val="22"/>
          <w:szCs w:val="22"/>
        </w:rPr>
        <w:t xml:space="preserve"> Cf. Calvin, </w:t>
      </w:r>
      <w:r w:rsidRPr="00A42549">
        <w:rPr>
          <w:i/>
          <w:sz w:val="22"/>
          <w:szCs w:val="22"/>
        </w:rPr>
        <w:t>Daniel 1—6</w:t>
      </w:r>
      <w:r w:rsidRPr="00A42549">
        <w:rPr>
          <w:sz w:val="22"/>
          <w:szCs w:val="22"/>
        </w:rPr>
        <w:t>, 207.</w:t>
      </w:r>
    </w:p>
  </w:footnote>
  <w:footnote w:id="906">
    <w:p w:rsidR="00786194" w:rsidRPr="00A42549" w:rsidRDefault="00786194" w:rsidP="00287A93">
      <w:pPr>
        <w:pStyle w:val="FootnoteText"/>
        <w:rPr>
          <w:sz w:val="22"/>
          <w:szCs w:val="22"/>
        </w:rPr>
      </w:pPr>
      <w:r w:rsidRPr="00A42549">
        <w:rPr>
          <w:rStyle w:val="FootnoteReference"/>
          <w:sz w:val="22"/>
          <w:szCs w:val="22"/>
        </w:rPr>
        <w:footnoteRef/>
      </w:r>
      <w:r w:rsidRPr="00A42549">
        <w:rPr>
          <w:sz w:val="22"/>
          <w:szCs w:val="22"/>
        </w:rPr>
        <w:t xml:space="preserve"> Cf. Lucas, </w:t>
      </w:r>
      <w:r w:rsidRPr="00A42549">
        <w:rPr>
          <w:i/>
          <w:sz w:val="22"/>
          <w:szCs w:val="22"/>
        </w:rPr>
        <w:t>Daniel</w:t>
      </w:r>
      <w:r w:rsidRPr="00A42549">
        <w:rPr>
          <w:sz w:val="22"/>
          <w:szCs w:val="22"/>
        </w:rPr>
        <w:t>, 138.</w:t>
      </w:r>
    </w:p>
  </w:footnote>
  <w:footnote w:id="907">
    <w:p w:rsidR="00786194" w:rsidRPr="00A42549" w:rsidRDefault="00786194" w:rsidP="00165DF3">
      <w:pPr>
        <w:pStyle w:val="FootnoteText"/>
        <w:rPr>
          <w:sz w:val="22"/>
          <w:szCs w:val="22"/>
        </w:rPr>
      </w:pPr>
      <w:r w:rsidRPr="00A42549">
        <w:rPr>
          <w:rStyle w:val="FootnoteReference"/>
          <w:sz w:val="22"/>
          <w:szCs w:val="22"/>
        </w:rPr>
        <w:footnoteRef/>
      </w:r>
      <w:r w:rsidRPr="00A42549">
        <w:rPr>
          <w:sz w:val="22"/>
          <w:szCs w:val="22"/>
        </w:rPr>
        <w:t xml:space="preserve"> De Bruyn (“</w:t>
      </w:r>
      <w:r w:rsidRPr="00A42549">
        <w:rPr>
          <w:rFonts w:eastAsiaTheme="minorHAnsi" w:cs="Times New Roman"/>
          <w:bCs/>
          <w:color w:val="000000"/>
          <w:sz w:val="22"/>
          <w:szCs w:val="22"/>
        </w:rPr>
        <w:t>Daniel 5, Elohim and Marduk”) sees Dan 5 as “the final battle” between the God of Israel and Marduk, on the latter’s territory.</w:t>
      </w:r>
    </w:p>
  </w:footnote>
  <w:footnote w:id="9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E.g., Hippolytus, </w:t>
      </w:r>
      <w:r w:rsidRPr="00A42549">
        <w:rPr>
          <w:i/>
          <w:sz w:val="22"/>
          <w:szCs w:val="22"/>
        </w:rPr>
        <w:t xml:space="preserve">Daniel </w:t>
      </w:r>
      <w:r w:rsidRPr="00A42549">
        <w:rPr>
          <w:sz w:val="22"/>
          <w:szCs w:val="22"/>
        </w:rPr>
        <w:t>3.14.</w:t>
      </w:r>
    </w:p>
  </w:footnote>
  <w:footnote w:id="90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Collins, </w:t>
      </w:r>
      <w:r w:rsidRPr="00A42549">
        <w:rPr>
          <w:i/>
          <w:sz w:val="22"/>
          <w:szCs w:val="22"/>
        </w:rPr>
        <w:t>Daniel</w:t>
      </w:r>
      <w:r w:rsidRPr="00A42549">
        <w:rPr>
          <w:sz w:val="22"/>
          <w:szCs w:val="22"/>
        </w:rPr>
        <w:t>, 246.</w:t>
      </w:r>
    </w:p>
  </w:footnote>
  <w:footnote w:id="91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Segal</w:t>
      </w:r>
      <w:r w:rsidRPr="00A42549">
        <w:rPr>
          <w:b/>
          <w:sz w:val="22"/>
          <w:szCs w:val="22"/>
        </w:rPr>
        <w:t xml:space="preserve">, </w:t>
      </w:r>
      <w:r w:rsidRPr="00A42549">
        <w:rPr>
          <w:sz w:val="22"/>
          <w:szCs w:val="22"/>
        </w:rPr>
        <w:t>“Rereading the Writing on the Wall.”</w:t>
      </w:r>
    </w:p>
  </w:footnote>
  <w:footnote w:id="91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Anderson, </w:t>
      </w:r>
      <w:r w:rsidRPr="00A42549">
        <w:rPr>
          <w:i/>
          <w:sz w:val="22"/>
          <w:szCs w:val="22"/>
        </w:rPr>
        <w:t>Signs and Wonders</w:t>
      </w:r>
      <w:r w:rsidRPr="00A42549">
        <w:rPr>
          <w:sz w:val="22"/>
          <w:szCs w:val="22"/>
        </w:rPr>
        <w:t>, on the passage.</w:t>
      </w:r>
    </w:p>
  </w:footnote>
  <w:footnote w:id="91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Hebbard, </w:t>
      </w:r>
      <w:r w:rsidRPr="00A42549">
        <w:rPr>
          <w:i/>
          <w:sz w:val="22"/>
          <w:szCs w:val="22"/>
        </w:rPr>
        <w:t>Reading Daniel</w:t>
      </w:r>
      <w:r w:rsidRPr="00A42549">
        <w:rPr>
          <w:sz w:val="22"/>
          <w:szCs w:val="22"/>
        </w:rPr>
        <w:t>, 136.</w:t>
      </w:r>
    </w:p>
  </w:footnote>
  <w:footnote w:id="913">
    <w:p w:rsidR="00786194" w:rsidRPr="00A42549" w:rsidRDefault="00786194" w:rsidP="00AB0178">
      <w:pPr>
        <w:pStyle w:val="FootnoteText"/>
        <w:rPr>
          <w:sz w:val="22"/>
          <w:szCs w:val="22"/>
        </w:rPr>
      </w:pPr>
      <w:r w:rsidRPr="00A42549">
        <w:rPr>
          <w:rStyle w:val="FootnoteReference"/>
          <w:sz w:val="22"/>
          <w:szCs w:val="22"/>
        </w:rPr>
        <w:footnoteRef/>
      </w:r>
      <w:r w:rsidRPr="00A42549">
        <w:rPr>
          <w:sz w:val="22"/>
          <w:szCs w:val="22"/>
        </w:rPr>
        <w:t xml:space="preserve"> Longman, </w:t>
      </w:r>
      <w:r w:rsidRPr="00A42549">
        <w:rPr>
          <w:i/>
          <w:sz w:val="22"/>
          <w:szCs w:val="22"/>
        </w:rPr>
        <w:t>Daniel</w:t>
      </w:r>
      <w:r w:rsidRPr="00A42549">
        <w:rPr>
          <w:sz w:val="22"/>
          <w:szCs w:val="22"/>
        </w:rPr>
        <w:t>, 140.</w:t>
      </w:r>
    </w:p>
  </w:footnote>
  <w:footnote w:id="91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Berrigan, </w:t>
      </w:r>
      <w:r w:rsidRPr="00A42549">
        <w:rPr>
          <w:i/>
          <w:sz w:val="22"/>
          <w:szCs w:val="22"/>
        </w:rPr>
        <w:t>Daniel</w:t>
      </w:r>
      <w:r w:rsidRPr="00A42549">
        <w:rPr>
          <w:sz w:val="22"/>
          <w:szCs w:val="22"/>
        </w:rPr>
        <w:t>, 82.</w:t>
      </w:r>
    </w:p>
  </w:footnote>
  <w:footnote w:id="91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Lüthi, </w:t>
      </w:r>
      <w:r w:rsidRPr="00A42549">
        <w:rPr>
          <w:i/>
          <w:sz w:val="22"/>
          <w:szCs w:val="22"/>
        </w:rPr>
        <w:t>The Church to Come</w:t>
      </w:r>
      <w:r w:rsidRPr="00A42549">
        <w:rPr>
          <w:sz w:val="22"/>
          <w:szCs w:val="22"/>
        </w:rPr>
        <w:t>, 75.</w:t>
      </w:r>
    </w:p>
  </w:footnote>
  <w:footnote w:id="916">
    <w:p w:rsidR="00786194" w:rsidRPr="00A42549" w:rsidRDefault="00786194" w:rsidP="0062476E">
      <w:pPr>
        <w:pStyle w:val="FootnoteText"/>
        <w:rPr>
          <w:sz w:val="22"/>
          <w:szCs w:val="22"/>
        </w:rPr>
      </w:pPr>
      <w:r w:rsidRPr="00A42549">
        <w:rPr>
          <w:rStyle w:val="FootnoteReference"/>
          <w:sz w:val="22"/>
          <w:szCs w:val="22"/>
        </w:rPr>
        <w:footnoteRef/>
      </w:r>
      <w:r w:rsidRPr="00A42549">
        <w:rPr>
          <w:sz w:val="22"/>
          <w:szCs w:val="22"/>
        </w:rPr>
        <w:t xml:space="preserve"> Hebbert, </w:t>
      </w:r>
      <w:r w:rsidRPr="00A42549">
        <w:rPr>
          <w:i/>
          <w:sz w:val="22"/>
          <w:szCs w:val="22"/>
        </w:rPr>
        <w:t>Reading Daniel</w:t>
      </w:r>
      <w:r w:rsidRPr="00A42549">
        <w:rPr>
          <w:sz w:val="22"/>
          <w:szCs w:val="22"/>
        </w:rPr>
        <w:t>, 137.</w:t>
      </w:r>
    </w:p>
  </w:footnote>
  <w:footnote w:id="91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Lacocque, </w:t>
      </w:r>
      <w:r w:rsidRPr="00A42549">
        <w:rPr>
          <w:i/>
          <w:sz w:val="22"/>
          <w:szCs w:val="22"/>
        </w:rPr>
        <w:t>Daniel</w:t>
      </w:r>
      <w:r w:rsidRPr="00A42549">
        <w:rPr>
          <w:sz w:val="22"/>
          <w:szCs w:val="22"/>
        </w:rPr>
        <w:t>, on the passage.</w:t>
      </w:r>
    </w:p>
  </w:footnote>
  <w:footnote w:id="91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on the passage.</w:t>
      </w:r>
    </w:p>
  </w:footnote>
  <w:footnote w:id="919">
    <w:p w:rsidR="00786194" w:rsidRPr="00A42549" w:rsidRDefault="00786194" w:rsidP="0062476E">
      <w:pPr>
        <w:pStyle w:val="FootnoteText"/>
        <w:rPr>
          <w:sz w:val="22"/>
          <w:szCs w:val="22"/>
        </w:rPr>
      </w:pPr>
      <w:r w:rsidRPr="00A42549">
        <w:rPr>
          <w:rStyle w:val="FootnoteReference"/>
          <w:sz w:val="22"/>
          <w:szCs w:val="22"/>
        </w:rPr>
        <w:footnoteRef/>
      </w:r>
      <w:r w:rsidRPr="00A42549">
        <w:rPr>
          <w:sz w:val="22"/>
          <w:szCs w:val="22"/>
        </w:rPr>
        <w:t xml:space="preserve"> Theodoret, </w:t>
      </w:r>
      <w:r w:rsidRPr="00A42549">
        <w:rPr>
          <w:i/>
          <w:sz w:val="22"/>
          <w:szCs w:val="22"/>
        </w:rPr>
        <w:t>Daniel</w:t>
      </w:r>
      <w:r w:rsidRPr="00A42549">
        <w:rPr>
          <w:sz w:val="22"/>
          <w:szCs w:val="22"/>
        </w:rPr>
        <w:t>, 150-53.</w:t>
      </w:r>
    </w:p>
  </w:footnote>
  <w:footnote w:id="92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on the passage.</w:t>
      </w:r>
    </w:p>
  </w:footnote>
  <w:footnote w:id="92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Hebbard, </w:t>
      </w:r>
      <w:r w:rsidRPr="00A42549">
        <w:rPr>
          <w:i/>
          <w:sz w:val="22"/>
          <w:szCs w:val="22"/>
        </w:rPr>
        <w:t>Reading Daniel</w:t>
      </w:r>
      <w:r w:rsidRPr="00A42549">
        <w:rPr>
          <w:sz w:val="22"/>
          <w:szCs w:val="22"/>
        </w:rPr>
        <w:t>, 125.</w:t>
      </w:r>
    </w:p>
  </w:footnote>
  <w:footnote w:id="92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Russell, </w:t>
      </w:r>
      <w:r w:rsidRPr="00A42549">
        <w:rPr>
          <w:i/>
          <w:sz w:val="22"/>
          <w:szCs w:val="22"/>
        </w:rPr>
        <w:t>The Method and Message of Jewish Apocalyptic</w:t>
      </w:r>
      <w:r w:rsidRPr="00A42549">
        <w:rPr>
          <w:sz w:val="22"/>
          <w:szCs w:val="22"/>
        </w:rPr>
        <w:t>, 232.</w:t>
      </w:r>
    </w:p>
  </w:footnote>
  <w:footnote w:id="92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The emphasis of K. Koch, “Gibt es ein Vergeltungsdogma im AT?” ET “Is There a Doctrine of Retribution in the OT.”</w:t>
      </w:r>
    </w:p>
  </w:footnote>
  <w:footnote w:id="92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Collins, </w:t>
      </w:r>
      <w:r w:rsidRPr="00A42549">
        <w:rPr>
          <w:i/>
          <w:sz w:val="22"/>
          <w:szCs w:val="22"/>
        </w:rPr>
        <w:t>Daniel with an Introduction to Apocalyptic Literature</w:t>
      </w:r>
      <w:r w:rsidRPr="00A42549">
        <w:rPr>
          <w:sz w:val="22"/>
          <w:szCs w:val="22"/>
        </w:rPr>
        <w:t>, 70.</w:t>
      </w:r>
    </w:p>
  </w:footnote>
  <w:footnote w:id="92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Atzerodt, “Weltgeschichte und Reich Gottes im Buch Daniel,” 246.</w:t>
      </w:r>
    </w:p>
  </w:footnote>
  <w:footnote w:id="92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Lacocque, </w:t>
      </w:r>
      <w:r w:rsidRPr="00A42549">
        <w:rPr>
          <w:i/>
          <w:sz w:val="22"/>
          <w:szCs w:val="22"/>
        </w:rPr>
        <w:t>Daniel</w:t>
      </w:r>
      <w:r w:rsidRPr="00A42549">
        <w:rPr>
          <w:sz w:val="22"/>
          <w:szCs w:val="22"/>
        </w:rPr>
        <w:t>, on the passage.</w:t>
      </w:r>
    </w:p>
  </w:footnote>
  <w:footnote w:id="92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Barth, </w:t>
      </w:r>
      <w:r w:rsidRPr="00A42549">
        <w:rPr>
          <w:i/>
          <w:sz w:val="22"/>
          <w:szCs w:val="22"/>
        </w:rPr>
        <w:t>CD</w:t>
      </w:r>
      <w:r w:rsidRPr="00A42549">
        <w:rPr>
          <w:sz w:val="22"/>
          <w:szCs w:val="22"/>
        </w:rPr>
        <w:t xml:space="preserve"> iii, 3:235.</w:t>
      </w:r>
    </w:p>
  </w:footnote>
  <w:footnote w:id="92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Barr, “Daniel,” on the passage.</w:t>
      </w:r>
    </w:p>
  </w:footnote>
  <w:footnote w:id="929">
    <w:p w:rsidR="00786194" w:rsidRPr="00A42549" w:rsidRDefault="00786194" w:rsidP="0051322E">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on the passage.</w:t>
      </w:r>
    </w:p>
  </w:footnote>
  <w:footnote w:id="93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Driver, </w:t>
      </w:r>
      <w:r w:rsidRPr="00A42549">
        <w:rPr>
          <w:i/>
          <w:sz w:val="22"/>
          <w:szCs w:val="22"/>
        </w:rPr>
        <w:t>Daniel</w:t>
      </w:r>
      <w:r w:rsidRPr="00A42549">
        <w:rPr>
          <w:sz w:val="22"/>
          <w:szCs w:val="22"/>
        </w:rPr>
        <w:t>, on the passage.</w:t>
      </w:r>
    </w:p>
  </w:footnote>
  <w:footnote w:id="93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Rupert</w:t>
      </w:r>
      <w:r w:rsidRPr="00A42549">
        <w:rPr>
          <w:b/>
          <w:sz w:val="22"/>
          <w:szCs w:val="22"/>
        </w:rPr>
        <w:t xml:space="preserve"> </w:t>
      </w:r>
      <w:r w:rsidRPr="00A42549">
        <w:rPr>
          <w:sz w:val="22"/>
          <w:szCs w:val="22"/>
        </w:rPr>
        <w:t>of Deutz</w:t>
      </w:r>
      <w:r w:rsidRPr="00A42549">
        <w:rPr>
          <w:b/>
          <w:sz w:val="22"/>
          <w:szCs w:val="22"/>
        </w:rPr>
        <w:t>.</w:t>
      </w:r>
      <w:r w:rsidRPr="00A42549">
        <w:rPr>
          <w:sz w:val="22"/>
          <w:szCs w:val="22"/>
        </w:rPr>
        <w:t xml:space="preserve"> </w:t>
      </w:r>
      <w:r w:rsidRPr="00A42549">
        <w:rPr>
          <w:i/>
          <w:sz w:val="22"/>
          <w:szCs w:val="22"/>
        </w:rPr>
        <w:t>De Trinitate: in Danielem prophetam</w:t>
      </w:r>
      <w:r w:rsidRPr="00A42549">
        <w:rPr>
          <w:sz w:val="22"/>
          <w:szCs w:val="22"/>
        </w:rPr>
        <w:t>, on the passage.</w:t>
      </w:r>
    </w:p>
  </w:footnote>
  <w:footnote w:id="93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Aukerman’s comments (</w:t>
      </w:r>
      <w:r w:rsidRPr="00A42549">
        <w:rPr>
          <w:i/>
          <w:sz w:val="22"/>
          <w:szCs w:val="22"/>
        </w:rPr>
        <w:t>Darkening Valley</w:t>
      </w:r>
      <w:r w:rsidRPr="00A42549">
        <w:rPr>
          <w:sz w:val="22"/>
          <w:szCs w:val="22"/>
        </w:rPr>
        <w:t>, 119) on the implications of J. F. Kennedy’s death,; and Gammie’s comments (</w:t>
      </w:r>
      <w:r w:rsidRPr="00A42549">
        <w:rPr>
          <w:i/>
          <w:sz w:val="22"/>
          <w:szCs w:val="22"/>
        </w:rPr>
        <w:t>Daniel</w:t>
      </w:r>
      <w:r w:rsidRPr="00A42549">
        <w:rPr>
          <w:sz w:val="22"/>
          <w:szCs w:val="22"/>
        </w:rPr>
        <w:t>, on the passage)</w:t>
      </w:r>
      <w:r w:rsidRPr="00A42549">
        <w:rPr>
          <w:i/>
          <w:sz w:val="22"/>
          <w:szCs w:val="22"/>
        </w:rPr>
        <w:t xml:space="preserve"> </w:t>
      </w:r>
      <w:r w:rsidRPr="00A42549">
        <w:rPr>
          <w:sz w:val="22"/>
          <w:szCs w:val="22"/>
        </w:rPr>
        <w:t>on the Shah’s fabulous banquet at Persepolis in 1971 that opened a decade in which the Shah lost first his empire and then his life.</w:t>
      </w:r>
    </w:p>
  </w:footnote>
  <w:footnote w:id="93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Gowan, </w:t>
      </w:r>
      <w:r w:rsidRPr="00A42549">
        <w:rPr>
          <w:i/>
          <w:sz w:val="22"/>
          <w:szCs w:val="22"/>
        </w:rPr>
        <w:t>Daniel</w:t>
      </w:r>
      <w:r w:rsidRPr="00A42549">
        <w:rPr>
          <w:sz w:val="22"/>
          <w:szCs w:val="22"/>
        </w:rPr>
        <w:t>, on the chapter.</w:t>
      </w:r>
    </w:p>
  </w:footnote>
  <w:footnote w:id="93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Wallace, </w:t>
      </w:r>
      <w:r w:rsidRPr="00A42549">
        <w:rPr>
          <w:i/>
          <w:sz w:val="22"/>
          <w:szCs w:val="22"/>
        </w:rPr>
        <w:t>The Lord Is King</w:t>
      </w:r>
      <w:r w:rsidRPr="00A42549">
        <w:rPr>
          <w:sz w:val="22"/>
          <w:szCs w:val="22"/>
        </w:rPr>
        <w:t>, on the passage.</w:t>
      </w:r>
    </w:p>
  </w:footnote>
  <w:footnote w:id="93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Aukerman, </w:t>
      </w:r>
      <w:r w:rsidRPr="00A42549">
        <w:rPr>
          <w:i/>
          <w:sz w:val="22"/>
          <w:szCs w:val="22"/>
        </w:rPr>
        <w:t>Darkening Valley</w:t>
      </w:r>
      <w:r w:rsidRPr="00A42549">
        <w:rPr>
          <w:sz w:val="22"/>
          <w:szCs w:val="22"/>
        </w:rPr>
        <w:t>, 102–8.</w:t>
      </w:r>
    </w:p>
  </w:footnote>
  <w:footnote w:id="93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Dobberahn</w:t>
      </w:r>
      <w:r w:rsidRPr="00A42549">
        <w:rPr>
          <w:b/>
          <w:sz w:val="22"/>
          <w:szCs w:val="22"/>
        </w:rPr>
        <w:t xml:space="preserve">, </w:t>
      </w:r>
      <w:r w:rsidRPr="00A42549">
        <w:rPr>
          <w:sz w:val="22"/>
          <w:szCs w:val="22"/>
        </w:rPr>
        <w:t>“</w:t>
      </w:r>
      <w:r w:rsidRPr="00A42549">
        <w:rPr>
          <w:bCs/>
          <w:sz w:val="22"/>
          <w:szCs w:val="22"/>
        </w:rPr>
        <w:t>Daniel 5.25.”</w:t>
      </w:r>
    </w:p>
  </w:footnote>
  <w:footnote w:id="93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Barton, “The Story of Aḥikar”; Collins, </w:t>
      </w:r>
      <w:r w:rsidRPr="00A42549">
        <w:rPr>
          <w:i/>
          <w:sz w:val="22"/>
          <w:szCs w:val="22"/>
        </w:rPr>
        <w:t>Apocalyptic Vision of the Book of Daniel</w:t>
      </w:r>
      <w:r w:rsidRPr="00A42549">
        <w:rPr>
          <w:sz w:val="22"/>
          <w:szCs w:val="22"/>
        </w:rPr>
        <w:t>, 49–54; Krappe, “Is the Story of Aḥikar the Wise of Indian Origin?”</w:t>
      </w:r>
    </w:p>
  </w:footnote>
  <w:footnote w:id="93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Joubert, </w:t>
      </w:r>
      <w:r w:rsidRPr="00A42549">
        <w:rPr>
          <w:i/>
          <w:sz w:val="22"/>
          <w:szCs w:val="22"/>
        </w:rPr>
        <w:t>Power and Responsibility in the Book of Daniel</w:t>
      </w:r>
      <w:r w:rsidRPr="00A42549">
        <w:rPr>
          <w:sz w:val="22"/>
          <w:szCs w:val="22"/>
        </w:rPr>
        <w:t>, 114-15.</w:t>
      </w:r>
    </w:p>
  </w:footnote>
  <w:footnote w:id="93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Talmon, “‘Wisdom’ in the Book of Esther,” 441; cf. Rosenthal, “Die Josephsgeschichte mit den Büchern Ester und Daniel verglichen”; </w:t>
      </w:r>
      <w:r w:rsidRPr="00A42549">
        <w:rPr>
          <w:b/>
          <w:bCs/>
          <w:sz w:val="22"/>
          <w:szCs w:val="22"/>
        </w:rPr>
        <w:t xml:space="preserve">——— , </w:t>
      </w:r>
      <w:r w:rsidRPr="00A42549">
        <w:rPr>
          <w:sz w:val="22"/>
          <w:szCs w:val="22"/>
        </w:rPr>
        <w:t>“Nochmals der Vergleich Ester, Joseph, Daniel.”</w:t>
      </w:r>
    </w:p>
  </w:footnote>
  <w:footnote w:id="94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Collins, </w:t>
      </w:r>
      <w:r w:rsidRPr="00A42549">
        <w:rPr>
          <w:i/>
          <w:sz w:val="22"/>
          <w:szCs w:val="22"/>
        </w:rPr>
        <w:t>Daniel with an Introduction to Apocalyptic Literature</w:t>
      </w:r>
      <w:r w:rsidRPr="00A42549">
        <w:rPr>
          <w:sz w:val="22"/>
          <w:szCs w:val="22"/>
        </w:rPr>
        <w:t>, 72.</w:t>
      </w:r>
    </w:p>
  </w:footnote>
  <w:footnote w:id="94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further Van Deventer, “Literary Lions.”</w:t>
      </w:r>
    </w:p>
  </w:footnote>
  <w:footnote w:id="94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Bentzen, “Daniel 6”; Gunkel, </w:t>
      </w:r>
      <w:r w:rsidRPr="00A42549">
        <w:rPr>
          <w:i/>
          <w:sz w:val="22"/>
          <w:szCs w:val="22"/>
        </w:rPr>
        <w:t>Das Märchen im AT</w:t>
      </w:r>
      <w:r w:rsidRPr="00A42549">
        <w:rPr>
          <w:sz w:val="22"/>
          <w:szCs w:val="22"/>
        </w:rPr>
        <w:t>, 33 (ET 53).</w:t>
      </w:r>
    </w:p>
  </w:footnote>
  <w:footnote w:id="94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Van der Toorn</w:t>
      </w:r>
      <w:r w:rsidRPr="00A42549">
        <w:rPr>
          <w:b/>
          <w:sz w:val="22"/>
          <w:szCs w:val="22"/>
        </w:rPr>
        <w:t xml:space="preserve">, </w:t>
      </w:r>
      <w:r w:rsidRPr="00A42549">
        <w:rPr>
          <w:sz w:val="22"/>
          <w:szCs w:val="22"/>
        </w:rPr>
        <w:t xml:space="preserve">“In the Lions’ Den”; more broadly, “Scholars at the Oriental Court”; more broadly still, Strawn, </w:t>
      </w:r>
      <w:r w:rsidRPr="00A42549">
        <w:rPr>
          <w:i/>
          <w:sz w:val="22"/>
          <w:szCs w:val="22"/>
        </w:rPr>
        <w:t>What is Stronger than a Lion?</w:t>
      </w:r>
    </w:p>
  </w:footnote>
  <w:footnote w:id="94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Prinsloo, </w:t>
      </w:r>
      <w:r w:rsidRPr="00A42549">
        <w:rPr>
          <w:bCs/>
          <w:sz w:val="22"/>
          <w:szCs w:val="22"/>
        </w:rPr>
        <w:t>“Two Poems in a Sea of Prose,” 104.</w:t>
      </w:r>
    </w:p>
  </w:footnote>
  <w:footnote w:id="94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Di Lella, </w:t>
      </w:r>
      <w:r w:rsidRPr="00A42549">
        <w:rPr>
          <w:i/>
          <w:sz w:val="22"/>
          <w:szCs w:val="22"/>
        </w:rPr>
        <w:t>Daniel</w:t>
      </w:r>
      <w:r w:rsidRPr="00A42549">
        <w:rPr>
          <w:sz w:val="22"/>
          <w:szCs w:val="22"/>
        </w:rPr>
        <w:t>, 121.</w:t>
      </w:r>
      <w:r w:rsidRPr="00A42549">
        <w:rPr>
          <w:i/>
          <w:sz w:val="22"/>
          <w:szCs w:val="22"/>
        </w:rPr>
        <w:t xml:space="preserve"> </w:t>
      </w:r>
      <w:r w:rsidRPr="00A42549">
        <w:rPr>
          <w:sz w:val="22"/>
          <w:szCs w:val="22"/>
        </w:rPr>
        <w:t>On seek/find, see Arnold</w:t>
      </w:r>
      <w:r w:rsidRPr="00A42549">
        <w:rPr>
          <w:b/>
          <w:sz w:val="22"/>
          <w:szCs w:val="22"/>
        </w:rPr>
        <w:t xml:space="preserve">, </w:t>
      </w:r>
      <w:r w:rsidRPr="00A42549">
        <w:rPr>
          <w:sz w:val="22"/>
          <w:szCs w:val="22"/>
        </w:rPr>
        <w:t>“Wordplay and Narrative Techniques in Daniel 5 and 6,” 482-85.</w:t>
      </w:r>
    </w:p>
  </w:footnote>
  <w:footnote w:id="94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Meadowcroft, </w:t>
      </w:r>
      <w:r w:rsidRPr="00A42549">
        <w:rPr>
          <w:i/>
          <w:sz w:val="22"/>
          <w:szCs w:val="22"/>
        </w:rPr>
        <w:t>Aramaic Daniel and Greek Daniel</w:t>
      </w:r>
      <w:r w:rsidRPr="00A42549">
        <w:rPr>
          <w:sz w:val="22"/>
          <w:szCs w:val="22"/>
        </w:rPr>
        <w:t>, 85-121, for the differences in narrative technique (the way motive is conveyed, the pace of the stories, and the functioning of irony and suspense) and in theological emphasis; morerecently Helms</w:t>
      </w:r>
      <w:r w:rsidRPr="00A42549">
        <w:rPr>
          <w:b/>
          <w:sz w:val="22"/>
          <w:szCs w:val="22"/>
        </w:rPr>
        <w:t xml:space="preserve">, </w:t>
      </w:r>
      <w:r w:rsidRPr="00A42549">
        <w:rPr>
          <w:i/>
          <w:sz w:val="22"/>
          <w:szCs w:val="22"/>
        </w:rPr>
        <w:t>Konfliktfelder der Diaspora und die Löwengrube</w:t>
      </w:r>
      <w:r w:rsidRPr="00A42549">
        <w:rPr>
          <w:sz w:val="22"/>
          <w:szCs w:val="22"/>
        </w:rPr>
        <w:t xml:space="preserve">; also Albertz, </w:t>
      </w:r>
      <w:r w:rsidRPr="00A42549">
        <w:rPr>
          <w:i/>
          <w:sz w:val="22"/>
          <w:szCs w:val="22"/>
        </w:rPr>
        <w:t>Der Gott des Daniel</w:t>
      </w:r>
      <w:r w:rsidRPr="00A42549">
        <w:rPr>
          <w:sz w:val="22"/>
          <w:szCs w:val="22"/>
        </w:rPr>
        <w:t>). Collins (</w:t>
      </w:r>
      <w:r w:rsidRPr="00A42549">
        <w:rPr>
          <w:i/>
          <w:sz w:val="22"/>
          <w:szCs w:val="22"/>
        </w:rPr>
        <w:t>Daniel</w:t>
      </w:r>
      <w:r w:rsidRPr="00A42549">
        <w:rPr>
          <w:sz w:val="22"/>
          <w:szCs w:val="22"/>
        </w:rPr>
        <w:t>, 262-63) notes that OG is less hyperbolic.</w:t>
      </w:r>
    </w:p>
  </w:footnote>
  <w:footnote w:id="94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e.g., Schlenke</w:t>
      </w:r>
      <w:r w:rsidRPr="00A42549">
        <w:rPr>
          <w:b/>
          <w:sz w:val="22"/>
          <w:szCs w:val="22"/>
        </w:rPr>
        <w:t xml:space="preserve">, </w:t>
      </w:r>
      <w:r w:rsidRPr="00A42549">
        <w:rPr>
          <w:i/>
          <w:sz w:val="22"/>
          <w:szCs w:val="22"/>
        </w:rPr>
        <w:t>Gottes Reich und Königs Macht</w:t>
      </w:r>
      <w:r w:rsidRPr="00A42549">
        <w:rPr>
          <w:sz w:val="22"/>
          <w:szCs w:val="22"/>
        </w:rPr>
        <w:t>.</w:t>
      </w:r>
    </w:p>
  </w:footnote>
  <w:footnote w:id="94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Collins, </w:t>
      </w:r>
      <w:r w:rsidRPr="00A42549">
        <w:rPr>
          <w:i/>
          <w:sz w:val="22"/>
          <w:szCs w:val="22"/>
        </w:rPr>
        <w:t>Daniel</w:t>
      </w:r>
      <w:r w:rsidRPr="00A42549">
        <w:rPr>
          <w:sz w:val="22"/>
          <w:szCs w:val="22"/>
        </w:rPr>
        <w:t>, 263.</w:t>
      </w:r>
    </w:p>
  </w:footnote>
  <w:footnote w:id="949">
    <w:p w:rsidR="00786194" w:rsidRPr="00A42549" w:rsidRDefault="00786194" w:rsidP="00FB129E">
      <w:pPr>
        <w:pStyle w:val="FootnoteText"/>
        <w:rPr>
          <w:sz w:val="22"/>
          <w:szCs w:val="22"/>
        </w:rPr>
      </w:pPr>
      <w:r w:rsidRPr="00A42549">
        <w:rPr>
          <w:rStyle w:val="FootnoteReference"/>
          <w:sz w:val="22"/>
          <w:szCs w:val="22"/>
        </w:rPr>
        <w:footnoteRef/>
      </w:r>
      <w:r w:rsidRPr="00A42549">
        <w:rPr>
          <w:sz w:val="22"/>
          <w:szCs w:val="22"/>
        </w:rPr>
        <w:t xml:space="preserve"> Cf. Towner, </w:t>
      </w:r>
      <w:r w:rsidRPr="00A42549">
        <w:rPr>
          <w:i/>
          <w:sz w:val="22"/>
          <w:szCs w:val="22"/>
        </w:rPr>
        <w:t>Daniel</w:t>
      </w:r>
      <w:r w:rsidRPr="00A42549">
        <w:rPr>
          <w:sz w:val="22"/>
          <w:szCs w:val="22"/>
        </w:rPr>
        <w:t>, 87.</w:t>
      </w:r>
    </w:p>
  </w:footnote>
  <w:footnote w:id="950">
    <w:p w:rsidR="00786194" w:rsidRPr="00A42549" w:rsidRDefault="00786194" w:rsidP="00FB129E">
      <w:pPr>
        <w:pStyle w:val="FootnoteText"/>
        <w:rPr>
          <w:sz w:val="22"/>
          <w:szCs w:val="22"/>
        </w:rPr>
      </w:pPr>
      <w:r w:rsidRPr="00A42549">
        <w:rPr>
          <w:rStyle w:val="FootnoteReference"/>
          <w:sz w:val="22"/>
          <w:szCs w:val="22"/>
        </w:rPr>
        <w:footnoteRef/>
      </w:r>
      <w:r w:rsidRPr="00A42549">
        <w:rPr>
          <w:sz w:val="22"/>
          <w:szCs w:val="22"/>
        </w:rPr>
        <w:t xml:space="preserve"> Davies, “Daniel in the Lion’s Den,” 164.</w:t>
      </w:r>
    </w:p>
  </w:footnote>
  <w:footnote w:id="95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Kuhrt, </w:t>
      </w:r>
      <w:r w:rsidRPr="00A42549">
        <w:rPr>
          <w:i/>
          <w:sz w:val="22"/>
          <w:szCs w:val="22"/>
        </w:rPr>
        <w:t>The Ancient Near East</w:t>
      </w:r>
      <w:r w:rsidRPr="00A42549">
        <w:rPr>
          <w:sz w:val="22"/>
          <w:szCs w:val="22"/>
        </w:rPr>
        <w:t xml:space="preserve"> 2:689; and on satrapies, 689-92, also Briant, </w:t>
      </w:r>
      <w:r w:rsidRPr="00A42549">
        <w:rPr>
          <w:i/>
          <w:sz w:val="22"/>
          <w:szCs w:val="22"/>
        </w:rPr>
        <w:t>From Cyrus to Alexander</w:t>
      </w:r>
      <w:r w:rsidRPr="00A42549">
        <w:rPr>
          <w:sz w:val="22"/>
          <w:szCs w:val="22"/>
        </w:rPr>
        <w:t>, 63-67.</w:t>
      </w:r>
    </w:p>
  </w:footnote>
  <w:footnote w:id="95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Cook, </w:t>
      </w:r>
      <w:r w:rsidRPr="00A42549">
        <w:rPr>
          <w:i/>
          <w:sz w:val="22"/>
          <w:szCs w:val="22"/>
        </w:rPr>
        <w:t>Persian Empire</w:t>
      </w:r>
      <w:r w:rsidRPr="00A42549">
        <w:rPr>
          <w:sz w:val="22"/>
          <w:szCs w:val="22"/>
        </w:rPr>
        <w:t>, 242; more generally 77–85, 167–82, etc.</w:t>
      </w:r>
    </w:p>
  </w:footnote>
  <w:footnote w:id="95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Cook sees them as judges rather than ministers (</w:t>
      </w:r>
      <w:r w:rsidRPr="00A42549">
        <w:rPr>
          <w:i/>
          <w:sz w:val="22"/>
          <w:szCs w:val="22"/>
        </w:rPr>
        <w:t>The Persian Empire</w:t>
      </w:r>
      <w:r w:rsidRPr="00A42549">
        <w:rPr>
          <w:sz w:val="22"/>
          <w:szCs w:val="22"/>
        </w:rPr>
        <w:t>, 144–45, 167–70).</w:t>
      </w:r>
    </w:p>
  </w:footnote>
  <w:footnote w:id="95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Cook, </w:t>
      </w:r>
      <w:r w:rsidRPr="00A42549">
        <w:rPr>
          <w:i/>
          <w:sz w:val="22"/>
          <w:szCs w:val="22"/>
        </w:rPr>
        <w:t>Persian Empire</w:t>
      </w:r>
      <w:r w:rsidRPr="00A42549">
        <w:rPr>
          <w:sz w:val="22"/>
          <w:szCs w:val="22"/>
        </w:rPr>
        <w:t>, 71.</w:t>
      </w:r>
    </w:p>
  </w:footnote>
  <w:footnote w:id="95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Seow, </w:t>
      </w:r>
      <w:r w:rsidRPr="00A42549">
        <w:rPr>
          <w:i/>
          <w:sz w:val="22"/>
          <w:szCs w:val="22"/>
        </w:rPr>
        <w:t>Daniel</w:t>
      </w:r>
      <w:r w:rsidRPr="00A42549">
        <w:rPr>
          <w:sz w:val="22"/>
          <w:szCs w:val="22"/>
        </w:rPr>
        <w:t>, 89-90.</w:t>
      </w:r>
    </w:p>
  </w:footnote>
  <w:footnote w:id="95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Nolan Fewell, </w:t>
      </w:r>
      <w:r w:rsidRPr="00A42549">
        <w:rPr>
          <w:i/>
          <w:sz w:val="22"/>
          <w:szCs w:val="22"/>
        </w:rPr>
        <w:t>Circle of Sovereignty</w:t>
      </w:r>
      <w:r w:rsidRPr="00A42549">
        <w:rPr>
          <w:sz w:val="22"/>
          <w:szCs w:val="22"/>
        </w:rPr>
        <w:t>, 109.</w:t>
      </w:r>
    </w:p>
  </w:footnote>
  <w:footnote w:id="95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Widengren, “The Sacral Kingship of Iran”; Frye, </w:t>
      </w:r>
      <w:r w:rsidRPr="00A42549">
        <w:rPr>
          <w:i/>
          <w:sz w:val="22"/>
          <w:szCs w:val="22"/>
        </w:rPr>
        <w:t>Heritage of Persia</w:t>
      </w:r>
      <w:r w:rsidRPr="00A42549">
        <w:rPr>
          <w:sz w:val="22"/>
          <w:szCs w:val="22"/>
        </w:rPr>
        <w:t>, 95–97.</w:t>
      </w:r>
    </w:p>
  </w:footnote>
  <w:footnote w:id="95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Walton</w:t>
      </w:r>
      <w:r w:rsidRPr="00A42549">
        <w:rPr>
          <w:b/>
          <w:sz w:val="22"/>
          <w:szCs w:val="22"/>
        </w:rPr>
        <w:t xml:space="preserve"> </w:t>
      </w:r>
      <w:r w:rsidRPr="00A42549">
        <w:rPr>
          <w:sz w:val="22"/>
          <w:szCs w:val="22"/>
        </w:rPr>
        <w:t>(“The Decree of Darius the Mede in Daniel 6”) suggests that prayers must be made via the king so that he may ensure that they are offered to Ahura Mazda.</w:t>
      </w:r>
    </w:p>
  </w:footnote>
  <w:footnote w:id="95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Meadowcroft, </w:t>
      </w:r>
      <w:r w:rsidRPr="00A42549">
        <w:rPr>
          <w:i/>
          <w:sz w:val="22"/>
          <w:szCs w:val="22"/>
        </w:rPr>
        <w:t>Aramaic Daniel and Greek Daniel</w:t>
      </w:r>
      <w:r w:rsidRPr="00A42549">
        <w:rPr>
          <w:sz w:val="22"/>
          <w:szCs w:val="22"/>
        </w:rPr>
        <w:t>, 97.</w:t>
      </w:r>
    </w:p>
  </w:footnote>
  <w:footnote w:id="960">
    <w:p w:rsidR="00786194" w:rsidRPr="00A42549" w:rsidRDefault="00786194" w:rsidP="00CF6520">
      <w:pPr>
        <w:pStyle w:val="FootnoteText"/>
        <w:rPr>
          <w:sz w:val="22"/>
          <w:szCs w:val="22"/>
        </w:rPr>
      </w:pPr>
      <w:r w:rsidRPr="00A42549">
        <w:rPr>
          <w:rStyle w:val="FootnoteReference"/>
          <w:sz w:val="22"/>
          <w:szCs w:val="22"/>
        </w:rPr>
        <w:footnoteRef/>
      </w:r>
      <w:r w:rsidRPr="00A42549">
        <w:rPr>
          <w:sz w:val="22"/>
          <w:szCs w:val="22"/>
        </w:rPr>
        <w:t xml:space="preserve"> Frisch, </w:t>
      </w:r>
      <w:r w:rsidRPr="00A42549">
        <w:rPr>
          <w:i/>
          <w:sz w:val="22"/>
          <w:szCs w:val="22"/>
        </w:rPr>
        <w:t>The Danielic Discourse on Empire</w:t>
      </w:r>
      <w:r w:rsidRPr="00A42549">
        <w:rPr>
          <w:sz w:val="22"/>
          <w:szCs w:val="22"/>
        </w:rPr>
        <w:t xml:space="preserve">, 81, following Bhabha, </w:t>
      </w:r>
      <w:r w:rsidRPr="00A42549">
        <w:rPr>
          <w:i/>
          <w:sz w:val="22"/>
          <w:szCs w:val="22"/>
        </w:rPr>
        <w:t>The Location of Culture</w:t>
      </w:r>
      <w:r w:rsidRPr="00A42549">
        <w:rPr>
          <w:sz w:val="22"/>
          <w:szCs w:val="22"/>
        </w:rPr>
        <w:t xml:space="preserve">, 122. </w:t>
      </w:r>
    </w:p>
  </w:footnote>
  <w:footnote w:id="96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Oppenheim, </w:t>
      </w:r>
      <w:r w:rsidRPr="00A42549">
        <w:rPr>
          <w:i/>
          <w:sz w:val="22"/>
          <w:szCs w:val="22"/>
        </w:rPr>
        <w:t>Ancient Mesopotamia</w:t>
      </w:r>
      <w:r w:rsidRPr="00A42549">
        <w:rPr>
          <w:sz w:val="22"/>
          <w:szCs w:val="22"/>
        </w:rPr>
        <w:t xml:space="preserve">, 46; Keil, </w:t>
      </w:r>
      <w:r w:rsidRPr="00A42549">
        <w:rPr>
          <w:i/>
          <w:sz w:val="22"/>
          <w:szCs w:val="22"/>
        </w:rPr>
        <w:t>Biblischer Kommentar</w:t>
      </w:r>
      <w:r w:rsidRPr="00A42549">
        <w:rPr>
          <w:sz w:val="22"/>
          <w:szCs w:val="22"/>
        </w:rPr>
        <w:t xml:space="preserve">, on the passage; and 2:38 </w:t>
      </w:r>
      <w:r w:rsidRPr="00A42549">
        <w:rPr>
          <w:i/>
          <w:sz w:val="22"/>
          <w:szCs w:val="22"/>
        </w:rPr>
        <w:t>Comment.</w:t>
      </w:r>
    </w:p>
  </w:footnote>
  <w:footnote w:id="96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Cook, </w:t>
      </w:r>
      <w:r w:rsidRPr="00A42549">
        <w:rPr>
          <w:i/>
          <w:sz w:val="22"/>
          <w:szCs w:val="22"/>
        </w:rPr>
        <w:t>Persian Empire</w:t>
      </w:r>
      <w:r w:rsidRPr="00A42549">
        <w:rPr>
          <w:sz w:val="22"/>
          <w:szCs w:val="22"/>
        </w:rPr>
        <w:t>, 142; for lions, 249 and plate 33.</w:t>
      </w:r>
    </w:p>
  </w:footnote>
  <w:footnote w:id="96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Cook, </w:t>
      </w:r>
      <w:r w:rsidRPr="00A42549">
        <w:rPr>
          <w:i/>
          <w:sz w:val="22"/>
          <w:szCs w:val="22"/>
        </w:rPr>
        <w:t>Persian Empire</w:t>
      </w:r>
      <w:r w:rsidRPr="00A42549">
        <w:rPr>
          <w:sz w:val="22"/>
          <w:szCs w:val="22"/>
        </w:rPr>
        <w:t>, 132, 142.</w:t>
      </w:r>
    </w:p>
  </w:footnote>
  <w:footnote w:id="96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On Darius I as a law-giver, see the varying estimates in Olmstead, </w:t>
      </w:r>
      <w:r w:rsidRPr="00A42549">
        <w:rPr>
          <w:i/>
          <w:sz w:val="22"/>
          <w:szCs w:val="22"/>
        </w:rPr>
        <w:t>Persian Empire</w:t>
      </w:r>
      <w:r w:rsidRPr="00A42549">
        <w:rPr>
          <w:sz w:val="22"/>
          <w:szCs w:val="22"/>
        </w:rPr>
        <w:t xml:space="preserve">, 119–34; Frye, </w:t>
      </w:r>
      <w:r w:rsidRPr="00A42549">
        <w:rPr>
          <w:i/>
          <w:sz w:val="22"/>
          <w:szCs w:val="22"/>
        </w:rPr>
        <w:t>Heritage</w:t>
      </w:r>
      <w:r w:rsidRPr="00A42549">
        <w:rPr>
          <w:sz w:val="22"/>
          <w:szCs w:val="22"/>
        </w:rPr>
        <w:t xml:space="preserve"> </w:t>
      </w:r>
      <w:r w:rsidRPr="00A42549">
        <w:rPr>
          <w:i/>
          <w:sz w:val="22"/>
          <w:szCs w:val="22"/>
        </w:rPr>
        <w:t>of Persia</w:t>
      </w:r>
      <w:r w:rsidRPr="00A42549">
        <w:rPr>
          <w:sz w:val="22"/>
          <w:szCs w:val="22"/>
        </w:rPr>
        <w:t xml:space="preserve"> 104–6; Cook, </w:t>
      </w:r>
      <w:r w:rsidRPr="00A42549">
        <w:rPr>
          <w:i/>
          <w:sz w:val="22"/>
          <w:szCs w:val="22"/>
        </w:rPr>
        <w:t>Persian Empire</w:t>
      </w:r>
      <w:r w:rsidRPr="00A42549">
        <w:rPr>
          <w:sz w:val="22"/>
          <w:szCs w:val="22"/>
        </w:rPr>
        <w:t>, 72–73.</w:t>
      </w:r>
    </w:p>
  </w:footnote>
  <w:footnote w:id="96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See Cook, </w:t>
      </w:r>
      <w:r w:rsidRPr="00A42549">
        <w:rPr>
          <w:i/>
          <w:sz w:val="22"/>
          <w:szCs w:val="22"/>
        </w:rPr>
        <w:t>Persian Empire</w:t>
      </w:r>
      <w:r w:rsidRPr="00A42549">
        <w:rPr>
          <w:sz w:val="22"/>
          <w:szCs w:val="22"/>
        </w:rPr>
        <w:t>, 132; he also speaks of the venality, corruption, and treachery of the court.</w:t>
      </w:r>
    </w:p>
  </w:footnote>
  <w:footnote w:id="96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Lucas, </w:t>
      </w:r>
      <w:r w:rsidRPr="00A42549">
        <w:rPr>
          <w:i/>
          <w:sz w:val="22"/>
          <w:szCs w:val="22"/>
        </w:rPr>
        <w:t>Daniel</w:t>
      </w:r>
      <w:r w:rsidRPr="00A42549">
        <w:rPr>
          <w:sz w:val="22"/>
          <w:szCs w:val="22"/>
        </w:rPr>
        <w:t xml:space="preserve">, 149. On the position of the king and his relationship with his court which is implicitly satirized, see Kuhrt, </w:t>
      </w:r>
      <w:r w:rsidRPr="00A42549">
        <w:rPr>
          <w:i/>
          <w:sz w:val="22"/>
          <w:szCs w:val="22"/>
        </w:rPr>
        <w:t>The Ancient Near East</w:t>
      </w:r>
      <w:r w:rsidRPr="00A42549">
        <w:rPr>
          <w:sz w:val="22"/>
          <w:szCs w:val="22"/>
        </w:rPr>
        <w:t xml:space="preserve"> 2:676-89; Briant, </w:t>
      </w:r>
      <w:r w:rsidRPr="00A42549">
        <w:rPr>
          <w:i/>
          <w:sz w:val="22"/>
          <w:szCs w:val="22"/>
        </w:rPr>
        <w:t>From Cyrus to Alexander</w:t>
      </w:r>
      <w:r w:rsidRPr="00A42549">
        <w:rPr>
          <w:sz w:val="22"/>
          <w:szCs w:val="22"/>
        </w:rPr>
        <w:t>, 165-354.</w:t>
      </w:r>
    </w:p>
  </w:footnote>
  <w:footnote w:id="967">
    <w:p w:rsidR="00786194" w:rsidRPr="00A42549" w:rsidRDefault="00786194" w:rsidP="00A81653">
      <w:pPr>
        <w:pStyle w:val="FootnoteText"/>
        <w:rPr>
          <w:sz w:val="22"/>
          <w:szCs w:val="22"/>
        </w:rPr>
      </w:pPr>
      <w:r w:rsidRPr="00A42549">
        <w:rPr>
          <w:rStyle w:val="FootnoteReference"/>
          <w:sz w:val="22"/>
          <w:szCs w:val="22"/>
        </w:rPr>
        <w:footnoteRef/>
      </w:r>
      <w:r w:rsidRPr="00A42549">
        <w:rPr>
          <w:sz w:val="22"/>
          <w:szCs w:val="22"/>
        </w:rPr>
        <w:t xml:space="preserve"> Nolan Fewell, </w:t>
      </w:r>
      <w:r w:rsidRPr="00A42549">
        <w:rPr>
          <w:i/>
          <w:sz w:val="22"/>
          <w:szCs w:val="22"/>
        </w:rPr>
        <w:t>Circle of Sovereignty</w:t>
      </w:r>
      <w:r w:rsidRPr="00A42549">
        <w:rPr>
          <w:sz w:val="22"/>
          <w:szCs w:val="22"/>
        </w:rPr>
        <w:t>, 110.</w:t>
      </w:r>
    </w:p>
  </w:footnote>
  <w:footnote w:id="96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Pace, </w:t>
      </w:r>
      <w:r w:rsidRPr="00A42549">
        <w:rPr>
          <w:i/>
          <w:sz w:val="22"/>
          <w:szCs w:val="22"/>
        </w:rPr>
        <w:t>Daniel</w:t>
      </w:r>
      <w:r w:rsidRPr="00A42549">
        <w:rPr>
          <w:sz w:val="22"/>
          <w:szCs w:val="22"/>
        </w:rPr>
        <w:t>, 195.</w:t>
      </w:r>
    </w:p>
  </w:footnote>
  <w:footnote w:id="969">
    <w:p w:rsidR="00786194" w:rsidRPr="00A42549" w:rsidRDefault="00786194" w:rsidP="009C0234">
      <w:pPr>
        <w:pStyle w:val="FootnoteText"/>
        <w:rPr>
          <w:sz w:val="22"/>
          <w:szCs w:val="22"/>
        </w:rPr>
      </w:pPr>
      <w:r w:rsidRPr="00A42549">
        <w:rPr>
          <w:rStyle w:val="FootnoteReference"/>
          <w:sz w:val="22"/>
          <w:szCs w:val="22"/>
        </w:rPr>
        <w:footnoteRef/>
      </w:r>
      <w:r w:rsidRPr="00A42549">
        <w:rPr>
          <w:sz w:val="22"/>
          <w:szCs w:val="22"/>
        </w:rPr>
        <w:t xml:space="preserve"> Gowan, </w:t>
      </w:r>
      <w:r w:rsidRPr="00A42549">
        <w:rPr>
          <w:i/>
          <w:sz w:val="22"/>
          <w:szCs w:val="22"/>
        </w:rPr>
        <w:t>Daniel</w:t>
      </w:r>
      <w:r w:rsidRPr="00A42549">
        <w:rPr>
          <w:sz w:val="22"/>
          <w:szCs w:val="22"/>
        </w:rPr>
        <w:t>, on the passage.</w:t>
      </w:r>
    </w:p>
  </w:footnote>
  <w:footnote w:id="970">
    <w:p w:rsidR="00786194" w:rsidRPr="00A42549" w:rsidRDefault="00786194" w:rsidP="00A10690">
      <w:pPr>
        <w:pStyle w:val="FootnoteText"/>
        <w:rPr>
          <w:sz w:val="22"/>
          <w:szCs w:val="22"/>
        </w:rPr>
      </w:pPr>
      <w:r w:rsidRPr="00A42549">
        <w:rPr>
          <w:rStyle w:val="FootnoteReference"/>
          <w:sz w:val="22"/>
          <w:szCs w:val="22"/>
        </w:rPr>
        <w:footnoteRef/>
      </w:r>
      <w:r w:rsidRPr="00A42549">
        <w:rPr>
          <w:sz w:val="22"/>
          <w:szCs w:val="22"/>
        </w:rPr>
        <w:t xml:space="preserve"> Lucas, </w:t>
      </w:r>
      <w:r w:rsidRPr="00A42549">
        <w:rPr>
          <w:i/>
          <w:sz w:val="22"/>
          <w:szCs w:val="22"/>
        </w:rPr>
        <w:t>Daniel</w:t>
      </w:r>
      <w:r w:rsidRPr="00A42549">
        <w:rPr>
          <w:sz w:val="22"/>
          <w:szCs w:val="22"/>
        </w:rPr>
        <w:t>, 153.</w:t>
      </w:r>
    </w:p>
  </w:footnote>
  <w:footnote w:id="971">
    <w:p w:rsidR="00786194" w:rsidRPr="00A42549" w:rsidRDefault="00786194" w:rsidP="00A10690">
      <w:pPr>
        <w:pStyle w:val="FootnoteText"/>
        <w:rPr>
          <w:sz w:val="22"/>
          <w:szCs w:val="22"/>
        </w:rPr>
      </w:pPr>
      <w:r w:rsidRPr="00A42549">
        <w:rPr>
          <w:rStyle w:val="FootnoteReference"/>
          <w:sz w:val="22"/>
          <w:szCs w:val="22"/>
        </w:rPr>
        <w:footnoteRef/>
      </w:r>
      <w:r w:rsidRPr="00A42549">
        <w:rPr>
          <w:sz w:val="22"/>
          <w:szCs w:val="22"/>
        </w:rPr>
        <w:t xml:space="preserve"> Cf. Levinger</w:t>
      </w:r>
      <w:r w:rsidRPr="00A42549">
        <w:rPr>
          <w:b/>
          <w:sz w:val="22"/>
          <w:szCs w:val="22"/>
        </w:rPr>
        <w:t xml:space="preserve">, </w:t>
      </w:r>
      <w:r w:rsidRPr="00A42549">
        <w:rPr>
          <w:sz w:val="22"/>
          <w:szCs w:val="22"/>
        </w:rPr>
        <w:t xml:space="preserve"> “</w:t>
      </w:r>
      <w:r w:rsidRPr="00A42549">
        <w:rPr>
          <w:rFonts w:ascii="Arial" w:hAnsi="Arial" w:cs="Arial"/>
          <w:sz w:val="22"/>
          <w:szCs w:val="22"/>
        </w:rPr>
        <w:t>האריות</w:t>
      </w:r>
      <w:r w:rsidRPr="00A42549">
        <w:rPr>
          <w:sz w:val="22"/>
          <w:szCs w:val="22"/>
        </w:rPr>
        <w:t xml:space="preserve"> </w:t>
      </w:r>
      <w:r w:rsidRPr="00A42549">
        <w:rPr>
          <w:rFonts w:ascii="Arial" w:hAnsi="Arial" w:cs="Arial"/>
          <w:sz w:val="22"/>
          <w:szCs w:val="22"/>
        </w:rPr>
        <w:t>בגוב</w:t>
      </w:r>
      <w:r w:rsidRPr="00A42549">
        <w:rPr>
          <w:sz w:val="22"/>
          <w:szCs w:val="22"/>
        </w:rPr>
        <w:t xml:space="preserve"> </w:t>
      </w:r>
      <w:r w:rsidRPr="00A42549">
        <w:rPr>
          <w:rFonts w:ascii="Arial" w:hAnsi="Arial" w:cs="Arial"/>
          <w:sz w:val="22"/>
          <w:szCs w:val="22"/>
        </w:rPr>
        <w:t>דניאל</w:t>
      </w:r>
      <w:r w:rsidRPr="00A42549">
        <w:rPr>
          <w:sz w:val="22"/>
          <w:szCs w:val="22"/>
        </w:rPr>
        <w:t>.”</w:t>
      </w:r>
    </w:p>
  </w:footnote>
  <w:footnote w:id="972">
    <w:p w:rsidR="00786194" w:rsidRPr="00A42549" w:rsidRDefault="00786194" w:rsidP="00304B6F">
      <w:pPr>
        <w:pStyle w:val="FootnoteText"/>
        <w:rPr>
          <w:sz w:val="22"/>
          <w:szCs w:val="22"/>
        </w:rPr>
      </w:pPr>
      <w:r w:rsidRPr="00A42549">
        <w:rPr>
          <w:rStyle w:val="FootnoteReference"/>
          <w:sz w:val="22"/>
          <w:szCs w:val="22"/>
        </w:rPr>
        <w:footnoteRef/>
      </w:r>
      <w:r w:rsidRPr="00A42549">
        <w:rPr>
          <w:sz w:val="22"/>
          <w:szCs w:val="22"/>
        </w:rPr>
        <w:t xml:space="preserve"> Smith-Christopher, “Daniel,” 89.</w:t>
      </w:r>
    </w:p>
  </w:footnote>
  <w:footnote w:id="973">
    <w:p w:rsidR="00786194" w:rsidRPr="00A42549" w:rsidRDefault="00786194" w:rsidP="00A10690">
      <w:pPr>
        <w:pStyle w:val="FootnoteText"/>
        <w:rPr>
          <w:sz w:val="22"/>
          <w:szCs w:val="22"/>
        </w:rPr>
      </w:pPr>
      <w:r w:rsidRPr="00A42549">
        <w:rPr>
          <w:rStyle w:val="FootnoteReference"/>
          <w:sz w:val="22"/>
          <w:szCs w:val="22"/>
        </w:rPr>
        <w:footnoteRef/>
      </w:r>
      <w:r w:rsidRPr="00A42549">
        <w:rPr>
          <w:sz w:val="22"/>
          <w:szCs w:val="22"/>
        </w:rPr>
        <w:t xml:space="preserve"> Vogel, “Cultic Motifs and Themes in the Book of Daniel,” 26-27; cf. his more extensive discussion in </w:t>
      </w:r>
      <w:r w:rsidRPr="00A42549">
        <w:rPr>
          <w:i/>
          <w:sz w:val="22"/>
          <w:szCs w:val="22"/>
        </w:rPr>
        <w:t>The Cultic Motif in the Book of Daniel</w:t>
      </w:r>
      <w:r w:rsidRPr="00A42549">
        <w:rPr>
          <w:sz w:val="22"/>
          <w:szCs w:val="22"/>
        </w:rPr>
        <w:t>, 113-45.</w:t>
      </w:r>
    </w:p>
  </w:footnote>
  <w:footnote w:id="974">
    <w:p w:rsidR="00786194" w:rsidRPr="00A42549" w:rsidRDefault="00786194" w:rsidP="005E7D6B">
      <w:pPr>
        <w:pStyle w:val="FootnoteText"/>
        <w:rPr>
          <w:sz w:val="22"/>
          <w:szCs w:val="22"/>
        </w:rPr>
      </w:pPr>
      <w:r w:rsidRPr="00A42549">
        <w:rPr>
          <w:rStyle w:val="FootnoteReference"/>
          <w:sz w:val="22"/>
          <w:szCs w:val="22"/>
        </w:rPr>
        <w:footnoteRef/>
      </w:r>
      <w:r w:rsidRPr="00A42549">
        <w:rPr>
          <w:sz w:val="22"/>
          <w:szCs w:val="22"/>
        </w:rPr>
        <w:t xml:space="preserve"> Pace, </w:t>
      </w:r>
      <w:r w:rsidRPr="00A42549">
        <w:rPr>
          <w:i/>
          <w:sz w:val="22"/>
          <w:szCs w:val="22"/>
        </w:rPr>
        <w:t>Daniel</w:t>
      </w:r>
      <w:r w:rsidRPr="00A42549">
        <w:rPr>
          <w:sz w:val="22"/>
          <w:szCs w:val="22"/>
        </w:rPr>
        <w:t>, 207.</w:t>
      </w:r>
    </w:p>
  </w:footnote>
  <w:footnote w:id="97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Oppenheim, </w:t>
      </w:r>
      <w:r w:rsidRPr="00A42549">
        <w:rPr>
          <w:i/>
          <w:sz w:val="22"/>
          <w:szCs w:val="22"/>
        </w:rPr>
        <w:t>Ancient Mesopotamia</w:t>
      </w:r>
      <w:r w:rsidRPr="00A42549">
        <w:rPr>
          <w:sz w:val="22"/>
          <w:szCs w:val="22"/>
        </w:rPr>
        <w:t xml:space="preserve">, 281–82; Olmstead, </w:t>
      </w:r>
      <w:r w:rsidRPr="00A42549">
        <w:rPr>
          <w:i/>
          <w:sz w:val="22"/>
          <w:szCs w:val="22"/>
        </w:rPr>
        <w:t>Persian Empire</w:t>
      </w:r>
      <w:r w:rsidRPr="00A42549">
        <w:rPr>
          <w:sz w:val="22"/>
          <w:szCs w:val="22"/>
        </w:rPr>
        <w:t>, 177–78.</w:t>
      </w:r>
    </w:p>
  </w:footnote>
  <w:footnote w:id="97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Jeffery, “Daniel,” on the passage; Nolan Fewell, </w:t>
      </w:r>
      <w:r w:rsidRPr="00A42549">
        <w:rPr>
          <w:i/>
          <w:sz w:val="22"/>
          <w:szCs w:val="22"/>
        </w:rPr>
        <w:t>Circle of Sovereignty</w:t>
      </w:r>
      <w:r w:rsidRPr="00A42549">
        <w:rPr>
          <w:sz w:val="22"/>
          <w:szCs w:val="22"/>
        </w:rPr>
        <w:t>, 110.</w:t>
      </w:r>
    </w:p>
  </w:footnote>
  <w:footnote w:id="977">
    <w:p w:rsidR="00786194" w:rsidRPr="00A42549" w:rsidRDefault="00786194" w:rsidP="008B0F5F">
      <w:pPr>
        <w:pStyle w:val="FootnoteText"/>
        <w:rPr>
          <w:sz w:val="22"/>
          <w:szCs w:val="22"/>
        </w:rPr>
      </w:pPr>
      <w:r w:rsidRPr="00A42549">
        <w:rPr>
          <w:rStyle w:val="FootnoteReference"/>
          <w:sz w:val="22"/>
          <w:szCs w:val="22"/>
        </w:rPr>
        <w:footnoteRef/>
      </w:r>
      <w:r w:rsidRPr="00A42549">
        <w:rPr>
          <w:sz w:val="22"/>
          <w:szCs w:val="22"/>
        </w:rPr>
        <w:t xml:space="preserve"> Cf. Newsom, </w:t>
      </w:r>
      <w:r w:rsidRPr="00A42549">
        <w:rPr>
          <w:i/>
          <w:sz w:val="22"/>
          <w:szCs w:val="22"/>
        </w:rPr>
        <w:t>Daniel</w:t>
      </w:r>
      <w:r w:rsidRPr="00A42549">
        <w:rPr>
          <w:sz w:val="22"/>
          <w:szCs w:val="22"/>
        </w:rPr>
        <w:t>, 198.</w:t>
      </w:r>
    </w:p>
  </w:footnote>
  <w:footnote w:id="978">
    <w:p w:rsidR="00786194" w:rsidRPr="00A42549" w:rsidRDefault="00786194" w:rsidP="00304B6F">
      <w:pPr>
        <w:pStyle w:val="FootnoteText"/>
        <w:rPr>
          <w:sz w:val="22"/>
          <w:szCs w:val="22"/>
        </w:rPr>
      </w:pPr>
      <w:r w:rsidRPr="00A42549">
        <w:rPr>
          <w:rStyle w:val="FootnoteReference"/>
          <w:sz w:val="22"/>
          <w:szCs w:val="22"/>
        </w:rPr>
        <w:footnoteRef/>
      </w:r>
      <w:r w:rsidRPr="00A42549">
        <w:rPr>
          <w:sz w:val="22"/>
          <w:szCs w:val="22"/>
        </w:rPr>
        <w:t xml:space="preserve"> See Hennecke, </w:t>
      </w:r>
      <w:r w:rsidRPr="00A42549">
        <w:rPr>
          <w:i/>
          <w:sz w:val="22"/>
          <w:szCs w:val="22"/>
        </w:rPr>
        <w:t>NT Apocrypha</w:t>
      </w:r>
      <w:r w:rsidRPr="00A42549">
        <w:rPr>
          <w:sz w:val="22"/>
          <w:szCs w:val="22"/>
        </w:rPr>
        <w:t xml:space="preserve"> 2:322–90.</w:t>
      </w:r>
    </w:p>
  </w:footnote>
  <w:footnote w:id="97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t>
      </w:r>
      <w:r w:rsidRPr="00A42549">
        <w:rPr>
          <w:bCs/>
          <w:sz w:val="22"/>
          <w:szCs w:val="22"/>
        </w:rPr>
        <w:t>Alomía</w:t>
      </w:r>
      <w:r w:rsidRPr="00A42549">
        <w:rPr>
          <w:b/>
          <w:bCs/>
          <w:sz w:val="22"/>
          <w:szCs w:val="22"/>
        </w:rPr>
        <w:t xml:space="preserve">, </w:t>
      </w:r>
      <w:r w:rsidRPr="00A42549">
        <w:rPr>
          <w:bCs/>
          <w:i/>
          <w:sz w:val="22"/>
          <w:szCs w:val="22"/>
        </w:rPr>
        <w:t>Daniel</w:t>
      </w:r>
      <w:r w:rsidRPr="00A42549">
        <w:rPr>
          <w:bCs/>
          <w:sz w:val="22"/>
          <w:szCs w:val="22"/>
        </w:rPr>
        <w:t xml:space="preserve"> 2:163-74; and Alomía, </w:t>
      </w:r>
      <w:r w:rsidRPr="00A42549">
        <w:rPr>
          <w:bCs/>
          <w:i/>
          <w:sz w:val="22"/>
          <w:szCs w:val="22"/>
        </w:rPr>
        <w:t>Lesser Gods of the Ancient Near East</w:t>
      </w:r>
      <w:r w:rsidRPr="00A42549">
        <w:rPr>
          <w:bCs/>
          <w:sz w:val="22"/>
          <w:szCs w:val="22"/>
        </w:rPr>
        <w:t>, 439-58.</w:t>
      </w:r>
    </w:p>
  </w:footnote>
  <w:footnote w:id="98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269. He also goes on to discuss the moral issue raised by the king’s action (</w:t>
      </w:r>
      <w:r w:rsidRPr="00A42549">
        <w:rPr>
          <w:i/>
          <w:sz w:val="22"/>
          <w:szCs w:val="22"/>
        </w:rPr>
        <w:t>Daniel 1—6</w:t>
      </w:r>
      <w:r w:rsidRPr="00A42549">
        <w:rPr>
          <w:sz w:val="22"/>
          <w:szCs w:val="22"/>
        </w:rPr>
        <w:t>, 270-71).</w:t>
      </w:r>
    </w:p>
  </w:footnote>
  <w:footnote w:id="981">
    <w:p w:rsidR="00786194" w:rsidRPr="00A42549" w:rsidRDefault="00786194" w:rsidP="00FD6BF1">
      <w:pPr>
        <w:pStyle w:val="FootnoteText"/>
        <w:rPr>
          <w:sz w:val="22"/>
          <w:szCs w:val="22"/>
        </w:rPr>
      </w:pPr>
      <w:r w:rsidRPr="00A42549">
        <w:rPr>
          <w:rStyle w:val="FootnoteReference"/>
          <w:sz w:val="22"/>
          <w:szCs w:val="22"/>
        </w:rPr>
        <w:footnoteRef/>
      </w:r>
      <w:r w:rsidRPr="00A42549">
        <w:rPr>
          <w:sz w:val="22"/>
          <w:szCs w:val="22"/>
        </w:rPr>
        <w:t xml:space="preserve"> Cf. Young’s declaration that the plot was the work of only a few men (</w:t>
      </w:r>
      <w:r w:rsidRPr="00A42549">
        <w:rPr>
          <w:i/>
          <w:sz w:val="22"/>
          <w:szCs w:val="22"/>
        </w:rPr>
        <w:t>Daniel</w:t>
      </w:r>
      <w:r w:rsidRPr="00A42549">
        <w:rPr>
          <w:sz w:val="22"/>
          <w:szCs w:val="22"/>
        </w:rPr>
        <w:t>, on the pssage).</w:t>
      </w:r>
    </w:p>
  </w:footnote>
  <w:footnote w:id="98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Keil, </w:t>
      </w:r>
      <w:r w:rsidRPr="00A42549">
        <w:rPr>
          <w:i/>
          <w:sz w:val="22"/>
          <w:szCs w:val="22"/>
        </w:rPr>
        <w:t xml:space="preserve">Biblischer Kommentar, </w:t>
      </w:r>
      <w:r w:rsidRPr="00A42549">
        <w:rPr>
          <w:sz w:val="22"/>
          <w:szCs w:val="22"/>
        </w:rPr>
        <w:t>on the passage. On “models” of the way kings come to acknowledge the truth about God and about the Jewish people in Dan 6 and elsewhere, see Donaldson</w:t>
      </w:r>
      <w:r w:rsidRPr="00A42549">
        <w:rPr>
          <w:b/>
          <w:sz w:val="22"/>
          <w:szCs w:val="22"/>
        </w:rPr>
        <w:t xml:space="preserve">, </w:t>
      </w:r>
      <w:r w:rsidRPr="00A42549">
        <w:rPr>
          <w:bCs/>
          <w:sz w:val="22"/>
          <w:szCs w:val="22"/>
        </w:rPr>
        <w:t>“Royal Sympathizers in Jewish Narrative.”</w:t>
      </w:r>
    </w:p>
  </w:footnote>
  <w:footnote w:id="98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Lüthi</w:t>
      </w:r>
      <w:r w:rsidRPr="00A42549">
        <w:rPr>
          <w:b/>
          <w:sz w:val="22"/>
          <w:szCs w:val="22"/>
        </w:rPr>
        <w:t xml:space="preserve">, </w:t>
      </w:r>
      <w:r w:rsidRPr="00A42549">
        <w:rPr>
          <w:i/>
          <w:sz w:val="22"/>
          <w:szCs w:val="22"/>
        </w:rPr>
        <w:t>The Church To Come</w:t>
      </w:r>
      <w:r w:rsidRPr="00A42549">
        <w:rPr>
          <w:sz w:val="22"/>
          <w:szCs w:val="22"/>
        </w:rPr>
        <w:t>, 83.</w:t>
      </w:r>
    </w:p>
  </w:footnote>
  <w:footnote w:id="984">
    <w:p w:rsidR="00786194" w:rsidRPr="00A42549" w:rsidRDefault="00786194" w:rsidP="00DE33BF">
      <w:pPr>
        <w:pStyle w:val="FootnoteText"/>
        <w:rPr>
          <w:sz w:val="22"/>
          <w:szCs w:val="22"/>
        </w:rPr>
      </w:pPr>
      <w:r w:rsidRPr="00A42549">
        <w:rPr>
          <w:rStyle w:val="FootnoteReference"/>
          <w:sz w:val="22"/>
          <w:szCs w:val="22"/>
        </w:rPr>
        <w:footnoteRef/>
      </w:r>
      <w:r w:rsidRPr="00A42549">
        <w:rPr>
          <w:sz w:val="22"/>
          <w:szCs w:val="22"/>
        </w:rPr>
        <w:t xml:space="preserve"> Lüthi</w:t>
      </w:r>
      <w:r w:rsidRPr="00A42549">
        <w:rPr>
          <w:b/>
          <w:sz w:val="22"/>
          <w:szCs w:val="22"/>
        </w:rPr>
        <w:t xml:space="preserve">, </w:t>
      </w:r>
      <w:r w:rsidRPr="00A42549">
        <w:rPr>
          <w:i/>
          <w:sz w:val="22"/>
          <w:szCs w:val="22"/>
        </w:rPr>
        <w:t>The Church To Come</w:t>
      </w:r>
      <w:r w:rsidRPr="00A42549">
        <w:rPr>
          <w:sz w:val="22"/>
          <w:szCs w:val="22"/>
        </w:rPr>
        <w:t>, 82-88.</w:t>
      </w:r>
    </w:p>
  </w:footnote>
  <w:footnote w:id="98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Wallace, </w:t>
      </w:r>
      <w:r w:rsidRPr="00A42549">
        <w:rPr>
          <w:i/>
          <w:sz w:val="22"/>
          <w:szCs w:val="22"/>
        </w:rPr>
        <w:t>The Lord Is King</w:t>
      </w:r>
      <w:r w:rsidRPr="00A42549">
        <w:rPr>
          <w:sz w:val="22"/>
          <w:szCs w:val="22"/>
        </w:rPr>
        <w:t>, on the passage.</w:t>
      </w:r>
    </w:p>
  </w:footnote>
  <w:footnote w:id="986">
    <w:p w:rsidR="00786194" w:rsidRPr="00A42549" w:rsidRDefault="00786194" w:rsidP="00DE33BF">
      <w:pPr>
        <w:pStyle w:val="FootnoteText"/>
        <w:rPr>
          <w:sz w:val="22"/>
          <w:szCs w:val="22"/>
        </w:rPr>
      </w:pPr>
      <w:r w:rsidRPr="00A42549">
        <w:rPr>
          <w:rStyle w:val="FootnoteReference"/>
          <w:sz w:val="22"/>
          <w:szCs w:val="22"/>
        </w:rPr>
        <w:footnoteRef/>
      </w:r>
      <w:r w:rsidRPr="00A42549">
        <w:rPr>
          <w:sz w:val="22"/>
          <w:szCs w:val="22"/>
        </w:rPr>
        <w:t xml:space="preserve"> Davies, “Daniel in the Lion’s Den,” 162.</w:t>
      </w:r>
    </w:p>
  </w:footnote>
  <w:footnote w:id="987">
    <w:p w:rsidR="00786194" w:rsidRPr="00A42549" w:rsidRDefault="00786194" w:rsidP="000408A5">
      <w:pPr>
        <w:pStyle w:val="FootnoteText"/>
        <w:rPr>
          <w:sz w:val="22"/>
          <w:szCs w:val="22"/>
        </w:rPr>
      </w:pPr>
      <w:r w:rsidRPr="00A42549">
        <w:rPr>
          <w:rStyle w:val="FootnoteReference"/>
          <w:sz w:val="22"/>
          <w:szCs w:val="22"/>
        </w:rPr>
        <w:footnoteRef/>
      </w:r>
      <w:r w:rsidRPr="00A42549">
        <w:rPr>
          <w:sz w:val="22"/>
          <w:szCs w:val="22"/>
        </w:rPr>
        <w:t xml:space="preserve"> Cf. Calvin, </w:t>
      </w:r>
      <w:r w:rsidRPr="00A42549">
        <w:rPr>
          <w:i/>
          <w:sz w:val="22"/>
          <w:szCs w:val="22"/>
        </w:rPr>
        <w:t>Daniel</w:t>
      </w:r>
      <w:r w:rsidRPr="00A42549">
        <w:rPr>
          <w:sz w:val="22"/>
          <w:szCs w:val="22"/>
        </w:rPr>
        <w:t xml:space="preserve"> </w:t>
      </w:r>
      <w:r w:rsidRPr="00A42549">
        <w:rPr>
          <w:i/>
          <w:sz w:val="22"/>
          <w:szCs w:val="22"/>
        </w:rPr>
        <w:t>1—6</w:t>
      </w:r>
      <w:r w:rsidRPr="00A42549">
        <w:rPr>
          <w:sz w:val="22"/>
          <w:szCs w:val="22"/>
        </w:rPr>
        <w:t>, 245, 247.</w:t>
      </w:r>
    </w:p>
  </w:footnote>
  <w:footnote w:id="98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Anderson, </w:t>
      </w:r>
      <w:r w:rsidRPr="00A42549">
        <w:rPr>
          <w:i/>
          <w:sz w:val="22"/>
          <w:szCs w:val="22"/>
        </w:rPr>
        <w:t>Signs and Wonders</w:t>
      </w:r>
      <w:r w:rsidRPr="00A42549">
        <w:rPr>
          <w:sz w:val="22"/>
          <w:szCs w:val="22"/>
        </w:rPr>
        <w:t>, on the passage.</w:t>
      </w:r>
    </w:p>
  </w:footnote>
  <w:footnote w:id="98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Lacocque, </w:t>
      </w:r>
      <w:r w:rsidRPr="00A42549">
        <w:rPr>
          <w:i/>
          <w:sz w:val="22"/>
          <w:szCs w:val="22"/>
        </w:rPr>
        <w:t>Daniel</w:t>
      </w:r>
      <w:r w:rsidRPr="00A42549">
        <w:rPr>
          <w:sz w:val="22"/>
          <w:szCs w:val="22"/>
        </w:rPr>
        <w:t>, on the passage.</w:t>
      </w:r>
    </w:p>
  </w:footnote>
  <w:footnote w:id="99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Lacocque, </w:t>
      </w:r>
      <w:r w:rsidRPr="00A42549">
        <w:rPr>
          <w:i/>
          <w:sz w:val="22"/>
          <w:szCs w:val="22"/>
        </w:rPr>
        <w:t>Daniel</w:t>
      </w:r>
      <w:r w:rsidRPr="00A42549">
        <w:rPr>
          <w:sz w:val="22"/>
          <w:szCs w:val="22"/>
        </w:rPr>
        <w:t>, on the passage.</w:t>
      </w:r>
    </w:p>
  </w:footnote>
  <w:footnote w:id="99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Hippolytus, </w:t>
      </w:r>
      <w:r w:rsidRPr="00A42549">
        <w:rPr>
          <w:i/>
          <w:sz w:val="22"/>
          <w:szCs w:val="22"/>
        </w:rPr>
        <w:t>Daniel</w:t>
      </w:r>
      <w:r w:rsidRPr="00A42549">
        <w:rPr>
          <w:sz w:val="22"/>
          <w:szCs w:val="22"/>
        </w:rPr>
        <w:t xml:space="preserve"> 3.22.</w:t>
      </w:r>
    </w:p>
  </w:footnote>
  <w:footnote w:id="992">
    <w:p w:rsidR="00786194" w:rsidRPr="00A42549" w:rsidRDefault="00786194" w:rsidP="00601B7B">
      <w:pPr>
        <w:pStyle w:val="FootnoteText"/>
        <w:rPr>
          <w:sz w:val="22"/>
          <w:szCs w:val="22"/>
        </w:rPr>
      </w:pPr>
      <w:r w:rsidRPr="00A42549">
        <w:rPr>
          <w:rStyle w:val="FootnoteReference"/>
          <w:sz w:val="22"/>
          <w:szCs w:val="22"/>
        </w:rPr>
        <w:footnoteRef/>
      </w:r>
      <w:r w:rsidRPr="00A42549">
        <w:rPr>
          <w:sz w:val="22"/>
          <w:szCs w:val="22"/>
        </w:rPr>
        <w:t xml:space="preserve"> Cf. Smith-Christopher, “Gandhi on Daniel 6” and “Daniel,” 94-95; and for further references, Breed, “History of Reception,” 207-9.</w:t>
      </w:r>
    </w:p>
  </w:footnote>
  <w:footnote w:id="993">
    <w:p w:rsidR="00786194" w:rsidRPr="00A42549" w:rsidRDefault="00786194" w:rsidP="00601B7B">
      <w:pPr>
        <w:pStyle w:val="FootnoteText"/>
        <w:rPr>
          <w:sz w:val="22"/>
          <w:szCs w:val="22"/>
        </w:rPr>
      </w:pPr>
      <w:r w:rsidRPr="00A42549">
        <w:rPr>
          <w:rStyle w:val="FootnoteReference"/>
          <w:sz w:val="22"/>
          <w:szCs w:val="22"/>
        </w:rPr>
        <w:footnoteRef/>
      </w:r>
      <w:r w:rsidRPr="00A42549">
        <w:rPr>
          <w:sz w:val="22"/>
          <w:szCs w:val="22"/>
        </w:rPr>
        <w:t xml:space="preserve"> So Thodoret, </w:t>
      </w:r>
      <w:r w:rsidRPr="00A42549">
        <w:rPr>
          <w:i/>
          <w:sz w:val="22"/>
          <w:szCs w:val="22"/>
        </w:rPr>
        <w:t>Daniel</w:t>
      </w:r>
      <w:r w:rsidRPr="00A42549">
        <w:rPr>
          <w:sz w:val="22"/>
          <w:szCs w:val="22"/>
        </w:rPr>
        <w:t xml:space="preserve">, 162-63. OG makes motives explicit at a number of points in the chapter, whereas MT is more allusive (Meadowcroft, </w:t>
      </w:r>
      <w:r w:rsidRPr="00A42549">
        <w:rPr>
          <w:i/>
          <w:sz w:val="22"/>
          <w:szCs w:val="22"/>
        </w:rPr>
        <w:t>Aramaic Daniel and Greek Daniel</w:t>
      </w:r>
      <w:r w:rsidRPr="00A42549">
        <w:rPr>
          <w:sz w:val="22"/>
          <w:szCs w:val="22"/>
        </w:rPr>
        <w:t>, 90-91).</w:t>
      </w:r>
    </w:p>
  </w:footnote>
  <w:footnote w:id="994">
    <w:p w:rsidR="00786194" w:rsidRPr="00A42549" w:rsidRDefault="00786194" w:rsidP="00601B7B">
      <w:pPr>
        <w:pStyle w:val="FootnoteText"/>
        <w:rPr>
          <w:sz w:val="22"/>
          <w:szCs w:val="22"/>
        </w:rPr>
      </w:pPr>
      <w:r w:rsidRPr="00A42549">
        <w:rPr>
          <w:rStyle w:val="FootnoteReference"/>
          <w:sz w:val="22"/>
          <w:szCs w:val="22"/>
        </w:rPr>
        <w:footnoteRef/>
      </w:r>
      <w:r w:rsidRPr="00A42549">
        <w:rPr>
          <w:sz w:val="22"/>
          <w:szCs w:val="22"/>
        </w:rPr>
        <w:t xml:space="preserve"> Wink, </w:t>
      </w:r>
      <w:r w:rsidRPr="00A42549">
        <w:rPr>
          <w:i/>
          <w:sz w:val="22"/>
          <w:szCs w:val="22"/>
        </w:rPr>
        <w:t>Naming the Powers</w:t>
      </w:r>
      <w:r w:rsidRPr="00A42549">
        <w:rPr>
          <w:sz w:val="22"/>
          <w:szCs w:val="22"/>
        </w:rPr>
        <w:t>, 110–11.</w:t>
      </w:r>
    </w:p>
  </w:footnote>
  <w:footnote w:id="995">
    <w:p w:rsidR="00786194" w:rsidRPr="00A42549" w:rsidRDefault="00786194" w:rsidP="00601B7B">
      <w:pPr>
        <w:pStyle w:val="FootnoteText"/>
        <w:rPr>
          <w:sz w:val="22"/>
          <w:szCs w:val="22"/>
        </w:rPr>
      </w:pPr>
      <w:r w:rsidRPr="00A42549">
        <w:rPr>
          <w:rStyle w:val="FootnoteReference"/>
          <w:sz w:val="22"/>
          <w:szCs w:val="22"/>
        </w:rPr>
        <w:footnoteRef/>
      </w:r>
      <w:r w:rsidRPr="00A42549">
        <w:rPr>
          <w:sz w:val="22"/>
          <w:szCs w:val="22"/>
        </w:rPr>
        <w:t xml:space="preserve"> Haag, </w:t>
      </w:r>
      <w:r w:rsidRPr="00A42549">
        <w:rPr>
          <w:i/>
          <w:sz w:val="22"/>
          <w:szCs w:val="22"/>
        </w:rPr>
        <w:t>Daniel</w:t>
      </w:r>
      <w:r w:rsidRPr="00A42549">
        <w:rPr>
          <w:sz w:val="22"/>
          <w:szCs w:val="22"/>
        </w:rPr>
        <w:t>, 52.</w:t>
      </w:r>
    </w:p>
  </w:footnote>
  <w:footnote w:id="996">
    <w:p w:rsidR="00786194" w:rsidRPr="00A42549" w:rsidRDefault="00786194" w:rsidP="00601B7B">
      <w:pPr>
        <w:pStyle w:val="FootnoteText"/>
        <w:rPr>
          <w:sz w:val="22"/>
          <w:szCs w:val="22"/>
        </w:rPr>
      </w:pPr>
      <w:r w:rsidRPr="00A42549">
        <w:rPr>
          <w:rStyle w:val="FootnoteReference"/>
          <w:sz w:val="22"/>
          <w:szCs w:val="22"/>
        </w:rPr>
        <w:footnoteRef/>
      </w:r>
      <w:r w:rsidRPr="00A42549">
        <w:rPr>
          <w:sz w:val="22"/>
          <w:szCs w:val="22"/>
        </w:rPr>
        <w:t xml:space="preserve"> Longman, </w:t>
      </w:r>
      <w:r w:rsidRPr="00A42549">
        <w:rPr>
          <w:i/>
          <w:sz w:val="22"/>
          <w:szCs w:val="22"/>
        </w:rPr>
        <w:t>Daniel</w:t>
      </w:r>
      <w:r w:rsidRPr="00A42549">
        <w:rPr>
          <w:sz w:val="22"/>
          <w:szCs w:val="22"/>
        </w:rPr>
        <w:t>, 167.</w:t>
      </w:r>
    </w:p>
  </w:footnote>
  <w:footnote w:id="99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Calvin, </w:t>
      </w:r>
      <w:r w:rsidRPr="00A42549">
        <w:rPr>
          <w:i/>
          <w:sz w:val="22"/>
          <w:szCs w:val="22"/>
        </w:rPr>
        <w:t>Daniel 1—6</w:t>
      </w:r>
      <w:r w:rsidRPr="00A42549">
        <w:rPr>
          <w:sz w:val="22"/>
          <w:szCs w:val="22"/>
        </w:rPr>
        <w:t xml:space="preserve">, 249. </w:t>
      </w:r>
    </w:p>
  </w:footnote>
  <w:footnote w:id="998">
    <w:p w:rsidR="00786194" w:rsidRPr="00A42549" w:rsidRDefault="00786194" w:rsidP="000724F6">
      <w:pPr>
        <w:pStyle w:val="FootnoteText"/>
        <w:rPr>
          <w:sz w:val="22"/>
          <w:szCs w:val="22"/>
        </w:rPr>
      </w:pPr>
      <w:r w:rsidRPr="00A42549">
        <w:rPr>
          <w:rStyle w:val="FootnoteReference"/>
          <w:sz w:val="22"/>
          <w:szCs w:val="22"/>
        </w:rPr>
        <w:footnoteRef/>
      </w:r>
      <w:r w:rsidRPr="00A42549">
        <w:rPr>
          <w:sz w:val="22"/>
          <w:szCs w:val="22"/>
        </w:rPr>
        <w:t xml:space="preserve"> Cf. Lederach, </w:t>
      </w:r>
      <w:r w:rsidRPr="00A42549">
        <w:rPr>
          <w:i/>
          <w:sz w:val="22"/>
          <w:szCs w:val="22"/>
        </w:rPr>
        <w:t>Daniel</w:t>
      </w:r>
      <w:r w:rsidRPr="00A42549">
        <w:rPr>
          <w:sz w:val="22"/>
          <w:szCs w:val="22"/>
        </w:rPr>
        <w:t>, 132.</w:t>
      </w:r>
    </w:p>
  </w:footnote>
  <w:footnote w:id="99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w:t>
      </w:r>
      <w:r w:rsidRPr="00A42549">
        <w:rPr>
          <w:bCs/>
          <w:iCs/>
          <w:sz w:val="22"/>
          <w:szCs w:val="22"/>
        </w:rPr>
        <w:t>Dulaey</w:t>
      </w:r>
      <w:r w:rsidRPr="00A42549">
        <w:rPr>
          <w:b/>
          <w:bCs/>
          <w:iCs/>
          <w:sz w:val="22"/>
          <w:szCs w:val="22"/>
        </w:rPr>
        <w:t xml:space="preserve">, </w:t>
      </w:r>
      <w:r w:rsidRPr="00A42549">
        <w:rPr>
          <w:bCs/>
          <w:iCs/>
          <w:sz w:val="22"/>
          <w:szCs w:val="22"/>
        </w:rPr>
        <w:t>“Daniel dans la fosse aux lions,” 39-40; Zissu</w:t>
      </w:r>
      <w:r w:rsidRPr="00A42549">
        <w:rPr>
          <w:b/>
          <w:bCs/>
          <w:iCs/>
          <w:sz w:val="22"/>
          <w:szCs w:val="22"/>
        </w:rPr>
        <w:t xml:space="preserve">, </w:t>
      </w:r>
      <w:r w:rsidRPr="00A42549">
        <w:rPr>
          <w:bCs/>
          <w:iCs/>
          <w:sz w:val="22"/>
          <w:szCs w:val="22"/>
        </w:rPr>
        <w:t>“Daniel in the Lion's Den (?) at Tel Lavnin”; Xeravits</w:t>
      </w:r>
      <w:r w:rsidRPr="00A42549">
        <w:rPr>
          <w:b/>
          <w:bCs/>
          <w:iCs/>
          <w:sz w:val="22"/>
          <w:szCs w:val="22"/>
        </w:rPr>
        <w:t xml:space="preserve">, </w:t>
      </w:r>
      <w:r w:rsidRPr="00A42549">
        <w:rPr>
          <w:bCs/>
          <w:iCs/>
          <w:sz w:val="22"/>
          <w:szCs w:val="22"/>
        </w:rPr>
        <w:t xml:space="preserve">“A Possible Greek Bible Source for Late Antique Synagogue Art”; </w:t>
      </w:r>
      <w:r w:rsidRPr="00A42549">
        <w:rPr>
          <w:b/>
          <w:bCs/>
          <w:iCs/>
          <w:sz w:val="22"/>
          <w:szCs w:val="22"/>
        </w:rPr>
        <w:t>——— ,</w:t>
      </w:r>
      <w:r w:rsidRPr="00A42549">
        <w:rPr>
          <w:bCs/>
          <w:iCs/>
          <w:sz w:val="22"/>
          <w:szCs w:val="22"/>
        </w:rPr>
        <w:t xml:space="preserve"> “The Figure of Daniel in Late Antique Synangogue Art” (but he suggests that Susanna is at least as imprortant an influence).</w:t>
      </w:r>
    </w:p>
  </w:footnote>
  <w:footnote w:id="100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Newsom, </w:t>
      </w:r>
      <w:r w:rsidRPr="00A42549">
        <w:rPr>
          <w:i/>
          <w:sz w:val="22"/>
          <w:szCs w:val="22"/>
        </w:rPr>
        <w:t>Daniel</w:t>
      </w:r>
      <w:r w:rsidRPr="00A42549">
        <w:rPr>
          <w:sz w:val="22"/>
          <w:szCs w:val="22"/>
        </w:rPr>
        <w:t>, 197.</w:t>
      </w:r>
    </w:p>
  </w:footnote>
  <w:footnote w:id="100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Calvin’s worries, </w:t>
      </w:r>
      <w:r w:rsidRPr="00A42549">
        <w:rPr>
          <w:i/>
          <w:sz w:val="22"/>
          <w:szCs w:val="22"/>
        </w:rPr>
        <w:t>Daniel 1—6</w:t>
      </w:r>
      <w:r w:rsidRPr="00A42549">
        <w:rPr>
          <w:sz w:val="22"/>
          <w:szCs w:val="22"/>
        </w:rPr>
        <w:t>, 246.</w:t>
      </w:r>
    </w:p>
  </w:footnote>
  <w:footnote w:id="1002">
    <w:p w:rsidR="00786194" w:rsidRPr="00A42549" w:rsidRDefault="00786194" w:rsidP="0004114C">
      <w:pPr>
        <w:pStyle w:val="FootnoteText"/>
        <w:rPr>
          <w:sz w:val="22"/>
          <w:szCs w:val="22"/>
        </w:rPr>
      </w:pPr>
      <w:r w:rsidRPr="00A42549">
        <w:rPr>
          <w:rStyle w:val="FootnoteReference"/>
          <w:sz w:val="22"/>
          <w:szCs w:val="22"/>
        </w:rPr>
        <w:footnoteRef/>
      </w:r>
      <w:r w:rsidRPr="00A42549">
        <w:rPr>
          <w:sz w:val="22"/>
          <w:szCs w:val="22"/>
        </w:rPr>
        <w:t xml:space="preserve"> Berrigan, </w:t>
      </w:r>
      <w:r w:rsidRPr="00A42549">
        <w:rPr>
          <w:i/>
          <w:sz w:val="22"/>
          <w:szCs w:val="22"/>
        </w:rPr>
        <w:t>Daniel</w:t>
      </w:r>
      <w:r w:rsidRPr="00A42549">
        <w:rPr>
          <w:sz w:val="22"/>
          <w:szCs w:val="22"/>
        </w:rPr>
        <w:t>, 104.</w:t>
      </w:r>
    </w:p>
  </w:footnote>
  <w:footnote w:id="1003">
    <w:p w:rsidR="00786194" w:rsidRPr="00A42549" w:rsidRDefault="00786194" w:rsidP="008B0F5F">
      <w:pPr>
        <w:pStyle w:val="FootnoteText"/>
        <w:rPr>
          <w:sz w:val="22"/>
          <w:szCs w:val="22"/>
        </w:rPr>
      </w:pPr>
      <w:r w:rsidRPr="00A42549">
        <w:rPr>
          <w:rStyle w:val="FootnoteReference"/>
          <w:sz w:val="22"/>
          <w:szCs w:val="22"/>
        </w:rPr>
        <w:footnoteRef/>
      </w:r>
      <w:r w:rsidRPr="00A42549">
        <w:rPr>
          <w:sz w:val="22"/>
          <w:szCs w:val="22"/>
        </w:rPr>
        <w:t xml:space="preserve"> A</w:t>
      </w:r>
      <w:r w:rsidRPr="00A42549">
        <w:rPr>
          <w:bCs/>
          <w:sz w:val="22"/>
          <w:szCs w:val="22"/>
        </w:rPr>
        <w:t>lomía</w:t>
      </w:r>
      <w:r w:rsidRPr="00A42549">
        <w:rPr>
          <w:b/>
          <w:bCs/>
          <w:sz w:val="22"/>
          <w:szCs w:val="22"/>
        </w:rPr>
        <w:t xml:space="preserve">, </w:t>
      </w:r>
      <w:r w:rsidRPr="00A42549">
        <w:rPr>
          <w:bCs/>
          <w:i/>
          <w:sz w:val="22"/>
          <w:szCs w:val="22"/>
        </w:rPr>
        <w:t>Daniel</w:t>
      </w:r>
      <w:r w:rsidRPr="00A42549">
        <w:rPr>
          <w:bCs/>
          <w:sz w:val="22"/>
          <w:szCs w:val="22"/>
        </w:rPr>
        <w:t xml:space="preserve"> 2:157.</w:t>
      </w:r>
    </w:p>
  </w:footnote>
  <w:footnote w:id="100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Rashi in </w:t>
      </w:r>
      <w:r w:rsidRPr="00A42549">
        <w:rPr>
          <w:rFonts w:ascii="Arial" w:hAnsi="Arial" w:cs="Arial"/>
          <w:sz w:val="22"/>
          <w:szCs w:val="22"/>
        </w:rPr>
        <w:t>גדולות</w:t>
      </w:r>
      <w:r w:rsidRPr="00A42549">
        <w:rPr>
          <w:sz w:val="22"/>
          <w:szCs w:val="22"/>
        </w:rPr>
        <w:t xml:space="preserve"> </w:t>
      </w:r>
      <w:r w:rsidRPr="00A42549">
        <w:rPr>
          <w:rFonts w:ascii="Arial" w:hAnsi="Arial" w:cs="Arial"/>
          <w:sz w:val="22"/>
          <w:szCs w:val="22"/>
        </w:rPr>
        <w:t>מקראות</w:t>
      </w:r>
      <w:r w:rsidRPr="00A42549">
        <w:rPr>
          <w:sz w:val="22"/>
          <w:szCs w:val="22"/>
        </w:rPr>
        <w:t xml:space="preserve"> on the passage.</w:t>
      </w:r>
    </w:p>
  </w:footnote>
  <w:footnote w:id="1005">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Lacocque, </w:t>
      </w:r>
      <w:r w:rsidRPr="00A42549">
        <w:rPr>
          <w:i/>
          <w:sz w:val="22"/>
          <w:szCs w:val="22"/>
        </w:rPr>
        <w:t>Daniel</w:t>
      </w:r>
      <w:r w:rsidRPr="00A42549">
        <w:rPr>
          <w:sz w:val="22"/>
          <w:szCs w:val="22"/>
        </w:rPr>
        <w:t>, on the passage.</w:t>
      </w:r>
    </w:p>
  </w:footnote>
  <w:footnote w:id="1006">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Plöger, </w:t>
      </w:r>
      <w:r w:rsidRPr="00A42549">
        <w:rPr>
          <w:i/>
          <w:sz w:val="22"/>
          <w:szCs w:val="22"/>
        </w:rPr>
        <w:t>Daniel</w:t>
      </w:r>
      <w:r w:rsidRPr="00A42549">
        <w:rPr>
          <w:sz w:val="22"/>
          <w:szCs w:val="22"/>
        </w:rPr>
        <w:t>, on the passage.</w:t>
      </w:r>
    </w:p>
  </w:footnote>
  <w:footnote w:id="100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Delcor, </w:t>
      </w:r>
      <w:r w:rsidRPr="00A42549">
        <w:rPr>
          <w:i/>
          <w:sz w:val="22"/>
          <w:szCs w:val="22"/>
        </w:rPr>
        <w:t>Daniel</w:t>
      </w:r>
      <w:r w:rsidRPr="00A42549">
        <w:rPr>
          <w:sz w:val="22"/>
          <w:szCs w:val="22"/>
        </w:rPr>
        <w:t>, on the passage.</w:t>
      </w:r>
    </w:p>
  </w:footnote>
  <w:footnote w:id="100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Lacocque, </w:t>
      </w:r>
      <w:r w:rsidRPr="00A42549">
        <w:rPr>
          <w:i/>
          <w:sz w:val="22"/>
          <w:szCs w:val="22"/>
        </w:rPr>
        <w:t>Daniel</w:t>
      </w:r>
      <w:r w:rsidRPr="00A42549">
        <w:rPr>
          <w:sz w:val="22"/>
          <w:szCs w:val="22"/>
        </w:rPr>
        <w:t>, on the passage.</w:t>
      </w:r>
    </w:p>
  </w:footnote>
  <w:footnote w:id="100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de Boer, “‘Vive le roi!’” On the significnace of the title, see further, Lederach, </w:t>
      </w:r>
      <w:r w:rsidRPr="00A42549">
        <w:rPr>
          <w:i/>
          <w:sz w:val="22"/>
          <w:szCs w:val="22"/>
        </w:rPr>
        <w:t>Daniel</w:t>
      </w:r>
      <w:r w:rsidRPr="00A42549">
        <w:rPr>
          <w:sz w:val="22"/>
          <w:szCs w:val="22"/>
        </w:rPr>
        <w:t>, 142-44.</w:t>
      </w:r>
    </w:p>
  </w:footnote>
  <w:footnote w:id="101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Wink, </w:t>
      </w:r>
      <w:r w:rsidRPr="00A42549">
        <w:rPr>
          <w:i/>
          <w:sz w:val="22"/>
          <w:szCs w:val="22"/>
        </w:rPr>
        <w:t>Naming the Powers</w:t>
      </w:r>
      <w:r w:rsidRPr="00A42549">
        <w:rPr>
          <w:sz w:val="22"/>
          <w:szCs w:val="22"/>
        </w:rPr>
        <w:t>, 111.</w:t>
      </w:r>
    </w:p>
  </w:footnote>
  <w:footnote w:id="1011">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Boogaart</w:t>
      </w:r>
      <w:r w:rsidRPr="00A42549">
        <w:rPr>
          <w:b/>
          <w:sz w:val="22"/>
          <w:szCs w:val="22"/>
        </w:rPr>
        <w:t xml:space="preserve">, </w:t>
      </w:r>
      <w:r w:rsidRPr="00A42549">
        <w:rPr>
          <w:sz w:val="22"/>
          <w:szCs w:val="22"/>
        </w:rPr>
        <w:t>“Daniel 6,” 107, 111.</w:t>
      </w:r>
    </w:p>
  </w:footnote>
  <w:footnote w:id="101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Longman, </w:t>
      </w:r>
      <w:r w:rsidRPr="00A42549">
        <w:rPr>
          <w:i/>
          <w:sz w:val="22"/>
          <w:szCs w:val="22"/>
        </w:rPr>
        <w:t>Daniel</w:t>
      </w:r>
      <w:r w:rsidRPr="00A42549">
        <w:rPr>
          <w:sz w:val="22"/>
          <w:szCs w:val="22"/>
        </w:rPr>
        <w:t>, 162-63.</w:t>
      </w:r>
    </w:p>
  </w:footnote>
  <w:footnote w:id="1013">
    <w:p w:rsidR="00786194" w:rsidRPr="00A42549" w:rsidRDefault="00786194" w:rsidP="00DE33BF">
      <w:pPr>
        <w:pStyle w:val="FootnoteText"/>
        <w:rPr>
          <w:sz w:val="22"/>
          <w:szCs w:val="22"/>
        </w:rPr>
      </w:pPr>
      <w:r w:rsidRPr="00A42549">
        <w:rPr>
          <w:rStyle w:val="FootnoteReference"/>
          <w:sz w:val="22"/>
          <w:szCs w:val="22"/>
        </w:rPr>
        <w:footnoteRef/>
      </w:r>
      <w:r w:rsidRPr="00A42549">
        <w:rPr>
          <w:sz w:val="22"/>
          <w:szCs w:val="22"/>
        </w:rPr>
        <w:t xml:space="preserve"> Berrigan, </w:t>
      </w:r>
      <w:r w:rsidRPr="00A42549">
        <w:rPr>
          <w:i/>
          <w:sz w:val="22"/>
          <w:szCs w:val="22"/>
        </w:rPr>
        <w:t>Daniel</w:t>
      </w:r>
      <w:r w:rsidRPr="00A42549">
        <w:rPr>
          <w:sz w:val="22"/>
          <w:szCs w:val="22"/>
        </w:rPr>
        <w:t>, 91.</w:t>
      </w:r>
    </w:p>
  </w:footnote>
  <w:footnote w:id="101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Lederach, </w:t>
      </w:r>
      <w:r w:rsidRPr="00A42549">
        <w:rPr>
          <w:i/>
          <w:sz w:val="22"/>
          <w:szCs w:val="22"/>
        </w:rPr>
        <w:t>Daniel</w:t>
      </w:r>
      <w:r w:rsidRPr="00A42549">
        <w:rPr>
          <w:sz w:val="22"/>
          <w:szCs w:val="22"/>
        </w:rPr>
        <w:t>, 136.</w:t>
      </w:r>
    </w:p>
  </w:footnote>
  <w:footnote w:id="1015">
    <w:p w:rsidR="00786194" w:rsidRPr="00A42549" w:rsidRDefault="00786194" w:rsidP="00124185">
      <w:pPr>
        <w:pStyle w:val="FootnoteText"/>
        <w:rPr>
          <w:sz w:val="22"/>
          <w:szCs w:val="22"/>
        </w:rPr>
      </w:pPr>
      <w:r w:rsidRPr="00A42549">
        <w:rPr>
          <w:rStyle w:val="FootnoteReference"/>
          <w:sz w:val="22"/>
          <w:szCs w:val="22"/>
        </w:rPr>
        <w:footnoteRef/>
      </w:r>
      <w:r w:rsidRPr="00A42549">
        <w:rPr>
          <w:sz w:val="22"/>
          <w:szCs w:val="22"/>
        </w:rPr>
        <w:t xml:space="preserve"> Calvin, </w:t>
      </w:r>
      <w:r w:rsidRPr="00A42549">
        <w:rPr>
          <w:i/>
          <w:sz w:val="22"/>
          <w:szCs w:val="22"/>
        </w:rPr>
        <w:t>Daniel 1—6</w:t>
      </w:r>
      <w:r w:rsidRPr="00A42549">
        <w:rPr>
          <w:sz w:val="22"/>
          <w:szCs w:val="22"/>
        </w:rPr>
        <w:t>, 269.</w:t>
      </w:r>
    </w:p>
  </w:footnote>
  <w:footnote w:id="1016">
    <w:p w:rsidR="00786194" w:rsidRPr="00A42549" w:rsidRDefault="00786194" w:rsidP="00124185">
      <w:pPr>
        <w:pStyle w:val="FootnoteText"/>
        <w:rPr>
          <w:sz w:val="22"/>
          <w:szCs w:val="22"/>
        </w:rPr>
      </w:pPr>
      <w:r w:rsidRPr="00A42549">
        <w:rPr>
          <w:rStyle w:val="FootnoteReference"/>
          <w:sz w:val="22"/>
          <w:szCs w:val="22"/>
        </w:rPr>
        <w:footnoteRef/>
      </w:r>
      <w:r w:rsidRPr="00A42549">
        <w:rPr>
          <w:sz w:val="22"/>
          <w:szCs w:val="22"/>
        </w:rPr>
        <w:t xml:space="preserve"> See e.g., , Lederach, </w:t>
      </w:r>
      <w:r w:rsidRPr="00A42549">
        <w:rPr>
          <w:i/>
          <w:sz w:val="22"/>
          <w:szCs w:val="22"/>
        </w:rPr>
        <w:t>Daniel</w:t>
      </w:r>
      <w:r w:rsidRPr="00A42549">
        <w:rPr>
          <w:sz w:val="22"/>
          <w:szCs w:val="22"/>
        </w:rPr>
        <w:t>, 144-47; and this theme in the early centuries of the church as illustrated in iconography (see Sörries</w:t>
      </w:r>
      <w:r w:rsidRPr="00A42549">
        <w:rPr>
          <w:b/>
          <w:sz w:val="22"/>
          <w:szCs w:val="22"/>
        </w:rPr>
        <w:t xml:space="preserve">, </w:t>
      </w:r>
      <w:r w:rsidRPr="00A42549">
        <w:rPr>
          <w:bCs/>
          <w:i/>
          <w:sz w:val="22"/>
          <w:szCs w:val="22"/>
        </w:rPr>
        <w:t>Daniel in der Löwengrube</w:t>
      </w:r>
      <w:r w:rsidRPr="00A42549">
        <w:rPr>
          <w:bCs/>
          <w:sz w:val="22"/>
          <w:szCs w:val="22"/>
        </w:rPr>
        <w:t>.</w:t>
      </w:r>
    </w:p>
  </w:footnote>
  <w:footnote w:id="1017">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Hippolytus, </w:t>
      </w:r>
      <w:r w:rsidRPr="00A42549">
        <w:rPr>
          <w:i/>
          <w:sz w:val="22"/>
          <w:szCs w:val="22"/>
        </w:rPr>
        <w:t>Daniel</w:t>
      </w:r>
      <w:r w:rsidRPr="00A42549">
        <w:rPr>
          <w:sz w:val="22"/>
          <w:szCs w:val="22"/>
        </w:rPr>
        <w:t xml:space="preserve"> 3.29-31.</w:t>
      </w:r>
    </w:p>
  </w:footnote>
  <w:footnote w:id="1018">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Philip, </w:t>
      </w:r>
      <w:r w:rsidRPr="00A42549">
        <w:rPr>
          <w:i/>
          <w:sz w:val="22"/>
          <w:szCs w:val="22"/>
        </w:rPr>
        <w:t>By the Rovers of Babylon</w:t>
      </w:r>
      <w:r w:rsidRPr="00A42549">
        <w:rPr>
          <w:sz w:val="22"/>
          <w:szCs w:val="22"/>
        </w:rPr>
        <w:t>, on the passage.</w:t>
      </w:r>
    </w:p>
  </w:footnote>
  <w:footnote w:id="1019">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Towner, </w:t>
      </w:r>
      <w:r w:rsidRPr="00A42549">
        <w:rPr>
          <w:i/>
          <w:sz w:val="22"/>
          <w:szCs w:val="22"/>
        </w:rPr>
        <w:t>Daniel</w:t>
      </w:r>
      <w:r w:rsidRPr="00A42549">
        <w:rPr>
          <w:sz w:val="22"/>
          <w:szCs w:val="22"/>
        </w:rPr>
        <w:t>, on the passage.</w:t>
      </w:r>
    </w:p>
  </w:footnote>
  <w:footnote w:id="1020">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Cf. Calvin, </w:t>
      </w:r>
      <w:r w:rsidRPr="00A42549">
        <w:rPr>
          <w:i/>
          <w:sz w:val="22"/>
          <w:szCs w:val="22"/>
        </w:rPr>
        <w:t>Daniel 1—6</w:t>
      </w:r>
      <w:r w:rsidRPr="00A42549">
        <w:rPr>
          <w:sz w:val="22"/>
          <w:szCs w:val="22"/>
        </w:rPr>
        <w:t>, 268.</w:t>
      </w:r>
    </w:p>
  </w:footnote>
  <w:footnote w:id="1021">
    <w:p w:rsidR="00786194" w:rsidRPr="00A42549" w:rsidRDefault="00786194" w:rsidP="0020169E">
      <w:pPr>
        <w:pStyle w:val="FootnoteText"/>
        <w:rPr>
          <w:sz w:val="22"/>
          <w:szCs w:val="22"/>
        </w:rPr>
      </w:pPr>
      <w:r w:rsidRPr="00A42549">
        <w:rPr>
          <w:rStyle w:val="FootnoteReference"/>
          <w:sz w:val="22"/>
          <w:szCs w:val="22"/>
        </w:rPr>
        <w:footnoteRef/>
      </w:r>
      <w:r w:rsidRPr="00A42549">
        <w:rPr>
          <w:sz w:val="22"/>
          <w:szCs w:val="22"/>
        </w:rPr>
        <w:t xml:space="preserve"> Smith-Christopher, “Daniel,” 93.</w:t>
      </w:r>
    </w:p>
  </w:footnote>
  <w:footnote w:id="1022">
    <w:p w:rsidR="00786194" w:rsidRPr="00A42549" w:rsidRDefault="00786194" w:rsidP="0020169E">
      <w:pPr>
        <w:pStyle w:val="FootnoteText"/>
        <w:rPr>
          <w:sz w:val="22"/>
          <w:szCs w:val="22"/>
        </w:rPr>
      </w:pPr>
      <w:r w:rsidRPr="00A42549">
        <w:rPr>
          <w:rStyle w:val="FootnoteReference"/>
          <w:sz w:val="22"/>
          <w:szCs w:val="22"/>
        </w:rPr>
        <w:footnoteRef/>
      </w:r>
      <w:r w:rsidRPr="00A42549">
        <w:rPr>
          <w:sz w:val="22"/>
          <w:szCs w:val="22"/>
        </w:rPr>
        <w:t xml:space="preserve"> Cf. Haag, </w:t>
      </w:r>
      <w:r w:rsidRPr="00A42549">
        <w:rPr>
          <w:i/>
          <w:sz w:val="22"/>
          <w:szCs w:val="22"/>
        </w:rPr>
        <w:t>Daniel</w:t>
      </w:r>
      <w:r w:rsidRPr="00A42549">
        <w:rPr>
          <w:sz w:val="22"/>
          <w:szCs w:val="22"/>
        </w:rPr>
        <w:t>, 55.</w:t>
      </w:r>
    </w:p>
  </w:footnote>
  <w:footnote w:id="1023">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Gammie, </w:t>
      </w:r>
      <w:r w:rsidRPr="00A42549">
        <w:rPr>
          <w:i/>
          <w:sz w:val="22"/>
          <w:szCs w:val="22"/>
        </w:rPr>
        <w:t>Daniel</w:t>
      </w:r>
      <w:r w:rsidRPr="00A42549">
        <w:rPr>
          <w:sz w:val="22"/>
          <w:szCs w:val="22"/>
        </w:rPr>
        <w:t>, on the passage.</w:t>
      </w:r>
    </w:p>
  </w:footnote>
  <w:footnote w:id="102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Wink, </w:t>
      </w:r>
      <w:r w:rsidRPr="00A42549">
        <w:rPr>
          <w:i/>
          <w:sz w:val="22"/>
          <w:szCs w:val="22"/>
        </w:rPr>
        <w:t>Naming the Powers</w:t>
      </w:r>
      <w:r w:rsidRPr="00A42549">
        <w:rPr>
          <w:sz w:val="22"/>
          <w:szCs w:val="22"/>
        </w:rPr>
        <w:t>, 97–99. Frisch considers further the role of Gen 10 as a foil in Dan 1—6 (</w:t>
      </w:r>
      <w:r w:rsidRPr="00A42549">
        <w:rPr>
          <w:i/>
          <w:sz w:val="22"/>
          <w:szCs w:val="22"/>
        </w:rPr>
        <w:t>The</w:t>
      </w:r>
      <w:r w:rsidRPr="00A42549">
        <w:rPr>
          <w:b/>
          <w:i/>
          <w:sz w:val="22"/>
          <w:szCs w:val="22"/>
        </w:rPr>
        <w:t xml:space="preserve"> </w:t>
      </w:r>
      <w:r w:rsidRPr="00A42549">
        <w:rPr>
          <w:i/>
          <w:sz w:val="22"/>
          <w:szCs w:val="22"/>
        </w:rPr>
        <w:t>Danielic Discourse on Empire in Second Temple Literature</w:t>
      </w:r>
      <w:r w:rsidRPr="00A42549">
        <w:rPr>
          <w:sz w:val="22"/>
          <w:szCs w:val="22"/>
        </w:rPr>
        <w:t>, 107-12.</w:t>
      </w:r>
    </w:p>
  </w:footnote>
  <w:footnote w:id="1025">
    <w:p w:rsidR="00786194" w:rsidRPr="00A42549" w:rsidRDefault="00786194" w:rsidP="002F2055">
      <w:pPr>
        <w:pStyle w:val="FootnoteText"/>
        <w:rPr>
          <w:i/>
          <w:sz w:val="22"/>
          <w:szCs w:val="22"/>
        </w:rPr>
      </w:pPr>
      <w:r w:rsidRPr="00A42549">
        <w:rPr>
          <w:rStyle w:val="FootnoteReference"/>
          <w:sz w:val="22"/>
          <w:szCs w:val="22"/>
        </w:rPr>
        <w:footnoteRef/>
      </w:r>
      <w:r w:rsidRPr="00A42549">
        <w:rPr>
          <w:sz w:val="22"/>
          <w:szCs w:val="22"/>
        </w:rPr>
        <w:t xml:space="preserve"> Anderson, </w:t>
      </w:r>
      <w:r w:rsidRPr="00A42549">
        <w:rPr>
          <w:i/>
          <w:sz w:val="22"/>
          <w:szCs w:val="22"/>
        </w:rPr>
        <w:t xml:space="preserve">Signs and Wonders, </w:t>
      </w:r>
      <w:r w:rsidRPr="00A42549">
        <w:rPr>
          <w:sz w:val="22"/>
          <w:szCs w:val="22"/>
        </w:rPr>
        <w:t>on the passage</w:t>
      </w:r>
      <w:r w:rsidRPr="00A42549">
        <w:rPr>
          <w:i/>
          <w:sz w:val="22"/>
          <w:szCs w:val="22"/>
        </w:rPr>
        <w:t>.</w:t>
      </w:r>
    </w:p>
  </w:footnote>
  <w:footnote w:id="1026">
    <w:p w:rsidR="00786194" w:rsidRPr="00A42549" w:rsidRDefault="00786194">
      <w:pPr>
        <w:pStyle w:val="FootnoteText"/>
        <w:rPr>
          <w:i/>
          <w:sz w:val="22"/>
          <w:szCs w:val="22"/>
        </w:rPr>
      </w:pPr>
      <w:r w:rsidRPr="00A42549">
        <w:rPr>
          <w:rStyle w:val="FootnoteReference"/>
          <w:sz w:val="22"/>
          <w:szCs w:val="22"/>
        </w:rPr>
        <w:footnoteRef/>
      </w:r>
      <w:r w:rsidRPr="00A42549">
        <w:rPr>
          <w:sz w:val="22"/>
          <w:szCs w:val="22"/>
        </w:rPr>
        <w:t xml:space="preserve"> Cf. Kennedy, “Daniel</w:t>
      </w:r>
      <w:r w:rsidRPr="00A42549">
        <w:rPr>
          <w:i/>
          <w:sz w:val="22"/>
          <w:szCs w:val="22"/>
        </w:rPr>
        <w:t>,</w:t>
      </w:r>
      <w:r w:rsidRPr="00A42549">
        <w:rPr>
          <w:sz w:val="22"/>
          <w:szCs w:val="22"/>
        </w:rPr>
        <w:t>”</w:t>
      </w:r>
      <w:r w:rsidRPr="00A42549">
        <w:rPr>
          <w:i/>
          <w:sz w:val="22"/>
          <w:szCs w:val="22"/>
        </w:rPr>
        <w:t xml:space="preserve"> </w:t>
      </w:r>
      <w:r w:rsidRPr="00A42549">
        <w:rPr>
          <w:sz w:val="22"/>
          <w:szCs w:val="22"/>
        </w:rPr>
        <w:t>on the passage.</w:t>
      </w:r>
    </w:p>
  </w:footnote>
  <w:footnote w:id="1027">
    <w:p w:rsidR="00786194" w:rsidRPr="00A42549" w:rsidRDefault="00786194" w:rsidP="00DE33BF">
      <w:pPr>
        <w:pStyle w:val="FootnoteText"/>
        <w:rPr>
          <w:sz w:val="22"/>
          <w:szCs w:val="22"/>
        </w:rPr>
      </w:pPr>
      <w:r w:rsidRPr="00A42549">
        <w:rPr>
          <w:rStyle w:val="FootnoteReference"/>
          <w:sz w:val="22"/>
          <w:szCs w:val="22"/>
        </w:rPr>
        <w:footnoteRef/>
      </w:r>
      <w:r w:rsidRPr="00A42549">
        <w:rPr>
          <w:sz w:val="22"/>
          <w:szCs w:val="22"/>
        </w:rPr>
        <w:t xml:space="preserve"> Davies, “Daniel in the Lion’s Den,” 160, 161.</w:t>
      </w:r>
    </w:p>
  </w:footnote>
  <w:footnote w:id="1028">
    <w:p w:rsidR="00786194" w:rsidRPr="00A42549" w:rsidRDefault="00786194" w:rsidP="00B45CB2">
      <w:pPr>
        <w:pStyle w:val="FootnoteText"/>
        <w:rPr>
          <w:sz w:val="22"/>
          <w:szCs w:val="22"/>
        </w:rPr>
      </w:pPr>
      <w:r w:rsidRPr="00A42549">
        <w:rPr>
          <w:rStyle w:val="FootnoteReference"/>
          <w:sz w:val="22"/>
          <w:szCs w:val="22"/>
        </w:rPr>
        <w:footnoteRef/>
      </w:r>
      <w:r w:rsidRPr="00A42549">
        <w:rPr>
          <w:sz w:val="22"/>
          <w:szCs w:val="22"/>
        </w:rPr>
        <w:t xml:space="preserve"> Polaski</w:t>
      </w:r>
      <w:r w:rsidRPr="00A42549">
        <w:rPr>
          <w:b/>
          <w:sz w:val="22"/>
          <w:szCs w:val="22"/>
        </w:rPr>
        <w:t xml:space="preserve">, </w:t>
      </w:r>
      <w:r w:rsidRPr="00A42549">
        <w:rPr>
          <w:sz w:val="22"/>
          <w:szCs w:val="22"/>
        </w:rPr>
        <w:t>“</w:t>
      </w:r>
      <w:r w:rsidRPr="00A42549">
        <w:rPr>
          <w:i/>
          <w:sz w:val="22"/>
          <w:szCs w:val="22"/>
        </w:rPr>
        <w:t>Mene, Mene, Tekel, Parsin</w:t>
      </w:r>
      <w:r w:rsidRPr="00A42549">
        <w:rPr>
          <w:sz w:val="22"/>
          <w:szCs w:val="22"/>
        </w:rPr>
        <w:t>,” 668.</w:t>
      </w:r>
    </w:p>
  </w:footnote>
  <w:footnote w:id="1029">
    <w:p w:rsidR="00786194" w:rsidRPr="00A42549" w:rsidRDefault="00786194" w:rsidP="00B45CB2">
      <w:pPr>
        <w:pStyle w:val="FootnoteText"/>
        <w:rPr>
          <w:sz w:val="22"/>
          <w:szCs w:val="22"/>
        </w:rPr>
      </w:pPr>
      <w:r w:rsidRPr="00A42549">
        <w:rPr>
          <w:rStyle w:val="FootnoteReference"/>
          <w:sz w:val="22"/>
          <w:szCs w:val="22"/>
        </w:rPr>
        <w:footnoteRef/>
      </w:r>
      <w:r w:rsidRPr="00A42549">
        <w:rPr>
          <w:sz w:val="22"/>
          <w:szCs w:val="22"/>
        </w:rPr>
        <w:t xml:space="preserve"> Nolan Fewell, </w:t>
      </w:r>
      <w:r w:rsidRPr="00A42549">
        <w:rPr>
          <w:i/>
          <w:sz w:val="22"/>
          <w:szCs w:val="22"/>
        </w:rPr>
        <w:t>Circle of Sovereignty</w:t>
      </w:r>
      <w:r w:rsidRPr="00A42549">
        <w:rPr>
          <w:sz w:val="22"/>
          <w:szCs w:val="22"/>
        </w:rPr>
        <w:t>, 118.</w:t>
      </w:r>
    </w:p>
  </w:footnote>
  <w:footnote w:id="1030">
    <w:p w:rsidR="00786194" w:rsidRPr="00A42549" w:rsidRDefault="00786194" w:rsidP="002F2055">
      <w:pPr>
        <w:pStyle w:val="FootnoteText"/>
        <w:rPr>
          <w:sz w:val="22"/>
          <w:szCs w:val="22"/>
        </w:rPr>
      </w:pPr>
      <w:r w:rsidRPr="00A42549">
        <w:rPr>
          <w:rStyle w:val="FootnoteReference"/>
          <w:sz w:val="22"/>
          <w:szCs w:val="22"/>
        </w:rPr>
        <w:footnoteRef/>
      </w:r>
      <w:r w:rsidRPr="00A42549">
        <w:rPr>
          <w:sz w:val="22"/>
          <w:szCs w:val="22"/>
        </w:rPr>
        <w:t xml:space="preserve"> Bergsma, “Cultic Kingdoms in Conflict,” 56.</w:t>
      </w:r>
    </w:p>
  </w:footnote>
  <w:footnote w:id="1031">
    <w:p w:rsidR="00786194" w:rsidRPr="00A42549" w:rsidRDefault="00786194" w:rsidP="00F10566">
      <w:pPr>
        <w:pStyle w:val="FootnoteText"/>
        <w:rPr>
          <w:sz w:val="22"/>
          <w:szCs w:val="22"/>
        </w:rPr>
      </w:pPr>
      <w:r w:rsidRPr="00A42549">
        <w:rPr>
          <w:rStyle w:val="FootnoteReference"/>
          <w:sz w:val="22"/>
          <w:szCs w:val="22"/>
        </w:rPr>
        <w:footnoteRef/>
      </w:r>
      <w:r w:rsidRPr="00A42549">
        <w:rPr>
          <w:sz w:val="22"/>
          <w:szCs w:val="22"/>
        </w:rPr>
        <w:t xml:space="preserve"> Towner, </w:t>
      </w:r>
      <w:r w:rsidRPr="00A42549">
        <w:rPr>
          <w:i/>
          <w:sz w:val="22"/>
          <w:szCs w:val="22"/>
        </w:rPr>
        <w:t>Daniel</w:t>
      </w:r>
      <w:r w:rsidRPr="00A42549">
        <w:rPr>
          <w:sz w:val="22"/>
          <w:szCs w:val="22"/>
        </w:rPr>
        <w:t>, on the passage.</w:t>
      </w:r>
    </w:p>
  </w:footnote>
  <w:footnote w:id="1032">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so Derrett, “Daniel”; for the comparison, see Aphrahat, </w:t>
      </w:r>
      <w:r w:rsidRPr="00A42549">
        <w:rPr>
          <w:i/>
          <w:sz w:val="22"/>
          <w:szCs w:val="22"/>
        </w:rPr>
        <w:t>Demonstration</w:t>
      </w:r>
      <w:r w:rsidRPr="00A42549">
        <w:rPr>
          <w:sz w:val="22"/>
          <w:szCs w:val="22"/>
        </w:rPr>
        <w:t xml:space="preserve"> 21.18 [NPNF ii 13:399])</w:t>
      </w:r>
    </w:p>
  </w:footnote>
  <w:footnote w:id="1033">
    <w:p w:rsidR="00786194" w:rsidRPr="00A42549" w:rsidRDefault="00786194" w:rsidP="005C7DDE">
      <w:pPr>
        <w:pStyle w:val="FootnoteText"/>
        <w:rPr>
          <w:b/>
          <w:sz w:val="22"/>
          <w:szCs w:val="22"/>
        </w:rPr>
      </w:pPr>
      <w:r w:rsidRPr="00A42549">
        <w:rPr>
          <w:rStyle w:val="FootnoteReference"/>
          <w:sz w:val="22"/>
          <w:szCs w:val="22"/>
        </w:rPr>
        <w:footnoteRef/>
      </w:r>
      <w:r w:rsidRPr="00A42549">
        <w:rPr>
          <w:sz w:val="22"/>
          <w:szCs w:val="22"/>
        </w:rPr>
        <w:t xml:space="preserve"> See Langlois</w:t>
      </w:r>
      <w:r w:rsidRPr="00A42549">
        <w:rPr>
          <w:b/>
          <w:sz w:val="22"/>
          <w:szCs w:val="22"/>
        </w:rPr>
        <w:t>, “</w:t>
      </w:r>
      <w:r w:rsidRPr="00A42549">
        <w:rPr>
          <w:sz w:val="22"/>
          <w:szCs w:val="22"/>
        </w:rPr>
        <w:t xml:space="preserve">Loin des yeux, non du coeur.” </w:t>
      </w:r>
    </w:p>
    <w:p w:rsidR="00786194" w:rsidRPr="00A42549" w:rsidRDefault="00786194" w:rsidP="005C7DDE">
      <w:pPr>
        <w:pStyle w:val="FootnoteText"/>
        <w:rPr>
          <w:sz w:val="22"/>
          <w:szCs w:val="22"/>
        </w:rPr>
      </w:pPr>
    </w:p>
  </w:footnote>
  <w:footnote w:id="1034">
    <w:p w:rsidR="00786194" w:rsidRPr="00A42549" w:rsidRDefault="00786194">
      <w:pPr>
        <w:pStyle w:val="FootnoteText"/>
        <w:rPr>
          <w:sz w:val="22"/>
          <w:szCs w:val="22"/>
        </w:rPr>
      </w:pPr>
      <w:r w:rsidRPr="00A42549">
        <w:rPr>
          <w:rStyle w:val="FootnoteReference"/>
          <w:sz w:val="22"/>
          <w:szCs w:val="22"/>
        </w:rPr>
        <w:footnoteRef/>
      </w:r>
      <w:r w:rsidRPr="00A42549">
        <w:rPr>
          <w:sz w:val="22"/>
          <w:szCs w:val="22"/>
        </w:rPr>
        <w:t xml:space="preserve"> Adapted from Briggs, “‘I Perceived in the Books.’” 115-16.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E4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0629268"/>
    <w:lvl w:ilvl="0">
      <w:start w:val="1"/>
      <w:numFmt w:val="decimal"/>
      <w:lvlText w:val="%1."/>
      <w:lvlJc w:val="left"/>
      <w:pPr>
        <w:tabs>
          <w:tab w:val="num" w:pos="1800"/>
        </w:tabs>
        <w:ind w:left="1800" w:hanging="360"/>
      </w:pPr>
    </w:lvl>
  </w:abstractNum>
  <w:abstractNum w:abstractNumId="2">
    <w:nsid w:val="FFFFFF7D"/>
    <w:multiLevelType w:val="singleLevel"/>
    <w:tmpl w:val="27D8E896"/>
    <w:lvl w:ilvl="0">
      <w:start w:val="1"/>
      <w:numFmt w:val="decimal"/>
      <w:lvlText w:val="%1."/>
      <w:lvlJc w:val="left"/>
      <w:pPr>
        <w:tabs>
          <w:tab w:val="num" w:pos="1440"/>
        </w:tabs>
        <w:ind w:left="1440" w:hanging="360"/>
      </w:pPr>
    </w:lvl>
  </w:abstractNum>
  <w:abstractNum w:abstractNumId="3">
    <w:nsid w:val="FFFFFF7E"/>
    <w:multiLevelType w:val="singleLevel"/>
    <w:tmpl w:val="B26ECF96"/>
    <w:lvl w:ilvl="0">
      <w:start w:val="1"/>
      <w:numFmt w:val="decimal"/>
      <w:lvlText w:val="%1."/>
      <w:lvlJc w:val="left"/>
      <w:pPr>
        <w:tabs>
          <w:tab w:val="num" w:pos="1080"/>
        </w:tabs>
        <w:ind w:left="1080" w:hanging="360"/>
      </w:pPr>
    </w:lvl>
  </w:abstractNum>
  <w:abstractNum w:abstractNumId="4">
    <w:nsid w:val="FFFFFF7F"/>
    <w:multiLevelType w:val="singleLevel"/>
    <w:tmpl w:val="DF44DCF8"/>
    <w:lvl w:ilvl="0">
      <w:start w:val="1"/>
      <w:numFmt w:val="decimal"/>
      <w:lvlText w:val="%1."/>
      <w:lvlJc w:val="left"/>
      <w:pPr>
        <w:tabs>
          <w:tab w:val="num" w:pos="720"/>
        </w:tabs>
        <w:ind w:left="720" w:hanging="360"/>
      </w:pPr>
    </w:lvl>
  </w:abstractNum>
  <w:abstractNum w:abstractNumId="5">
    <w:nsid w:val="FFFFFF80"/>
    <w:multiLevelType w:val="singleLevel"/>
    <w:tmpl w:val="80BAE4C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77C0BE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9BA477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3D66D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4A0504"/>
    <w:lvl w:ilvl="0">
      <w:start w:val="1"/>
      <w:numFmt w:val="decimal"/>
      <w:lvlText w:val="%1."/>
      <w:lvlJc w:val="left"/>
      <w:pPr>
        <w:tabs>
          <w:tab w:val="num" w:pos="360"/>
        </w:tabs>
        <w:ind w:left="360" w:hanging="360"/>
      </w:pPr>
    </w:lvl>
  </w:abstractNum>
  <w:abstractNum w:abstractNumId="10">
    <w:nsid w:val="FFFFFF89"/>
    <w:multiLevelType w:val="singleLevel"/>
    <w:tmpl w:val="BA5863D2"/>
    <w:lvl w:ilvl="0">
      <w:start w:val="1"/>
      <w:numFmt w:val="bullet"/>
      <w:lvlText w:val=""/>
      <w:lvlJc w:val="left"/>
      <w:pPr>
        <w:tabs>
          <w:tab w:val="num" w:pos="360"/>
        </w:tabs>
        <w:ind w:left="360" w:hanging="360"/>
      </w:pPr>
      <w:rPr>
        <w:rFonts w:ascii="Symbol" w:hAnsi="Symbol" w:hint="default"/>
      </w:rPr>
    </w:lvl>
  </w:abstractNum>
  <w:abstractNum w:abstractNumId="11">
    <w:nsid w:val="0A96521E"/>
    <w:multiLevelType w:val="hybridMultilevel"/>
    <w:tmpl w:val="B8E23CC2"/>
    <w:lvl w:ilvl="0" w:tplc="3A321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D52BFB"/>
    <w:multiLevelType w:val="singleLevel"/>
    <w:tmpl w:val="00000000"/>
    <w:lvl w:ilvl="0">
      <w:start w:val="1"/>
      <w:numFmt w:val="bullet"/>
      <w:lvlText w:val="•"/>
      <w:lvlJc w:val="left"/>
      <w:pPr>
        <w:ind w:left="720" w:hanging="500"/>
      </w:pPr>
    </w:lvl>
  </w:abstractNum>
  <w:abstractNum w:abstractNumId="13">
    <w:nsid w:val="12E25C88"/>
    <w:multiLevelType w:val="singleLevel"/>
    <w:tmpl w:val="00000000"/>
    <w:styleLink w:val="NumberList1"/>
    <w:lvl w:ilvl="0">
      <w:start w:val="1"/>
      <w:numFmt w:val="decimal"/>
      <w:lvlText w:val="%1."/>
      <w:lvlJc w:val="left"/>
      <w:pPr>
        <w:ind w:left="720" w:hanging="500"/>
      </w:pPr>
    </w:lvl>
  </w:abstractNum>
  <w:abstractNum w:abstractNumId="14">
    <w:nsid w:val="133E2DE2"/>
    <w:multiLevelType w:val="singleLevel"/>
    <w:tmpl w:val="00000000"/>
    <w:styleLink w:val="BulletList1"/>
    <w:lvl w:ilvl="0">
      <w:start w:val="1"/>
      <w:numFmt w:val="bullet"/>
      <w:lvlText w:val="•"/>
      <w:lvlJc w:val="left"/>
      <w:pPr>
        <w:ind w:left="720" w:hanging="360"/>
      </w:pPr>
    </w:lvl>
  </w:abstractNum>
  <w:abstractNum w:abstractNumId="15">
    <w:nsid w:val="194B00F1"/>
    <w:multiLevelType w:val="singleLevel"/>
    <w:tmpl w:val="00000000"/>
    <w:lvl w:ilvl="0">
      <w:start w:val="1"/>
      <w:numFmt w:val="bullet"/>
      <w:lvlText w:val="•"/>
      <w:lvlJc w:val="left"/>
      <w:pPr>
        <w:ind w:left="720" w:hanging="500"/>
      </w:pPr>
    </w:lvl>
  </w:abstractNum>
  <w:abstractNum w:abstractNumId="16">
    <w:nsid w:val="1AB96B5B"/>
    <w:multiLevelType w:val="singleLevel"/>
    <w:tmpl w:val="00000000"/>
    <w:lvl w:ilvl="0">
      <w:start w:val="1"/>
      <w:numFmt w:val="bullet"/>
      <w:lvlText w:val="•"/>
      <w:lvlJc w:val="left"/>
      <w:pPr>
        <w:ind w:left="720" w:hanging="500"/>
      </w:pPr>
    </w:lvl>
  </w:abstractNum>
  <w:abstractNum w:abstractNumId="17">
    <w:nsid w:val="2FD07DDC"/>
    <w:multiLevelType w:val="singleLevel"/>
    <w:tmpl w:val="00000000"/>
    <w:lvl w:ilvl="0">
      <w:start w:val="1"/>
      <w:numFmt w:val="decimal"/>
      <w:lvlText w:val="%1."/>
      <w:lvlJc w:val="left"/>
      <w:pPr>
        <w:ind w:left="720" w:hanging="500"/>
      </w:pPr>
    </w:lvl>
  </w:abstractNum>
  <w:abstractNum w:abstractNumId="18">
    <w:nsid w:val="3162604F"/>
    <w:multiLevelType w:val="singleLevel"/>
    <w:tmpl w:val="00000000"/>
    <w:styleLink w:val="BulletList2"/>
    <w:lvl w:ilvl="0">
      <w:start w:val="1"/>
      <w:numFmt w:val="bullet"/>
      <w:lvlText w:val="•"/>
      <w:lvlJc w:val="left"/>
      <w:pPr>
        <w:ind w:left="720" w:hanging="500"/>
      </w:pPr>
    </w:lvl>
  </w:abstractNum>
  <w:abstractNum w:abstractNumId="19">
    <w:nsid w:val="31A0FBDD"/>
    <w:multiLevelType w:val="singleLevel"/>
    <w:tmpl w:val="00000000"/>
    <w:styleLink w:val="BulletList8"/>
    <w:lvl w:ilvl="0">
      <w:start w:val="1"/>
      <w:numFmt w:val="bullet"/>
      <w:lvlText w:val="•"/>
      <w:lvlJc w:val="left"/>
      <w:pPr>
        <w:ind w:left="720" w:hanging="500"/>
      </w:pPr>
    </w:lvl>
  </w:abstractNum>
  <w:abstractNum w:abstractNumId="20">
    <w:nsid w:val="40AD76A8"/>
    <w:multiLevelType w:val="singleLevel"/>
    <w:tmpl w:val="00000000"/>
    <w:lvl w:ilvl="0">
      <w:start w:val="1"/>
      <w:numFmt w:val="bullet"/>
      <w:lvlText w:val="•"/>
      <w:lvlJc w:val="left"/>
      <w:pPr>
        <w:ind w:left="720" w:hanging="500"/>
      </w:pPr>
    </w:lvl>
  </w:abstractNum>
  <w:abstractNum w:abstractNumId="21">
    <w:nsid w:val="4263090E"/>
    <w:multiLevelType w:val="singleLevel"/>
    <w:tmpl w:val="00000000"/>
    <w:lvl w:ilvl="0">
      <w:start w:val="1"/>
      <w:numFmt w:val="bullet"/>
      <w:lvlText w:val="•"/>
      <w:lvlJc w:val="left"/>
      <w:pPr>
        <w:ind w:left="720" w:hanging="500"/>
      </w:pPr>
    </w:lvl>
  </w:abstractNum>
  <w:abstractNum w:abstractNumId="22">
    <w:nsid w:val="493F35E7"/>
    <w:multiLevelType w:val="hybridMultilevel"/>
    <w:tmpl w:val="EB6A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8EE67"/>
    <w:multiLevelType w:val="singleLevel"/>
    <w:tmpl w:val="00000000"/>
    <w:styleLink w:val="BulletList9"/>
    <w:lvl w:ilvl="0">
      <w:start w:val="1"/>
      <w:numFmt w:val="bullet"/>
      <w:lvlText w:val="•"/>
      <w:lvlJc w:val="left"/>
      <w:pPr>
        <w:ind w:left="720" w:hanging="500"/>
      </w:pPr>
    </w:lvl>
  </w:abstractNum>
  <w:abstractNum w:abstractNumId="24">
    <w:nsid w:val="5376A8B5"/>
    <w:multiLevelType w:val="singleLevel"/>
    <w:tmpl w:val="00000000"/>
    <w:styleLink w:val="BulletList7"/>
    <w:lvl w:ilvl="0">
      <w:start w:val="1"/>
      <w:numFmt w:val="bullet"/>
      <w:lvlText w:val="•"/>
      <w:lvlJc w:val="left"/>
      <w:pPr>
        <w:ind w:left="720" w:hanging="500"/>
      </w:pPr>
    </w:lvl>
  </w:abstractNum>
  <w:abstractNum w:abstractNumId="25">
    <w:nsid w:val="55E83917"/>
    <w:multiLevelType w:val="singleLevel"/>
    <w:tmpl w:val="00000000"/>
    <w:styleLink w:val="BulletList3"/>
    <w:lvl w:ilvl="0">
      <w:start w:val="1"/>
      <w:numFmt w:val="bullet"/>
      <w:lvlText w:val="•"/>
      <w:lvlJc w:val="left"/>
      <w:pPr>
        <w:ind w:left="720" w:hanging="500"/>
      </w:pPr>
    </w:lvl>
  </w:abstractNum>
  <w:abstractNum w:abstractNumId="26">
    <w:nsid w:val="57365A4C"/>
    <w:multiLevelType w:val="singleLevel"/>
    <w:tmpl w:val="00000000"/>
    <w:styleLink w:val="BulletList5"/>
    <w:lvl w:ilvl="0">
      <w:start w:val="1"/>
      <w:numFmt w:val="bullet"/>
      <w:lvlText w:val="•"/>
      <w:lvlJc w:val="left"/>
      <w:pPr>
        <w:ind w:left="720" w:hanging="500"/>
      </w:pPr>
    </w:lvl>
  </w:abstractNum>
  <w:abstractNum w:abstractNumId="27">
    <w:nsid w:val="5FAF16FF"/>
    <w:multiLevelType w:val="singleLevel"/>
    <w:tmpl w:val="00000000"/>
    <w:lvl w:ilvl="0">
      <w:start w:val="1"/>
      <w:numFmt w:val="bullet"/>
      <w:lvlText w:val="•"/>
      <w:lvlJc w:val="left"/>
      <w:pPr>
        <w:ind w:left="720" w:hanging="500"/>
      </w:pPr>
    </w:lvl>
  </w:abstractNum>
  <w:abstractNum w:abstractNumId="28">
    <w:nsid w:val="624A0D4A"/>
    <w:multiLevelType w:val="singleLevel"/>
    <w:tmpl w:val="00000000"/>
    <w:lvl w:ilvl="0">
      <w:start w:val="1"/>
      <w:numFmt w:val="bullet"/>
      <w:lvlText w:val="•"/>
      <w:lvlJc w:val="left"/>
      <w:pPr>
        <w:ind w:left="720" w:hanging="500"/>
      </w:pPr>
    </w:lvl>
  </w:abstractNum>
  <w:abstractNum w:abstractNumId="29">
    <w:nsid w:val="6C3BD2BD"/>
    <w:multiLevelType w:val="singleLevel"/>
    <w:tmpl w:val="00000000"/>
    <w:styleLink w:val="BulletList4"/>
    <w:lvl w:ilvl="0">
      <w:start w:val="1"/>
      <w:numFmt w:val="bullet"/>
      <w:lvlText w:val="•"/>
      <w:lvlJc w:val="left"/>
      <w:pPr>
        <w:ind w:left="720" w:hanging="500"/>
      </w:pPr>
    </w:lvl>
  </w:abstractNum>
  <w:abstractNum w:abstractNumId="30">
    <w:nsid w:val="70F66FAB"/>
    <w:multiLevelType w:val="singleLevel"/>
    <w:tmpl w:val="00000000"/>
    <w:lvl w:ilvl="0">
      <w:start w:val="1"/>
      <w:numFmt w:val="bullet"/>
      <w:lvlText w:val="•"/>
      <w:lvlJc w:val="left"/>
      <w:pPr>
        <w:ind w:left="720" w:hanging="500"/>
      </w:pPr>
    </w:lvl>
  </w:abstractNum>
  <w:abstractNum w:abstractNumId="31">
    <w:nsid w:val="7188E8F6"/>
    <w:multiLevelType w:val="singleLevel"/>
    <w:tmpl w:val="00000000"/>
    <w:styleLink w:val="BulletList6"/>
    <w:lvl w:ilvl="0">
      <w:start w:val="1"/>
      <w:numFmt w:val="bullet"/>
      <w:lvlText w:val="•"/>
      <w:lvlJc w:val="left"/>
      <w:pPr>
        <w:ind w:left="720" w:hanging="500"/>
      </w:pPr>
    </w:lvl>
  </w:abstractNum>
  <w:abstractNum w:abstractNumId="32">
    <w:nsid w:val="75BF5FD4"/>
    <w:multiLevelType w:val="hybridMultilevel"/>
    <w:tmpl w:val="76AC2EA8"/>
    <w:lvl w:ilvl="0" w:tplc="F1668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8355C4"/>
    <w:multiLevelType w:val="singleLevel"/>
    <w:tmpl w:val="00000000"/>
    <w:lvl w:ilvl="0">
      <w:start w:val="1"/>
      <w:numFmt w:val="bullet"/>
      <w:lvlText w:val="•"/>
      <w:lvlJc w:val="left"/>
      <w:pPr>
        <w:ind w:left="720" w:hanging="360"/>
      </w:pPr>
    </w:lvl>
  </w:abstractNum>
  <w:abstractNum w:abstractNumId="34">
    <w:nsid w:val="7CA34BA4"/>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DD51594"/>
    <w:multiLevelType w:val="hybridMultilevel"/>
    <w:tmpl w:val="1C5428CC"/>
    <w:lvl w:ilvl="0" w:tplc="974EF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2"/>
  </w:num>
  <w:num w:numId="3">
    <w:abstractNumId w:val="0"/>
  </w:num>
  <w:num w:numId="4">
    <w:abstractNumId w:val="11"/>
    <w:lvlOverride w:ilvl="0">
      <w:startOverride w:val="1"/>
    </w:lvlOverride>
  </w:num>
  <w:num w:numId="5">
    <w:abstractNumId w:val="14"/>
  </w:num>
  <w:num w:numId="6">
    <w:abstractNumId w:val="18"/>
  </w:num>
  <w:num w:numId="7">
    <w:abstractNumId w:val="25"/>
  </w:num>
  <w:num w:numId="8">
    <w:abstractNumId w:val="29"/>
  </w:num>
  <w:num w:numId="9">
    <w:abstractNumId w:val="26"/>
  </w:num>
  <w:num w:numId="10">
    <w:abstractNumId w:val="31"/>
  </w:num>
  <w:num w:numId="11">
    <w:abstractNumId w:val="24"/>
  </w:num>
  <w:num w:numId="12">
    <w:abstractNumId w:val="19"/>
  </w:num>
  <w:num w:numId="13">
    <w:abstractNumId w:val="23"/>
  </w:num>
  <w:num w:numId="14">
    <w:abstractNumId w:val="13"/>
  </w:num>
  <w:num w:numId="15">
    <w:abstractNumId w:val="34"/>
  </w:num>
  <w:num w:numId="16">
    <w:abstractNumId w:val="33"/>
  </w:num>
  <w:num w:numId="17">
    <w:abstractNumId w:val="16"/>
  </w:num>
  <w:num w:numId="18">
    <w:abstractNumId w:val="21"/>
  </w:num>
  <w:num w:numId="19">
    <w:abstractNumId w:val="15"/>
  </w:num>
  <w:num w:numId="20">
    <w:abstractNumId w:val="20"/>
  </w:num>
  <w:num w:numId="21">
    <w:abstractNumId w:val="27"/>
  </w:num>
  <w:num w:numId="22">
    <w:abstractNumId w:val="28"/>
  </w:num>
  <w:num w:numId="23">
    <w:abstractNumId w:val="12"/>
  </w:num>
  <w:num w:numId="24">
    <w:abstractNumId w:val="30"/>
  </w:num>
  <w:num w:numId="25">
    <w:abstractNumId w:val="17"/>
  </w:num>
  <w:num w:numId="26">
    <w:abstractNumId w:val="9"/>
  </w:num>
  <w:num w:numId="27">
    <w:abstractNumId w:val="4"/>
  </w:num>
  <w:num w:numId="28">
    <w:abstractNumId w:val="3"/>
  </w:num>
  <w:num w:numId="29">
    <w:abstractNumId w:val="2"/>
  </w:num>
  <w:num w:numId="30">
    <w:abstractNumId w:val="1"/>
  </w:num>
  <w:num w:numId="31">
    <w:abstractNumId w:val="7"/>
  </w:num>
  <w:num w:numId="32">
    <w:abstractNumId w:val="6"/>
  </w:num>
  <w:num w:numId="33">
    <w:abstractNumId w:val="5"/>
  </w:num>
  <w:num w:numId="34">
    <w:abstractNumId w:val="8"/>
  </w:num>
  <w:num w:numId="35">
    <w:abstractNumId w:val="10"/>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80"/>
    <w:rsid w:val="000000A8"/>
    <w:rsid w:val="00000CAD"/>
    <w:rsid w:val="000019CE"/>
    <w:rsid w:val="0000245B"/>
    <w:rsid w:val="000026AD"/>
    <w:rsid w:val="000026D7"/>
    <w:rsid w:val="00002962"/>
    <w:rsid w:val="00002B04"/>
    <w:rsid w:val="0000425B"/>
    <w:rsid w:val="00004878"/>
    <w:rsid w:val="000048B6"/>
    <w:rsid w:val="00005CDB"/>
    <w:rsid w:val="00005F3B"/>
    <w:rsid w:val="000061E2"/>
    <w:rsid w:val="00006E28"/>
    <w:rsid w:val="000070AC"/>
    <w:rsid w:val="00007F3A"/>
    <w:rsid w:val="0001098F"/>
    <w:rsid w:val="00010A7B"/>
    <w:rsid w:val="00012094"/>
    <w:rsid w:val="000121B2"/>
    <w:rsid w:val="000130CC"/>
    <w:rsid w:val="0001418B"/>
    <w:rsid w:val="00014469"/>
    <w:rsid w:val="00014B14"/>
    <w:rsid w:val="00014BDF"/>
    <w:rsid w:val="000165C2"/>
    <w:rsid w:val="0001665E"/>
    <w:rsid w:val="00017A8C"/>
    <w:rsid w:val="00017B23"/>
    <w:rsid w:val="00020247"/>
    <w:rsid w:val="0002088D"/>
    <w:rsid w:val="0002124F"/>
    <w:rsid w:val="0002189F"/>
    <w:rsid w:val="000221A4"/>
    <w:rsid w:val="00022301"/>
    <w:rsid w:val="00023021"/>
    <w:rsid w:val="0002337B"/>
    <w:rsid w:val="000234D9"/>
    <w:rsid w:val="0002391F"/>
    <w:rsid w:val="00023CE3"/>
    <w:rsid w:val="000245E7"/>
    <w:rsid w:val="000250B5"/>
    <w:rsid w:val="00025655"/>
    <w:rsid w:val="00025BBC"/>
    <w:rsid w:val="00025D27"/>
    <w:rsid w:val="00025E0F"/>
    <w:rsid w:val="00026146"/>
    <w:rsid w:val="000265D7"/>
    <w:rsid w:val="00026908"/>
    <w:rsid w:val="000269A9"/>
    <w:rsid w:val="00026BA8"/>
    <w:rsid w:val="000276AF"/>
    <w:rsid w:val="000300C0"/>
    <w:rsid w:val="0003141F"/>
    <w:rsid w:val="00031B76"/>
    <w:rsid w:val="00031FAB"/>
    <w:rsid w:val="0003207E"/>
    <w:rsid w:val="0003248D"/>
    <w:rsid w:val="00033232"/>
    <w:rsid w:val="000335B6"/>
    <w:rsid w:val="0003392F"/>
    <w:rsid w:val="00033F1D"/>
    <w:rsid w:val="000346B2"/>
    <w:rsid w:val="00034B9F"/>
    <w:rsid w:val="00035983"/>
    <w:rsid w:val="00035C76"/>
    <w:rsid w:val="0003654E"/>
    <w:rsid w:val="0003726B"/>
    <w:rsid w:val="00040464"/>
    <w:rsid w:val="000408A5"/>
    <w:rsid w:val="00040972"/>
    <w:rsid w:val="00040D6B"/>
    <w:rsid w:val="0004114C"/>
    <w:rsid w:val="000413D2"/>
    <w:rsid w:val="00041922"/>
    <w:rsid w:val="000423C4"/>
    <w:rsid w:val="00043503"/>
    <w:rsid w:val="00043827"/>
    <w:rsid w:val="00043FA1"/>
    <w:rsid w:val="00044045"/>
    <w:rsid w:val="000442F5"/>
    <w:rsid w:val="00044859"/>
    <w:rsid w:val="00044D0F"/>
    <w:rsid w:val="000459B8"/>
    <w:rsid w:val="000463AF"/>
    <w:rsid w:val="000472EF"/>
    <w:rsid w:val="00047CC8"/>
    <w:rsid w:val="00047F98"/>
    <w:rsid w:val="00050675"/>
    <w:rsid w:val="00051515"/>
    <w:rsid w:val="00051652"/>
    <w:rsid w:val="00051EA0"/>
    <w:rsid w:val="00052A7B"/>
    <w:rsid w:val="00052B3D"/>
    <w:rsid w:val="0005395D"/>
    <w:rsid w:val="00053E1F"/>
    <w:rsid w:val="00054588"/>
    <w:rsid w:val="000546B7"/>
    <w:rsid w:val="000550DB"/>
    <w:rsid w:val="00055299"/>
    <w:rsid w:val="0005543A"/>
    <w:rsid w:val="00055643"/>
    <w:rsid w:val="000556A4"/>
    <w:rsid w:val="000563CF"/>
    <w:rsid w:val="00056A2C"/>
    <w:rsid w:val="0005705D"/>
    <w:rsid w:val="00057439"/>
    <w:rsid w:val="000577E1"/>
    <w:rsid w:val="00057986"/>
    <w:rsid w:val="00060382"/>
    <w:rsid w:val="000604E5"/>
    <w:rsid w:val="00060D9A"/>
    <w:rsid w:val="0006106A"/>
    <w:rsid w:val="00061878"/>
    <w:rsid w:val="00062211"/>
    <w:rsid w:val="00062B39"/>
    <w:rsid w:val="00062D14"/>
    <w:rsid w:val="00062D83"/>
    <w:rsid w:val="000631A7"/>
    <w:rsid w:val="0006378E"/>
    <w:rsid w:val="00063B2E"/>
    <w:rsid w:val="00064777"/>
    <w:rsid w:val="00064779"/>
    <w:rsid w:val="00065059"/>
    <w:rsid w:val="00065861"/>
    <w:rsid w:val="00066669"/>
    <w:rsid w:val="00066E4C"/>
    <w:rsid w:val="0006752E"/>
    <w:rsid w:val="000679CC"/>
    <w:rsid w:val="0007010C"/>
    <w:rsid w:val="00070178"/>
    <w:rsid w:val="00070564"/>
    <w:rsid w:val="0007089C"/>
    <w:rsid w:val="000708C7"/>
    <w:rsid w:val="00070E1D"/>
    <w:rsid w:val="000713E4"/>
    <w:rsid w:val="00071C1D"/>
    <w:rsid w:val="000721D3"/>
    <w:rsid w:val="0007243F"/>
    <w:rsid w:val="000724F6"/>
    <w:rsid w:val="00072A17"/>
    <w:rsid w:val="00072E92"/>
    <w:rsid w:val="00072EF9"/>
    <w:rsid w:val="000737A0"/>
    <w:rsid w:val="0007396F"/>
    <w:rsid w:val="0007404B"/>
    <w:rsid w:val="0007449A"/>
    <w:rsid w:val="00074776"/>
    <w:rsid w:val="00074B50"/>
    <w:rsid w:val="00074EF4"/>
    <w:rsid w:val="0007502A"/>
    <w:rsid w:val="000761C8"/>
    <w:rsid w:val="000764D3"/>
    <w:rsid w:val="00076710"/>
    <w:rsid w:val="0007676F"/>
    <w:rsid w:val="000769F2"/>
    <w:rsid w:val="00076F09"/>
    <w:rsid w:val="0007747D"/>
    <w:rsid w:val="000777E7"/>
    <w:rsid w:val="000812BE"/>
    <w:rsid w:val="0008153A"/>
    <w:rsid w:val="00081BE6"/>
    <w:rsid w:val="00081D91"/>
    <w:rsid w:val="00082BF5"/>
    <w:rsid w:val="00082E43"/>
    <w:rsid w:val="00083C9B"/>
    <w:rsid w:val="000840C6"/>
    <w:rsid w:val="00084446"/>
    <w:rsid w:val="000853D9"/>
    <w:rsid w:val="000856B6"/>
    <w:rsid w:val="00085EDD"/>
    <w:rsid w:val="00085F90"/>
    <w:rsid w:val="00086487"/>
    <w:rsid w:val="000865D9"/>
    <w:rsid w:val="00086A2F"/>
    <w:rsid w:val="00086BB4"/>
    <w:rsid w:val="00086BFE"/>
    <w:rsid w:val="0008761C"/>
    <w:rsid w:val="000877AA"/>
    <w:rsid w:val="0008799F"/>
    <w:rsid w:val="00087C5E"/>
    <w:rsid w:val="0009014F"/>
    <w:rsid w:val="00090934"/>
    <w:rsid w:val="00090EBE"/>
    <w:rsid w:val="0009122E"/>
    <w:rsid w:val="00091348"/>
    <w:rsid w:val="00091BBC"/>
    <w:rsid w:val="00091E81"/>
    <w:rsid w:val="00091FBA"/>
    <w:rsid w:val="00092060"/>
    <w:rsid w:val="00092BDA"/>
    <w:rsid w:val="0009337E"/>
    <w:rsid w:val="00093642"/>
    <w:rsid w:val="000936AA"/>
    <w:rsid w:val="00093D34"/>
    <w:rsid w:val="000941B1"/>
    <w:rsid w:val="0009445A"/>
    <w:rsid w:val="0009556A"/>
    <w:rsid w:val="00095DFC"/>
    <w:rsid w:val="00096316"/>
    <w:rsid w:val="00096F8C"/>
    <w:rsid w:val="000A11EB"/>
    <w:rsid w:val="000A16B9"/>
    <w:rsid w:val="000A2CA9"/>
    <w:rsid w:val="000A3201"/>
    <w:rsid w:val="000A3872"/>
    <w:rsid w:val="000A43ED"/>
    <w:rsid w:val="000A56CF"/>
    <w:rsid w:val="000A59E5"/>
    <w:rsid w:val="000A5AA9"/>
    <w:rsid w:val="000A5D40"/>
    <w:rsid w:val="000A5D90"/>
    <w:rsid w:val="000A7020"/>
    <w:rsid w:val="000A71BF"/>
    <w:rsid w:val="000A74BB"/>
    <w:rsid w:val="000B01AE"/>
    <w:rsid w:val="000B01ED"/>
    <w:rsid w:val="000B0A36"/>
    <w:rsid w:val="000B0E7D"/>
    <w:rsid w:val="000B1452"/>
    <w:rsid w:val="000B23A0"/>
    <w:rsid w:val="000B2400"/>
    <w:rsid w:val="000B26A2"/>
    <w:rsid w:val="000B2991"/>
    <w:rsid w:val="000B4468"/>
    <w:rsid w:val="000B4A0F"/>
    <w:rsid w:val="000B5392"/>
    <w:rsid w:val="000B58CE"/>
    <w:rsid w:val="000B61C1"/>
    <w:rsid w:val="000B6224"/>
    <w:rsid w:val="000B63DD"/>
    <w:rsid w:val="000B6921"/>
    <w:rsid w:val="000B6BD4"/>
    <w:rsid w:val="000B7E36"/>
    <w:rsid w:val="000C04BF"/>
    <w:rsid w:val="000C05F0"/>
    <w:rsid w:val="000C0918"/>
    <w:rsid w:val="000C097B"/>
    <w:rsid w:val="000C12B9"/>
    <w:rsid w:val="000C1839"/>
    <w:rsid w:val="000C2D0E"/>
    <w:rsid w:val="000C3FC8"/>
    <w:rsid w:val="000C4219"/>
    <w:rsid w:val="000C452F"/>
    <w:rsid w:val="000C498A"/>
    <w:rsid w:val="000C4D94"/>
    <w:rsid w:val="000C507C"/>
    <w:rsid w:val="000C5457"/>
    <w:rsid w:val="000C5AC6"/>
    <w:rsid w:val="000C6120"/>
    <w:rsid w:val="000C61AD"/>
    <w:rsid w:val="000C71B4"/>
    <w:rsid w:val="000C74EC"/>
    <w:rsid w:val="000C75B2"/>
    <w:rsid w:val="000C78C8"/>
    <w:rsid w:val="000D0CD6"/>
    <w:rsid w:val="000D0D24"/>
    <w:rsid w:val="000D0E9A"/>
    <w:rsid w:val="000D0F5A"/>
    <w:rsid w:val="000D0F9C"/>
    <w:rsid w:val="000D1157"/>
    <w:rsid w:val="000D16DD"/>
    <w:rsid w:val="000D31EA"/>
    <w:rsid w:val="000D37E1"/>
    <w:rsid w:val="000D45B6"/>
    <w:rsid w:val="000D5005"/>
    <w:rsid w:val="000D56C8"/>
    <w:rsid w:val="000D5BBC"/>
    <w:rsid w:val="000D65A0"/>
    <w:rsid w:val="000D7872"/>
    <w:rsid w:val="000E0CC4"/>
    <w:rsid w:val="000E0E78"/>
    <w:rsid w:val="000E0F4A"/>
    <w:rsid w:val="000E1A74"/>
    <w:rsid w:val="000E1B9B"/>
    <w:rsid w:val="000E1FDC"/>
    <w:rsid w:val="000E2089"/>
    <w:rsid w:val="000E277D"/>
    <w:rsid w:val="000E4008"/>
    <w:rsid w:val="000E4585"/>
    <w:rsid w:val="000E5168"/>
    <w:rsid w:val="000E5317"/>
    <w:rsid w:val="000E59BF"/>
    <w:rsid w:val="000E6332"/>
    <w:rsid w:val="000E6BC6"/>
    <w:rsid w:val="000E6E11"/>
    <w:rsid w:val="000F11BA"/>
    <w:rsid w:val="000F192A"/>
    <w:rsid w:val="000F23EC"/>
    <w:rsid w:val="000F280F"/>
    <w:rsid w:val="000F2F60"/>
    <w:rsid w:val="000F328B"/>
    <w:rsid w:val="000F340A"/>
    <w:rsid w:val="000F45F2"/>
    <w:rsid w:val="000F5716"/>
    <w:rsid w:val="000F5760"/>
    <w:rsid w:val="000F5D25"/>
    <w:rsid w:val="000F5F17"/>
    <w:rsid w:val="000F62CA"/>
    <w:rsid w:val="000F6526"/>
    <w:rsid w:val="000F6A04"/>
    <w:rsid w:val="000F6B0B"/>
    <w:rsid w:val="000F6C5E"/>
    <w:rsid w:val="000F6D97"/>
    <w:rsid w:val="000F7167"/>
    <w:rsid w:val="000F7187"/>
    <w:rsid w:val="000F74AD"/>
    <w:rsid w:val="000F7972"/>
    <w:rsid w:val="00100095"/>
    <w:rsid w:val="0010052B"/>
    <w:rsid w:val="00100550"/>
    <w:rsid w:val="0010075C"/>
    <w:rsid w:val="00100827"/>
    <w:rsid w:val="00100F58"/>
    <w:rsid w:val="00100FC6"/>
    <w:rsid w:val="001014AB"/>
    <w:rsid w:val="001022AC"/>
    <w:rsid w:val="001027F2"/>
    <w:rsid w:val="0010399F"/>
    <w:rsid w:val="00103E77"/>
    <w:rsid w:val="0010459A"/>
    <w:rsid w:val="00104E13"/>
    <w:rsid w:val="00105597"/>
    <w:rsid w:val="00105BA8"/>
    <w:rsid w:val="00106D1B"/>
    <w:rsid w:val="00106E3F"/>
    <w:rsid w:val="00107AD4"/>
    <w:rsid w:val="00107B80"/>
    <w:rsid w:val="00107F3B"/>
    <w:rsid w:val="001113E2"/>
    <w:rsid w:val="00111639"/>
    <w:rsid w:val="00111656"/>
    <w:rsid w:val="00111FE0"/>
    <w:rsid w:val="00112119"/>
    <w:rsid w:val="00113556"/>
    <w:rsid w:val="00113AAD"/>
    <w:rsid w:val="00114037"/>
    <w:rsid w:val="00115221"/>
    <w:rsid w:val="00115F55"/>
    <w:rsid w:val="0011751E"/>
    <w:rsid w:val="0011772D"/>
    <w:rsid w:val="00117888"/>
    <w:rsid w:val="00120A2E"/>
    <w:rsid w:val="001215A2"/>
    <w:rsid w:val="00121ACA"/>
    <w:rsid w:val="00122635"/>
    <w:rsid w:val="00123B33"/>
    <w:rsid w:val="00124135"/>
    <w:rsid w:val="00124185"/>
    <w:rsid w:val="00124267"/>
    <w:rsid w:val="00124BE1"/>
    <w:rsid w:val="00124DB1"/>
    <w:rsid w:val="00125041"/>
    <w:rsid w:val="00125371"/>
    <w:rsid w:val="00125448"/>
    <w:rsid w:val="00125638"/>
    <w:rsid w:val="00125695"/>
    <w:rsid w:val="001277F7"/>
    <w:rsid w:val="00127B67"/>
    <w:rsid w:val="001307AF"/>
    <w:rsid w:val="00130A44"/>
    <w:rsid w:val="00130E06"/>
    <w:rsid w:val="00131246"/>
    <w:rsid w:val="0013125D"/>
    <w:rsid w:val="00131C06"/>
    <w:rsid w:val="00131C41"/>
    <w:rsid w:val="00131E1B"/>
    <w:rsid w:val="00131FAD"/>
    <w:rsid w:val="00132DE2"/>
    <w:rsid w:val="00132F72"/>
    <w:rsid w:val="00133011"/>
    <w:rsid w:val="00133145"/>
    <w:rsid w:val="001333A3"/>
    <w:rsid w:val="001333DC"/>
    <w:rsid w:val="00133F45"/>
    <w:rsid w:val="00133F87"/>
    <w:rsid w:val="001340C3"/>
    <w:rsid w:val="0013514F"/>
    <w:rsid w:val="001358C2"/>
    <w:rsid w:val="00135A33"/>
    <w:rsid w:val="00135C67"/>
    <w:rsid w:val="0013683E"/>
    <w:rsid w:val="001402E3"/>
    <w:rsid w:val="00141667"/>
    <w:rsid w:val="001417B7"/>
    <w:rsid w:val="001419EA"/>
    <w:rsid w:val="00141F92"/>
    <w:rsid w:val="00142222"/>
    <w:rsid w:val="0014288C"/>
    <w:rsid w:val="00142D10"/>
    <w:rsid w:val="001438BE"/>
    <w:rsid w:val="00143B35"/>
    <w:rsid w:val="001441DA"/>
    <w:rsid w:val="001452EA"/>
    <w:rsid w:val="00145877"/>
    <w:rsid w:val="001460A4"/>
    <w:rsid w:val="0014765D"/>
    <w:rsid w:val="00151126"/>
    <w:rsid w:val="0015161A"/>
    <w:rsid w:val="0015258C"/>
    <w:rsid w:val="0015263E"/>
    <w:rsid w:val="001528A3"/>
    <w:rsid w:val="00153032"/>
    <w:rsid w:val="00153DB8"/>
    <w:rsid w:val="00154333"/>
    <w:rsid w:val="001544E6"/>
    <w:rsid w:val="00154AEF"/>
    <w:rsid w:val="001559E5"/>
    <w:rsid w:val="00155DCC"/>
    <w:rsid w:val="00155FA8"/>
    <w:rsid w:val="0015684E"/>
    <w:rsid w:val="001568F1"/>
    <w:rsid w:val="00156B14"/>
    <w:rsid w:val="00156F57"/>
    <w:rsid w:val="00156F7C"/>
    <w:rsid w:val="001571CA"/>
    <w:rsid w:val="001576AA"/>
    <w:rsid w:val="00157764"/>
    <w:rsid w:val="00157849"/>
    <w:rsid w:val="00157D49"/>
    <w:rsid w:val="00160091"/>
    <w:rsid w:val="00160502"/>
    <w:rsid w:val="001605F4"/>
    <w:rsid w:val="001617B7"/>
    <w:rsid w:val="001623CB"/>
    <w:rsid w:val="00163834"/>
    <w:rsid w:val="00163A60"/>
    <w:rsid w:val="00164972"/>
    <w:rsid w:val="00165C72"/>
    <w:rsid w:val="00165DF3"/>
    <w:rsid w:val="00166265"/>
    <w:rsid w:val="0016660E"/>
    <w:rsid w:val="00166F15"/>
    <w:rsid w:val="00167189"/>
    <w:rsid w:val="001675E8"/>
    <w:rsid w:val="001704E0"/>
    <w:rsid w:val="00170F30"/>
    <w:rsid w:val="00171394"/>
    <w:rsid w:val="0017170B"/>
    <w:rsid w:val="00171A41"/>
    <w:rsid w:val="0017219E"/>
    <w:rsid w:val="00172617"/>
    <w:rsid w:val="00172901"/>
    <w:rsid w:val="00172BBD"/>
    <w:rsid w:val="00172DF3"/>
    <w:rsid w:val="001734A4"/>
    <w:rsid w:val="00173D8D"/>
    <w:rsid w:val="00173F14"/>
    <w:rsid w:val="001742BF"/>
    <w:rsid w:val="001749A3"/>
    <w:rsid w:val="00174F57"/>
    <w:rsid w:val="001752A6"/>
    <w:rsid w:val="00175765"/>
    <w:rsid w:val="0017649B"/>
    <w:rsid w:val="00176744"/>
    <w:rsid w:val="00176C84"/>
    <w:rsid w:val="00177AF8"/>
    <w:rsid w:val="001817D8"/>
    <w:rsid w:val="0018333D"/>
    <w:rsid w:val="001844CF"/>
    <w:rsid w:val="0018520A"/>
    <w:rsid w:val="0018668D"/>
    <w:rsid w:val="0018730F"/>
    <w:rsid w:val="0018795A"/>
    <w:rsid w:val="001903F4"/>
    <w:rsid w:val="00190B54"/>
    <w:rsid w:val="0019114D"/>
    <w:rsid w:val="001919B0"/>
    <w:rsid w:val="00192873"/>
    <w:rsid w:val="00192E3B"/>
    <w:rsid w:val="00193593"/>
    <w:rsid w:val="00193F7B"/>
    <w:rsid w:val="00195715"/>
    <w:rsid w:val="00196A73"/>
    <w:rsid w:val="00196D65"/>
    <w:rsid w:val="001979CB"/>
    <w:rsid w:val="001A0284"/>
    <w:rsid w:val="001A0A1F"/>
    <w:rsid w:val="001A0CB6"/>
    <w:rsid w:val="001A115E"/>
    <w:rsid w:val="001A11B1"/>
    <w:rsid w:val="001A1965"/>
    <w:rsid w:val="001A2841"/>
    <w:rsid w:val="001A2F30"/>
    <w:rsid w:val="001A3236"/>
    <w:rsid w:val="001A3991"/>
    <w:rsid w:val="001A3FF2"/>
    <w:rsid w:val="001A4519"/>
    <w:rsid w:val="001A46BC"/>
    <w:rsid w:val="001A496E"/>
    <w:rsid w:val="001A5193"/>
    <w:rsid w:val="001A51E8"/>
    <w:rsid w:val="001A5209"/>
    <w:rsid w:val="001A5277"/>
    <w:rsid w:val="001A6963"/>
    <w:rsid w:val="001A6B9F"/>
    <w:rsid w:val="001A6D4F"/>
    <w:rsid w:val="001A6DB2"/>
    <w:rsid w:val="001A71CF"/>
    <w:rsid w:val="001A72D9"/>
    <w:rsid w:val="001B0307"/>
    <w:rsid w:val="001B0950"/>
    <w:rsid w:val="001B0ACD"/>
    <w:rsid w:val="001B0F8F"/>
    <w:rsid w:val="001B0FC6"/>
    <w:rsid w:val="001B1A93"/>
    <w:rsid w:val="001B2642"/>
    <w:rsid w:val="001B2A12"/>
    <w:rsid w:val="001B31D0"/>
    <w:rsid w:val="001B32F0"/>
    <w:rsid w:val="001B338C"/>
    <w:rsid w:val="001B366F"/>
    <w:rsid w:val="001B3E1E"/>
    <w:rsid w:val="001B4049"/>
    <w:rsid w:val="001B47C8"/>
    <w:rsid w:val="001B4A38"/>
    <w:rsid w:val="001B60E4"/>
    <w:rsid w:val="001B6358"/>
    <w:rsid w:val="001B6901"/>
    <w:rsid w:val="001B71E7"/>
    <w:rsid w:val="001B765E"/>
    <w:rsid w:val="001B7E08"/>
    <w:rsid w:val="001C0166"/>
    <w:rsid w:val="001C04AC"/>
    <w:rsid w:val="001C06BC"/>
    <w:rsid w:val="001C0BB7"/>
    <w:rsid w:val="001C1034"/>
    <w:rsid w:val="001C1267"/>
    <w:rsid w:val="001C1705"/>
    <w:rsid w:val="001C3900"/>
    <w:rsid w:val="001C3D48"/>
    <w:rsid w:val="001C3E75"/>
    <w:rsid w:val="001C41CB"/>
    <w:rsid w:val="001C4A51"/>
    <w:rsid w:val="001C5199"/>
    <w:rsid w:val="001C5217"/>
    <w:rsid w:val="001C557C"/>
    <w:rsid w:val="001C5DAE"/>
    <w:rsid w:val="001C6136"/>
    <w:rsid w:val="001C6541"/>
    <w:rsid w:val="001C6B3B"/>
    <w:rsid w:val="001C6EAF"/>
    <w:rsid w:val="001C768C"/>
    <w:rsid w:val="001C78B1"/>
    <w:rsid w:val="001C7B4F"/>
    <w:rsid w:val="001C7BA9"/>
    <w:rsid w:val="001D03CA"/>
    <w:rsid w:val="001D0F8F"/>
    <w:rsid w:val="001D100E"/>
    <w:rsid w:val="001D24DF"/>
    <w:rsid w:val="001D2DC3"/>
    <w:rsid w:val="001D331F"/>
    <w:rsid w:val="001D39C2"/>
    <w:rsid w:val="001D3EFC"/>
    <w:rsid w:val="001D5110"/>
    <w:rsid w:val="001D5EBA"/>
    <w:rsid w:val="001D66CE"/>
    <w:rsid w:val="001D66D5"/>
    <w:rsid w:val="001D695E"/>
    <w:rsid w:val="001D7800"/>
    <w:rsid w:val="001E0419"/>
    <w:rsid w:val="001E0650"/>
    <w:rsid w:val="001E1D41"/>
    <w:rsid w:val="001E1E13"/>
    <w:rsid w:val="001E20DA"/>
    <w:rsid w:val="001E2B7E"/>
    <w:rsid w:val="001E3259"/>
    <w:rsid w:val="001E346C"/>
    <w:rsid w:val="001E358A"/>
    <w:rsid w:val="001E386E"/>
    <w:rsid w:val="001E41E2"/>
    <w:rsid w:val="001E528A"/>
    <w:rsid w:val="001E5785"/>
    <w:rsid w:val="001E5D6E"/>
    <w:rsid w:val="001E644C"/>
    <w:rsid w:val="001E6C80"/>
    <w:rsid w:val="001E7261"/>
    <w:rsid w:val="001E73F9"/>
    <w:rsid w:val="001E7B39"/>
    <w:rsid w:val="001F0113"/>
    <w:rsid w:val="001F05B1"/>
    <w:rsid w:val="001F1B6E"/>
    <w:rsid w:val="001F1C23"/>
    <w:rsid w:val="001F31C2"/>
    <w:rsid w:val="001F3D63"/>
    <w:rsid w:val="001F3DBF"/>
    <w:rsid w:val="001F42DC"/>
    <w:rsid w:val="001F4662"/>
    <w:rsid w:val="001F4AA5"/>
    <w:rsid w:val="001F4BEC"/>
    <w:rsid w:val="001F4F78"/>
    <w:rsid w:val="001F5106"/>
    <w:rsid w:val="001F557E"/>
    <w:rsid w:val="001F57DF"/>
    <w:rsid w:val="001F5915"/>
    <w:rsid w:val="001F5981"/>
    <w:rsid w:val="001F5BD1"/>
    <w:rsid w:val="001F5F04"/>
    <w:rsid w:val="001F618F"/>
    <w:rsid w:val="001F6703"/>
    <w:rsid w:val="001F6B86"/>
    <w:rsid w:val="001F6F3D"/>
    <w:rsid w:val="001F7140"/>
    <w:rsid w:val="001F74A9"/>
    <w:rsid w:val="002006B1"/>
    <w:rsid w:val="0020169E"/>
    <w:rsid w:val="00201983"/>
    <w:rsid w:val="00201FC1"/>
    <w:rsid w:val="00202580"/>
    <w:rsid w:val="00202698"/>
    <w:rsid w:val="00202C5F"/>
    <w:rsid w:val="00202EB7"/>
    <w:rsid w:val="002032BC"/>
    <w:rsid w:val="00204FAC"/>
    <w:rsid w:val="00205100"/>
    <w:rsid w:val="002054DA"/>
    <w:rsid w:val="00205AA2"/>
    <w:rsid w:val="00206639"/>
    <w:rsid w:val="00206ED9"/>
    <w:rsid w:val="00207A9F"/>
    <w:rsid w:val="0021054A"/>
    <w:rsid w:val="00210636"/>
    <w:rsid w:val="00211279"/>
    <w:rsid w:val="002113E0"/>
    <w:rsid w:val="00211CC6"/>
    <w:rsid w:val="0021234F"/>
    <w:rsid w:val="00212EE1"/>
    <w:rsid w:val="0021326A"/>
    <w:rsid w:val="0021382A"/>
    <w:rsid w:val="00213CE4"/>
    <w:rsid w:val="00214981"/>
    <w:rsid w:val="00214B38"/>
    <w:rsid w:val="00214C99"/>
    <w:rsid w:val="00214F28"/>
    <w:rsid w:val="002150DD"/>
    <w:rsid w:val="0021531A"/>
    <w:rsid w:val="0021552B"/>
    <w:rsid w:val="00215D41"/>
    <w:rsid w:val="00215DE9"/>
    <w:rsid w:val="002179F6"/>
    <w:rsid w:val="00217B2D"/>
    <w:rsid w:val="00220380"/>
    <w:rsid w:val="0022051B"/>
    <w:rsid w:val="00220A8D"/>
    <w:rsid w:val="00220DBD"/>
    <w:rsid w:val="002217C7"/>
    <w:rsid w:val="002218AB"/>
    <w:rsid w:val="00221A61"/>
    <w:rsid w:val="00221E50"/>
    <w:rsid w:val="002229EA"/>
    <w:rsid w:val="00222B74"/>
    <w:rsid w:val="00224B2B"/>
    <w:rsid w:val="0022571F"/>
    <w:rsid w:val="00225DD6"/>
    <w:rsid w:val="002267DA"/>
    <w:rsid w:val="00226AE3"/>
    <w:rsid w:val="00226BE8"/>
    <w:rsid w:val="00226ED1"/>
    <w:rsid w:val="00227478"/>
    <w:rsid w:val="002277EB"/>
    <w:rsid w:val="00230172"/>
    <w:rsid w:val="0023084D"/>
    <w:rsid w:val="00230972"/>
    <w:rsid w:val="00230D1D"/>
    <w:rsid w:val="0023184E"/>
    <w:rsid w:val="00231C17"/>
    <w:rsid w:val="00232B2F"/>
    <w:rsid w:val="00232C67"/>
    <w:rsid w:val="00232F77"/>
    <w:rsid w:val="00233907"/>
    <w:rsid w:val="00233A5E"/>
    <w:rsid w:val="00233AAF"/>
    <w:rsid w:val="00233F41"/>
    <w:rsid w:val="002342A6"/>
    <w:rsid w:val="002361CD"/>
    <w:rsid w:val="00236AFC"/>
    <w:rsid w:val="00237811"/>
    <w:rsid w:val="00237A46"/>
    <w:rsid w:val="00237A8B"/>
    <w:rsid w:val="00240052"/>
    <w:rsid w:val="0024042F"/>
    <w:rsid w:val="00240471"/>
    <w:rsid w:val="0024090A"/>
    <w:rsid w:val="002410D6"/>
    <w:rsid w:val="002410DE"/>
    <w:rsid w:val="0024188E"/>
    <w:rsid w:val="002418B1"/>
    <w:rsid w:val="00241B99"/>
    <w:rsid w:val="00241CC5"/>
    <w:rsid w:val="00241D45"/>
    <w:rsid w:val="00242791"/>
    <w:rsid w:val="00242800"/>
    <w:rsid w:val="00243727"/>
    <w:rsid w:val="0024488E"/>
    <w:rsid w:val="00244F6A"/>
    <w:rsid w:val="00245B52"/>
    <w:rsid w:val="00245F75"/>
    <w:rsid w:val="002465A9"/>
    <w:rsid w:val="00246A02"/>
    <w:rsid w:val="00246CCB"/>
    <w:rsid w:val="00247EC1"/>
    <w:rsid w:val="0025023D"/>
    <w:rsid w:val="002508E2"/>
    <w:rsid w:val="00250AFF"/>
    <w:rsid w:val="00251199"/>
    <w:rsid w:val="0025159D"/>
    <w:rsid w:val="0025210D"/>
    <w:rsid w:val="0025213E"/>
    <w:rsid w:val="00252620"/>
    <w:rsid w:val="002538AE"/>
    <w:rsid w:val="00253919"/>
    <w:rsid w:val="00254892"/>
    <w:rsid w:val="00255553"/>
    <w:rsid w:val="002558E7"/>
    <w:rsid w:val="00255967"/>
    <w:rsid w:val="00256018"/>
    <w:rsid w:val="00256AB2"/>
    <w:rsid w:val="002571DA"/>
    <w:rsid w:val="002571DB"/>
    <w:rsid w:val="00257463"/>
    <w:rsid w:val="00257839"/>
    <w:rsid w:val="00257901"/>
    <w:rsid w:val="0026088D"/>
    <w:rsid w:val="002614DE"/>
    <w:rsid w:val="00261D72"/>
    <w:rsid w:val="00261D86"/>
    <w:rsid w:val="0026216E"/>
    <w:rsid w:val="00262767"/>
    <w:rsid w:val="002627E3"/>
    <w:rsid w:val="00262907"/>
    <w:rsid w:val="00262B6A"/>
    <w:rsid w:val="00263258"/>
    <w:rsid w:val="002632B2"/>
    <w:rsid w:val="002634D3"/>
    <w:rsid w:val="00263A61"/>
    <w:rsid w:val="00263B82"/>
    <w:rsid w:val="00263F62"/>
    <w:rsid w:val="0026530D"/>
    <w:rsid w:val="00265464"/>
    <w:rsid w:val="002657CE"/>
    <w:rsid w:val="00265B6F"/>
    <w:rsid w:val="00265E38"/>
    <w:rsid w:val="00266A00"/>
    <w:rsid w:val="00266B6D"/>
    <w:rsid w:val="002670EC"/>
    <w:rsid w:val="0026744E"/>
    <w:rsid w:val="00267B4F"/>
    <w:rsid w:val="002703EF"/>
    <w:rsid w:val="0027051C"/>
    <w:rsid w:val="002706C3"/>
    <w:rsid w:val="00271636"/>
    <w:rsid w:val="002736C0"/>
    <w:rsid w:val="00274A65"/>
    <w:rsid w:val="0027518B"/>
    <w:rsid w:val="00275A82"/>
    <w:rsid w:val="0027635A"/>
    <w:rsid w:val="0027650B"/>
    <w:rsid w:val="002766E4"/>
    <w:rsid w:val="0027683D"/>
    <w:rsid w:val="00276976"/>
    <w:rsid w:val="00276B59"/>
    <w:rsid w:val="00276DC1"/>
    <w:rsid w:val="00276DF9"/>
    <w:rsid w:val="00276EC0"/>
    <w:rsid w:val="0027741D"/>
    <w:rsid w:val="00277482"/>
    <w:rsid w:val="00277D61"/>
    <w:rsid w:val="0028028A"/>
    <w:rsid w:val="00280443"/>
    <w:rsid w:val="00280940"/>
    <w:rsid w:val="00281CC4"/>
    <w:rsid w:val="002822E4"/>
    <w:rsid w:val="0028255B"/>
    <w:rsid w:val="00282ABD"/>
    <w:rsid w:val="00282E24"/>
    <w:rsid w:val="00283748"/>
    <w:rsid w:val="00283AEE"/>
    <w:rsid w:val="00283E5A"/>
    <w:rsid w:val="00283E61"/>
    <w:rsid w:val="00285021"/>
    <w:rsid w:val="00286400"/>
    <w:rsid w:val="00286E42"/>
    <w:rsid w:val="00286FC4"/>
    <w:rsid w:val="002873B8"/>
    <w:rsid w:val="002877CF"/>
    <w:rsid w:val="00287A93"/>
    <w:rsid w:val="0029036B"/>
    <w:rsid w:val="00290F9E"/>
    <w:rsid w:val="002911D1"/>
    <w:rsid w:val="00291A7D"/>
    <w:rsid w:val="00291B3B"/>
    <w:rsid w:val="00291E5D"/>
    <w:rsid w:val="002921A1"/>
    <w:rsid w:val="00292D41"/>
    <w:rsid w:val="00292FAA"/>
    <w:rsid w:val="00293AB6"/>
    <w:rsid w:val="00294914"/>
    <w:rsid w:val="00294EB7"/>
    <w:rsid w:val="00294FB8"/>
    <w:rsid w:val="00295D4B"/>
    <w:rsid w:val="00295E9F"/>
    <w:rsid w:val="002963D2"/>
    <w:rsid w:val="002972B3"/>
    <w:rsid w:val="002973D2"/>
    <w:rsid w:val="002A0439"/>
    <w:rsid w:val="002A0981"/>
    <w:rsid w:val="002A1AD8"/>
    <w:rsid w:val="002A1DFE"/>
    <w:rsid w:val="002A3225"/>
    <w:rsid w:val="002A4521"/>
    <w:rsid w:val="002A487B"/>
    <w:rsid w:val="002A52F5"/>
    <w:rsid w:val="002A72C3"/>
    <w:rsid w:val="002A7476"/>
    <w:rsid w:val="002A7DF7"/>
    <w:rsid w:val="002B0549"/>
    <w:rsid w:val="002B0C72"/>
    <w:rsid w:val="002B1BB7"/>
    <w:rsid w:val="002B1E50"/>
    <w:rsid w:val="002B2366"/>
    <w:rsid w:val="002B2A09"/>
    <w:rsid w:val="002B389C"/>
    <w:rsid w:val="002B4116"/>
    <w:rsid w:val="002B51B1"/>
    <w:rsid w:val="002B6994"/>
    <w:rsid w:val="002B7512"/>
    <w:rsid w:val="002B7AB2"/>
    <w:rsid w:val="002C0268"/>
    <w:rsid w:val="002C0CD6"/>
    <w:rsid w:val="002C2044"/>
    <w:rsid w:val="002C268A"/>
    <w:rsid w:val="002C2711"/>
    <w:rsid w:val="002C3A66"/>
    <w:rsid w:val="002C43BE"/>
    <w:rsid w:val="002C4B6A"/>
    <w:rsid w:val="002C4BE7"/>
    <w:rsid w:val="002C55F1"/>
    <w:rsid w:val="002C5FF1"/>
    <w:rsid w:val="002C62C9"/>
    <w:rsid w:val="002C6668"/>
    <w:rsid w:val="002C70D3"/>
    <w:rsid w:val="002C7E92"/>
    <w:rsid w:val="002C7EE1"/>
    <w:rsid w:val="002D02E9"/>
    <w:rsid w:val="002D04D9"/>
    <w:rsid w:val="002D0A7A"/>
    <w:rsid w:val="002D0BC9"/>
    <w:rsid w:val="002D0ED6"/>
    <w:rsid w:val="002D0FB2"/>
    <w:rsid w:val="002D10AB"/>
    <w:rsid w:val="002D12A2"/>
    <w:rsid w:val="002D209F"/>
    <w:rsid w:val="002D243D"/>
    <w:rsid w:val="002D2754"/>
    <w:rsid w:val="002D346F"/>
    <w:rsid w:val="002D4AC4"/>
    <w:rsid w:val="002D4E57"/>
    <w:rsid w:val="002D4F18"/>
    <w:rsid w:val="002D4FFF"/>
    <w:rsid w:val="002D510D"/>
    <w:rsid w:val="002D56CD"/>
    <w:rsid w:val="002D5A43"/>
    <w:rsid w:val="002D67D9"/>
    <w:rsid w:val="002D689F"/>
    <w:rsid w:val="002D6E5F"/>
    <w:rsid w:val="002D73D4"/>
    <w:rsid w:val="002D7584"/>
    <w:rsid w:val="002E0D33"/>
    <w:rsid w:val="002E1791"/>
    <w:rsid w:val="002E325B"/>
    <w:rsid w:val="002E3878"/>
    <w:rsid w:val="002E3EB8"/>
    <w:rsid w:val="002E3F63"/>
    <w:rsid w:val="002E3F9B"/>
    <w:rsid w:val="002E487C"/>
    <w:rsid w:val="002E48EA"/>
    <w:rsid w:val="002E4B1F"/>
    <w:rsid w:val="002E4BC5"/>
    <w:rsid w:val="002E4D6A"/>
    <w:rsid w:val="002E4E03"/>
    <w:rsid w:val="002E6C96"/>
    <w:rsid w:val="002E7A77"/>
    <w:rsid w:val="002F1269"/>
    <w:rsid w:val="002F15DE"/>
    <w:rsid w:val="002F1B38"/>
    <w:rsid w:val="002F1C2B"/>
    <w:rsid w:val="002F1D32"/>
    <w:rsid w:val="002F2055"/>
    <w:rsid w:val="002F2136"/>
    <w:rsid w:val="002F392E"/>
    <w:rsid w:val="002F40E3"/>
    <w:rsid w:val="002F40FF"/>
    <w:rsid w:val="002F4621"/>
    <w:rsid w:val="002F47DF"/>
    <w:rsid w:val="002F51D6"/>
    <w:rsid w:val="002F57F1"/>
    <w:rsid w:val="002F7EFC"/>
    <w:rsid w:val="002F7F23"/>
    <w:rsid w:val="0030039C"/>
    <w:rsid w:val="0030050A"/>
    <w:rsid w:val="00300C7C"/>
    <w:rsid w:val="00300E7A"/>
    <w:rsid w:val="0030111A"/>
    <w:rsid w:val="00301660"/>
    <w:rsid w:val="003046F9"/>
    <w:rsid w:val="0030485E"/>
    <w:rsid w:val="00304B6F"/>
    <w:rsid w:val="00304CA4"/>
    <w:rsid w:val="00304DA2"/>
    <w:rsid w:val="00305F2F"/>
    <w:rsid w:val="00306658"/>
    <w:rsid w:val="00306825"/>
    <w:rsid w:val="00306A9B"/>
    <w:rsid w:val="00306F85"/>
    <w:rsid w:val="003071CD"/>
    <w:rsid w:val="0030759C"/>
    <w:rsid w:val="00310394"/>
    <w:rsid w:val="0031176A"/>
    <w:rsid w:val="00311E97"/>
    <w:rsid w:val="003121FC"/>
    <w:rsid w:val="003122DC"/>
    <w:rsid w:val="00314076"/>
    <w:rsid w:val="003152F6"/>
    <w:rsid w:val="0031542F"/>
    <w:rsid w:val="0031543B"/>
    <w:rsid w:val="0031569D"/>
    <w:rsid w:val="003159F2"/>
    <w:rsid w:val="0031638A"/>
    <w:rsid w:val="00316723"/>
    <w:rsid w:val="00316A41"/>
    <w:rsid w:val="00316B19"/>
    <w:rsid w:val="00317B90"/>
    <w:rsid w:val="00320E1C"/>
    <w:rsid w:val="00321CD1"/>
    <w:rsid w:val="003229D6"/>
    <w:rsid w:val="00322A08"/>
    <w:rsid w:val="00322E9C"/>
    <w:rsid w:val="00323214"/>
    <w:rsid w:val="00323346"/>
    <w:rsid w:val="003237A8"/>
    <w:rsid w:val="00323A7B"/>
    <w:rsid w:val="003243A0"/>
    <w:rsid w:val="00324BCE"/>
    <w:rsid w:val="00324D1F"/>
    <w:rsid w:val="00324DC4"/>
    <w:rsid w:val="0032650A"/>
    <w:rsid w:val="003273F8"/>
    <w:rsid w:val="00327BDD"/>
    <w:rsid w:val="00330C0F"/>
    <w:rsid w:val="00331930"/>
    <w:rsid w:val="00334B89"/>
    <w:rsid w:val="00334E57"/>
    <w:rsid w:val="00335009"/>
    <w:rsid w:val="00335277"/>
    <w:rsid w:val="00336848"/>
    <w:rsid w:val="003370EC"/>
    <w:rsid w:val="0033753F"/>
    <w:rsid w:val="00337860"/>
    <w:rsid w:val="00340A6B"/>
    <w:rsid w:val="00340F76"/>
    <w:rsid w:val="0034255F"/>
    <w:rsid w:val="003429CF"/>
    <w:rsid w:val="003435AF"/>
    <w:rsid w:val="003438B1"/>
    <w:rsid w:val="00343A38"/>
    <w:rsid w:val="00343A48"/>
    <w:rsid w:val="00343D94"/>
    <w:rsid w:val="0034422A"/>
    <w:rsid w:val="0034481F"/>
    <w:rsid w:val="0034508E"/>
    <w:rsid w:val="003450D6"/>
    <w:rsid w:val="003453EF"/>
    <w:rsid w:val="003457E5"/>
    <w:rsid w:val="00345EF0"/>
    <w:rsid w:val="00346D3F"/>
    <w:rsid w:val="00347CA5"/>
    <w:rsid w:val="003501C8"/>
    <w:rsid w:val="003503B8"/>
    <w:rsid w:val="00351143"/>
    <w:rsid w:val="00351797"/>
    <w:rsid w:val="00351D5C"/>
    <w:rsid w:val="00352AAB"/>
    <w:rsid w:val="00352F48"/>
    <w:rsid w:val="00353087"/>
    <w:rsid w:val="0035333C"/>
    <w:rsid w:val="00353487"/>
    <w:rsid w:val="0035361D"/>
    <w:rsid w:val="003536EA"/>
    <w:rsid w:val="0035393B"/>
    <w:rsid w:val="00353B10"/>
    <w:rsid w:val="00354099"/>
    <w:rsid w:val="003542AA"/>
    <w:rsid w:val="00354CA3"/>
    <w:rsid w:val="00355342"/>
    <w:rsid w:val="00355C10"/>
    <w:rsid w:val="00355D99"/>
    <w:rsid w:val="0035604F"/>
    <w:rsid w:val="00356CA7"/>
    <w:rsid w:val="00356F3C"/>
    <w:rsid w:val="003571C4"/>
    <w:rsid w:val="0036001C"/>
    <w:rsid w:val="003607E4"/>
    <w:rsid w:val="00360920"/>
    <w:rsid w:val="00360BB4"/>
    <w:rsid w:val="0036210B"/>
    <w:rsid w:val="0036239D"/>
    <w:rsid w:val="00362CC9"/>
    <w:rsid w:val="00363A72"/>
    <w:rsid w:val="00363DA2"/>
    <w:rsid w:val="00363EA7"/>
    <w:rsid w:val="00364205"/>
    <w:rsid w:val="0036446A"/>
    <w:rsid w:val="00365241"/>
    <w:rsid w:val="003653EC"/>
    <w:rsid w:val="00366273"/>
    <w:rsid w:val="003662E8"/>
    <w:rsid w:val="00367A1F"/>
    <w:rsid w:val="00370022"/>
    <w:rsid w:val="00370040"/>
    <w:rsid w:val="00370639"/>
    <w:rsid w:val="003706C6"/>
    <w:rsid w:val="00370F2C"/>
    <w:rsid w:val="00371353"/>
    <w:rsid w:val="003719C4"/>
    <w:rsid w:val="00371B9E"/>
    <w:rsid w:val="00371E85"/>
    <w:rsid w:val="0037220A"/>
    <w:rsid w:val="00373807"/>
    <w:rsid w:val="00374036"/>
    <w:rsid w:val="0037416D"/>
    <w:rsid w:val="00374588"/>
    <w:rsid w:val="00374F52"/>
    <w:rsid w:val="00375457"/>
    <w:rsid w:val="00375D56"/>
    <w:rsid w:val="003762C4"/>
    <w:rsid w:val="00376799"/>
    <w:rsid w:val="00376A8E"/>
    <w:rsid w:val="00377ACE"/>
    <w:rsid w:val="00380463"/>
    <w:rsid w:val="00380665"/>
    <w:rsid w:val="003812B6"/>
    <w:rsid w:val="0038138B"/>
    <w:rsid w:val="00381CF4"/>
    <w:rsid w:val="00382316"/>
    <w:rsid w:val="00382426"/>
    <w:rsid w:val="00382556"/>
    <w:rsid w:val="0038329C"/>
    <w:rsid w:val="003837B2"/>
    <w:rsid w:val="003842AD"/>
    <w:rsid w:val="00384C47"/>
    <w:rsid w:val="003851AD"/>
    <w:rsid w:val="00385D73"/>
    <w:rsid w:val="00386088"/>
    <w:rsid w:val="003863EA"/>
    <w:rsid w:val="00387387"/>
    <w:rsid w:val="003878D8"/>
    <w:rsid w:val="003907D1"/>
    <w:rsid w:val="00391014"/>
    <w:rsid w:val="00391573"/>
    <w:rsid w:val="003917D5"/>
    <w:rsid w:val="00392504"/>
    <w:rsid w:val="00392908"/>
    <w:rsid w:val="003929AB"/>
    <w:rsid w:val="00392C2C"/>
    <w:rsid w:val="00392C3F"/>
    <w:rsid w:val="00392DF2"/>
    <w:rsid w:val="003930B3"/>
    <w:rsid w:val="003953BA"/>
    <w:rsid w:val="00396272"/>
    <w:rsid w:val="00396A2A"/>
    <w:rsid w:val="00396FF3"/>
    <w:rsid w:val="0039705D"/>
    <w:rsid w:val="003975EC"/>
    <w:rsid w:val="003A033E"/>
    <w:rsid w:val="003A05C5"/>
    <w:rsid w:val="003A15D1"/>
    <w:rsid w:val="003A1839"/>
    <w:rsid w:val="003A1AEB"/>
    <w:rsid w:val="003A1F68"/>
    <w:rsid w:val="003A2088"/>
    <w:rsid w:val="003A228D"/>
    <w:rsid w:val="003A2640"/>
    <w:rsid w:val="003A2D6E"/>
    <w:rsid w:val="003A2E4B"/>
    <w:rsid w:val="003A2F0E"/>
    <w:rsid w:val="003A31C2"/>
    <w:rsid w:val="003A31DC"/>
    <w:rsid w:val="003A36F1"/>
    <w:rsid w:val="003A4033"/>
    <w:rsid w:val="003A5429"/>
    <w:rsid w:val="003A5A36"/>
    <w:rsid w:val="003A71E9"/>
    <w:rsid w:val="003B1033"/>
    <w:rsid w:val="003B1620"/>
    <w:rsid w:val="003B1A82"/>
    <w:rsid w:val="003B23D0"/>
    <w:rsid w:val="003B295C"/>
    <w:rsid w:val="003B2C72"/>
    <w:rsid w:val="003B2D47"/>
    <w:rsid w:val="003B2E87"/>
    <w:rsid w:val="003B398C"/>
    <w:rsid w:val="003B41D2"/>
    <w:rsid w:val="003B54F9"/>
    <w:rsid w:val="003B5D80"/>
    <w:rsid w:val="003B5ECE"/>
    <w:rsid w:val="003B625C"/>
    <w:rsid w:val="003B715E"/>
    <w:rsid w:val="003B7632"/>
    <w:rsid w:val="003B76DC"/>
    <w:rsid w:val="003B77E9"/>
    <w:rsid w:val="003B7E3E"/>
    <w:rsid w:val="003C0BD0"/>
    <w:rsid w:val="003C1194"/>
    <w:rsid w:val="003C1B8D"/>
    <w:rsid w:val="003C1F7F"/>
    <w:rsid w:val="003C2766"/>
    <w:rsid w:val="003C2B37"/>
    <w:rsid w:val="003C2B6F"/>
    <w:rsid w:val="003C40D0"/>
    <w:rsid w:val="003C40DF"/>
    <w:rsid w:val="003C49DA"/>
    <w:rsid w:val="003C4C87"/>
    <w:rsid w:val="003C562F"/>
    <w:rsid w:val="003C5915"/>
    <w:rsid w:val="003C5E9F"/>
    <w:rsid w:val="003C5F3B"/>
    <w:rsid w:val="003C6064"/>
    <w:rsid w:val="003C668A"/>
    <w:rsid w:val="003C6946"/>
    <w:rsid w:val="003C6C0B"/>
    <w:rsid w:val="003C6DC0"/>
    <w:rsid w:val="003C73C9"/>
    <w:rsid w:val="003D0206"/>
    <w:rsid w:val="003D142C"/>
    <w:rsid w:val="003D1436"/>
    <w:rsid w:val="003D1808"/>
    <w:rsid w:val="003D21F8"/>
    <w:rsid w:val="003D2A0A"/>
    <w:rsid w:val="003D2AC7"/>
    <w:rsid w:val="003D2F10"/>
    <w:rsid w:val="003D3762"/>
    <w:rsid w:val="003D37D0"/>
    <w:rsid w:val="003D386E"/>
    <w:rsid w:val="003D3C21"/>
    <w:rsid w:val="003D40C1"/>
    <w:rsid w:val="003D4788"/>
    <w:rsid w:val="003D4C21"/>
    <w:rsid w:val="003D5111"/>
    <w:rsid w:val="003D598A"/>
    <w:rsid w:val="003D5D9B"/>
    <w:rsid w:val="003D5F5F"/>
    <w:rsid w:val="003D6779"/>
    <w:rsid w:val="003D69B5"/>
    <w:rsid w:val="003D6FE1"/>
    <w:rsid w:val="003D7A3B"/>
    <w:rsid w:val="003D7F4A"/>
    <w:rsid w:val="003E1068"/>
    <w:rsid w:val="003E14EE"/>
    <w:rsid w:val="003E2BAC"/>
    <w:rsid w:val="003E304D"/>
    <w:rsid w:val="003E3153"/>
    <w:rsid w:val="003E343D"/>
    <w:rsid w:val="003E3C5D"/>
    <w:rsid w:val="003E3D1E"/>
    <w:rsid w:val="003E3E61"/>
    <w:rsid w:val="003E3FBE"/>
    <w:rsid w:val="003E44DB"/>
    <w:rsid w:val="003E44ED"/>
    <w:rsid w:val="003E55D2"/>
    <w:rsid w:val="003E58E8"/>
    <w:rsid w:val="003E677A"/>
    <w:rsid w:val="003E6916"/>
    <w:rsid w:val="003E7216"/>
    <w:rsid w:val="003E7CF1"/>
    <w:rsid w:val="003F0322"/>
    <w:rsid w:val="003F0A15"/>
    <w:rsid w:val="003F0E7B"/>
    <w:rsid w:val="003F14FD"/>
    <w:rsid w:val="003F16CC"/>
    <w:rsid w:val="003F1704"/>
    <w:rsid w:val="003F1E0E"/>
    <w:rsid w:val="003F2038"/>
    <w:rsid w:val="003F2339"/>
    <w:rsid w:val="003F23A8"/>
    <w:rsid w:val="003F2681"/>
    <w:rsid w:val="003F2796"/>
    <w:rsid w:val="003F2F41"/>
    <w:rsid w:val="003F35C0"/>
    <w:rsid w:val="003F57D6"/>
    <w:rsid w:val="003F58A9"/>
    <w:rsid w:val="003F5ABF"/>
    <w:rsid w:val="003F5F6F"/>
    <w:rsid w:val="003F6682"/>
    <w:rsid w:val="003F68C1"/>
    <w:rsid w:val="003F6A22"/>
    <w:rsid w:val="003F7193"/>
    <w:rsid w:val="003F71B1"/>
    <w:rsid w:val="00400625"/>
    <w:rsid w:val="004009CE"/>
    <w:rsid w:val="00400E09"/>
    <w:rsid w:val="004012C4"/>
    <w:rsid w:val="004013E6"/>
    <w:rsid w:val="004017B2"/>
    <w:rsid w:val="00401E80"/>
    <w:rsid w:val="004027F9"/>
    <w:rsid w:val="004031ED"/>
    <w:rsid w:val="004032FE"/>
    <w:rsid w:val="00403912"/>
    <w:rsid w:val="004040C8"/>
    <w:rsid w:val="00404A58"/>
    <w:rsid w:val="00404A6C"/>
    <w:rsid w:val="00405293"/>
    <w:rsid w:val="004060B7"/>
    <w:rsid w:val="0040621D"/>
    <w:rsid w:val="004064B6"/>
    <w:rsid w:val="00410430"/>
    <w:rsid w:val="00410522"/>
    <w:rsid w:val="004105AB"/>
    <w:rsid w:val="004118D4"/>
    <w:rsid w:val="00411D63"/>
    <w:rsid w:val="00411E9A"/>
    <w:rsid w:val="00412193"/>
    <w:rsid w:val="00412655"/>
    <w:rsid w:val="00412718"/>
    <w:rsid w:val="00412F70"/>
    <w:rsid w:val="00413397"/>
    <w:rsid w:val="0041368E"/>
    <w:rsid w:val="00413D74"/>
    <w:rsid w:val="00414879"/>
    <w:rsid w:val="00414C31"/>
    <w:rsid w:val="00414E0E"/>
    <w:rsid w:val="00414E23"/>
    <w:rsid w:val="00414F89"/>
    <w:rsid w:val="00414FED"/>
    <w:rsid w:val="00416187"/>
    <w:rsid w:val="00416728"/>
    <w:rsid w:val="00417167"/>
    <w:rsid w:val="00417A36"/>
    <w:rsid w:val="00420561"/>
    <w:rsid w:val="00420EC6"/>
    <w:rsid w:val="00420FC0"/>
    <w:rsid w:val="0042119A"/>
    <w:rsid w:val="00423201"/>
    <w:rsid w:val="00423485"/>
    <w:rsid w:val="004234C0"/>
    <w:rsid w:val="00423930"/>
    <w:rsid w:val="004247D7"/>
    <w:rsid w:val="00425BCD"/>
    <w:rsid w:val="00426292"/>
    <w:rsid w:val="0042687F"/>
    <w:rsid w:val="00427059"/>
    <w:rsid w:val="004272B1"/>
    <w:rsid w:val="00427491"/>
    <w:rsid w:val="004279FA"/>
    <w:rsid w:val="00427DDE"/>
    <w:rsid w:val="004303F5"/>
    <w:rsid w:val="00430520"/>
    <w:rsid w:val="00430630"/>
    <w:rsid w:val="00431581"/>
    <w:rsid w:val="00431819"/>
    <w:rsid w:val="00431B21"/>
    <w:rsid w:val="00431D01"/>
    <w:rsid w:val="004326F1"/>
    <w:rsid w:val="00432CC0"/>
    <w:rsid w:val="00433F41"/>
    <w:rsid w:val="0043499A"/>
    <w:rsid w:val="00434C87"/>
    <w:rsid w:val="0043520A"/>
    <w:rsid w:val="004356D8"/>
    <w:rsid w:val="00435E36"/>
    <w:rsid w:val="00435F60"/>
    <w:rsid w:val="0043638D"/>
    <w:rsid w:val="00436739"/>
    <w:rsid w:val="00436965"/>
    <w:rsid w:val="00437700"/>
    <w:rsid w:val="004378EA"/>
    <w:rsid w:val="004401AD"/>
    <w:rsid w:val="004404E9"/>
    <w:rsid w:val="0044073A"/>
    <w:rsid w:val="0044075D"/>
    <w:rsid w:val="00441DE5"/>
    <w:rsid w:val="004431E7"/>
    <w:rsid w:val="004436B2"/>
    <w:rsid w:val="00443802"/>
    <w:rsid w:val="004449A9"/>
    <w:rsid w:val="00444A3C"/>
    <w:rsid w:val="00444F54"/>
    <w:rsid w:val="0044596B"/>
    <w:rsid w:val="0044608E"/>
    <w:rsid w:val="004469A5"/>
    <w:rsid w:val="00446BE3"/>
    <w:rsid w:val="00446E31"/>
    <w:rsid w:val="00446FC0"/>
    <w:rsid w:val="004473A0"/>
    <w:rsid w:val="004478AF"/>
    <w:rsid w:val="00447912"/>
    <w:rsid w:val="00447F48"/>
    <w:rsid w:val="00447F5A"/>
    <w:rsid w:val="004500DB"/>
    <w:rsid w:val="0045036E"/>
    <w:rsid w:val="004503E5"/>
    <w:rsid w:val="00450475"/>
    <w:rsid w:val="00450523"/>
    <w:rsid w:val="004524C5"/>
    <w:rsid w:val="004527EF"/>
    <w:rsid w:val="00452A87"/>
    <w:rsid w:val="00452E83"/>
    <w:rsid w:val="0045367A"/>
    <w:rsid w:val="0045387A"/>
    <w:rsid w:val="004539DE"/>
    <w:rsid w:val="00453D9A"/>
    <w:rsid w:val="0045494E"/>
    <w:rsid w:val="00454A28"/>
    <w:rsid w:val="004551E2"/>
    <w:rsid w:val="0045569B"/>
    <w:rsid w:val="00455E9F"/>
    <w:rsid w:val="00457988"/>
    <w:rsid w:val="00457D4B"/>
    <w:rsid w:val="00460779"/>
    <w:rsid w:val="00461081"/>
    <w:rsid w:val="004610A2"/>
    <w:rsid w:val="00461530"/>
    <w:rsid w:val="0046160A"/>
    <w:rsid w:val="004617A3"/>
    <w:rsid w:val="00461C09"/>
    <w:rsid w:val="00461CC8"/>
    <w:rsid w:val="004620AA"/>
    <w:rsid w:val="00464300"/>
    <w:rsid w:val="004650DC"/>
    <w:rsid w:val="004654E7"/>
    <w:rsid w:val="00466266"/>
    <w:rsid w:val="00466E89"/>
    <w:rsid w:val="004676C2"/>
    <w:rsid w:val="00470AE9"/>
    <w:rsid w:val="00470B26"/>
    <w:rsid w:val="00470E6C"/>
    <w:rsid w:val="0047144C"/>
    <w:rsid w:val="0047165E"/>
    <w:rsid w:val="00472187"/>
    <w:rsid w:val="00472A43"/>
    <w:rsid w:val="00472DFB"/>
    <w:rsid w:val="00473549"/>
    <w:rsid w:val="00473646"/>
    <w:rsid w:val="00473BA1"/>
    <w:rsid w:val="0047402A"/>
    <w:rsid w:val="00474336"/>
    <w:rsid w:val="004757B0"/>
    <w:rsid w:val="00475A8C"/>
    <w:rsid w:val="004760A3"/>
    <w:rsid w:val="004803E5"/>
    <w:rsid w:val="004806C0"/>
    <w:rsid w:val="00481681"/>
    <w:rsid w:val="00481854"/>
    <w:rsid w:val="00481E3E"/>
    <w:rsid w:val="00481F16"/>
    <w:rsid w:val="00482476"/>
    <w:rsid w:val="00483119"/>
    <w:rsid w:val="00483706"/>
    <w:rsid w:val="00483E2F"/>
    <w:rsid w:val="0048420C"/>
    <w:rsid w:val="0048445D"/>
    <w:rsid w:val="004844B2"/>
    <w:rsid w:val="004844C4"/>
    <w:rsid w:val="004846A8"/>
    <w:rsid w:val="00485743"/>
    <w:rsid w:val="0048623E"/>
    <w:rsid w:val="0048671D"/>
    <w:rsid w:val="00486A45"/>
    <w:rsid w:val="00486B0F"/>
    <w:rsid w:val="00487195"/>
    <w:rsid w:val="00490044"/>
    <w:rsid w:val="00490C6D"/>
    <w:rsid w:val="0049137A"/>
    <w:rsid w:val="00491973"/>
    <w:rsid w:val="00491A03"/>
    <w:rsid w:val="004929C9"/>
    <w:rsid w:val="004929D2"/>
    <w:rsid w:val="004932BF"/>
    <w:rsid w:val="0049445D"/>
    <w:rsid w:val="00495B59"/>
    <w:rsid w:val="00495F2D"/>
    <w:rsid w:val="00496372"/>
    <w:rsid w:val="00496379"/>
    <w:rsid w:val="0049665C"/>
    <w:rsid w:val="00496E7B"/>
    <w:rsid w:val="00497BF1"/>
    <w:rsid w:val="004A055C"/>
    <w:rsid w:val="004A09F3"/>
    <w:rsid w:val="004A12EE"/>
    <w:rsid w:val="004A149F"/>
    <w:rsid w:val="004A1711"/>
    <w:rsid w:val="004A1B4C"/>
    <w:rsid w:val="004A214C"/>
    <w:rsid w:val="004A2317"/>
    <w:rsid w:val="004A32E8"/>
    <w:rsid w:val="004A3854"/>
    <w:rsid w:val="004A3897"/>
    <w:rsid w:val="004A3A68"/>
    <w:rsid w:val="004A5F96"/>
    <w:rsid w:val="004A7FAD"/>
    <w:rsid w:val="004B04F3"/>
    <w:rsid w:val="004B11BC"/>
    <w:rsid w:val="004B16A8"/>
    <w:rsid w:val="004B1B71"/>
    <w:rsid w:val="004B1C33"/>
    <w:rsid w:val="004B211C"/>
    <w:rsid w:val="004B2306"/>
    <w:rsid w:val="004B27CB"/>
    <w:rsid w:val="004B2D4D"/>
    <w:rsid w:val="004B338B"/>
    <w:rsid w:val="004B33FA"/>
    <w:rsid w:val="004B4051"/>
    <w:rsid w:val="004B437C"/>
    <w:rsid w:val="004B64B3"/>
    <w:rsid w:val="004B65EA"/>
    <w:rsid w:val="004B6BBD"/>
    <w:rsid w:val="004C01AC"/>
    <w:rsid w:val="004C1635"/>
    <w:rsid w:val="004C1E15"/>
    <w:rsid w:val="004C2479"/>
    <w:rsid w:val="004C2D44"/>
    <w:rsid w:val="004C4A31"/>
    <w:rsid w:val="004C4CFE"/>
    <w:rsid w:val="004C5082"/>
    <w:rsid w:val="004C57AA"/>
    <w:rsid w:val="004C635B"/>
    <w:rsid w:val="004C6803"/>
    <w:rsid w:val="004C7124"/>
    <w:rsid w:val="004C73D0"/>
    <w:rsid w:val="004C75CD"/>
    <w:rsid w:val="004C7E5F"/>
    <w:rsid w:val="004D0B75"/>
    <w:rsid w:val="004D0BBE"/>
    <w:rsid w:val="004D0F3F"/>
    <w:rsid w:val="004D2290"/>
    <w:rsid w:val="004D3462"/>
    <w:rsid w:val="004D3B13"/>
    <w:rsid w:val="004D488E"/>
    <w:rsid w:val="004D5000"/>
    <w:rsid w:val="004D5031"/>
    <w:rsid w:val="004D50D1"/>
    <w:rsid w:val="004D602F"/>
    <w:rsid w:val="004D6274"/>
    <w:rsid w:val="004D65FF"/>
    <w:rsid w:val="004D67A0"/>
    <w:rsid w:val="004D73DC"/>
    <w:rsid w:val="004D75E8"/>
    <w:rsid w:val="004D778A"/>
    <w:rsid w:val="004D7D2B"/>
    <w:rsid w:val="004D7FC6"/>
    <w:rsid w:val="004E0694"/>
    <w:rsid w:val="004E107A"/>
    <w:rsid w:val="004E1EC5"/>
    <w:rsid w:val="004E1F56"/>
    <w:rsid w:val="004E290A"/>
    <w:rsid w:val="004E3DB6"/>
    <w:rsid w:val="004E3F49"/>
    <w:rsid w:val="004E4252"/>
    <w:rsid w:val="004E43F4"/>
    <w:rsid w:val="004E4599"/>
    <w:rsid w:val="004E4E25"/>
    <w:rsid w:val="004E5ACA"/>
    <w:rsid w:val="004E621C"/>
    <w:rsid w:val="004E6420"/>
    <w:rsid w:val="004E6A78"/>
    <w:rsid w:val="004E6E23"/>
    <w:rsid w:val="004E74C9"/>
    <w:rsid w:val="004F0B9F"/>
    <w:rsid w:val="004F0D29"/>
    <w:rsid w:val="004F14CB"/>
    <w:rsid w:val="004F1860"/>
    <w:rsid w:val="004F1AD2"/>
    <w:rsid w:val="004F24B8"/>
    <w:rsid w:val="004F26D7"/>
    <w:rsid w:val="004F2960"/>
    <w:rsid w:val="004F2AA3"/>
    <w:rsid w:val="004F2BBC"/>
    <w:rsid w:val="004F2FF2"/>
    <w:rsid w:val="004F305D"/>
    <w:rsid w:val="004F3835"/>
    <w:rsid w:val="004F3E09"/>
    <w:rsid w:val="004F42CD"/>
    <w:rsid w:val="004F49F1"/>
    <w:rsid w:val="004F4A17"/>
    <w:rsid w:val="004F4BA2"/>
    <w:rsid w:val="004F4C61"/>
    <w:rsid w:val="004F4D18"/>
    <w:rsid w:val="004F4DE0"/>
    <w:rsid w:val="004F5472"/>
    <w:rsid w:val="004F5838"/>
    <w:rsid w:val="004F6218"/>
    <w:rsid w:val="0050122B"/>
    <w:rsid w:val="00501A86"/>
    <w:rsid w:val="005031FB"/>
    <w:rsid w:val="00504E9A"/>
    <w:rsid w:val="005051CC"/>
    <w:rsid w:val="005058C3"/>
    <w:rsid w:val="005059D4"/>
    <w:rsid w:val="00505A78"/>
    <w:rsid w:val="005061DC"/>
    <w:rsid w:val="005062FB"/>
    <w:rsid w:val="00507451"/>
    <w:rsid w:val="00507574"/>
    <w:rsid w:val="005079C8"/>
    <w:rsid w:val="00507C1A"/>
    <w:rsid w:val="00510E5B"/>
    <w:rsid w:val="00510F34"/>
    <w:rsid w:val="005119F6"/>
    <w:rsid w:val="00511B37"/>
    <w:rsid w:val="00512535"/>
    <w:rsid w:val="00512A20"/>
    <w:rsid w:val="00512F36"/>
    <w:rsid w:val="0051322E"/>
    <w:rsid w:val="0051326F"/>
    <w:rsid w:val="00513373"/>
    <w:rsid w:val="00514098"/>
    <w:rsid w:val="00514161"/>
    <w:rsid w:val="00514323"/>
    <w:rsid w:val="00514337"/>
    <w:rsid w:val="00514440"/>
    <w:rsid w:val="0051457D"/>
    <w:rsid w:val="00514A19"/>
    <w:rsid w:val="00514DD8"/>
    <w:rsid w:val="005154B7"/>
    <w:rsid w:val="00515679"/>
    <w:rsid w:val="00516329"/>
    <w:rsid w:val="0051651D"/>
    <w:rsid w:val="00516BA2"/>
    <w:rsid w:val="00517D36"/>
    <w:rsid w:val="00521A73"/>
    <w:rsid w:val="00522167"/>
    <w:rsid w:val="0052383A"/>
    <w:rsid w:val="005239D6"/>
    <w:rsid w:val="00523F4E"/>
    <w:rsid w:val="005246F3"/>
    <w:rsid w:val="0052486A"/>
    <w:rsid w:val="00524993"/>
    <w:rsid w:val="00524EA6"/>
    <w:rsid w:val="005257CE"/>
    <w:rsid w:val="00525B40"/>
    <w:rsid w:val="00525D00"/>
    <w:rsid w:val="005267AE"/>
    <w:rsid w:val="00526A7F"/>
    <w:rsid w:val="00526D1F"/>
    <w:rsid w:val="00527264"/>
    <w:rsid w:val="005273FB"/>
    <w:rsid w:val="0053028C"/>
    <w:rsid w:val="00530DD5"/>
    <w:rsid w:val="005319AD"/>
    <w:rsid w:val="005326FD"/>
    <w:rsid w:val="00532C40"/>
    <w:rsid w:val="00533084"/>
    <w:rsid w:val="00533F89"/>
    <w:rsid w:val="0053413D"/>
    <w:rsid w:val="00534304"/>
    <w:rsid w:val="00534C23"/>
    <w:rsid w:val="0053547A"/>
    <w:rsid w:val="00535876"/>
    <w:rsid w:val="00535961"/>
    <w:rsid w:val="0053682F"/>
    <w:rsid w:val="00536FF6"/>
    <w:rsid w:val="005374BB"/>
    <w:rsid w:val="00537AD8"/>
    <w:rsid w:val="00541155"/>
    <w:rsid w:val="00542090"/>
    <w:rsid w:val="005424A7"/>
    <w:rsid w:val="005428D3"/>
    <w:rsid w:val="00542DAE"/>
    <w:rsid w:val="00542E38"/>
    <w:rsid w:val="00542E75"/>
    <w:rsid w:val="005431A5"/>
    <w:rsid w:val="005433FA"/>
    <w:rsid w:val="00543561"/>
    <w:rsid w:val="00543583"/>
    <w:rsid w:val="00543F5C"/>
    <w:rsid w:val="00544532"/>
    <w:rsid w:val="0054459E"/>
    <w:rsid w:val="0054512A"/>
    <w:rsid w:val="0054580E"/>
    <w:rsid w:val="00545BEC"/>
    <w:rsid w:val="00546517"/>
    <w:rsid w:val="00546F2A"/>
    <w:rsid w:val="00547E6C"/>
    <w:rsid w:val="0055012B"/>
    <w:rsid w:val="00550977"/>
    <w:rsid w:val="00550BBD"/>
    <w:rsid w:val="0055111D"/>
    <w:rsid w:val="00551892"/>
    <w:rsid w:val="00551C4C"/>
    <w:rsid w:val="0055280E"/>
    <w:rsid w:val="00552A69"/>
    <w:rsid w:val="00552D13"/>
    <w:rsid w:val="00554A4E"/>
    <w:rsid w:val="0055693D"/>
    <w:rsid w:val="00557312"/>
    <w:rsid w:val="005603F8"/>
    <w:rsid w:val="00560838"/>
    <w:rsid w:val="00560F79"/>
    <w:rsid w:val="0056120D"/>
    <w:rsid w:val="005616B7"/>
    <w:rsid w:val="00561F7E"/>
    <w:rsid w:val="00561FFD"/>
    <w:rsid w:val="00562019"/>
    <w:rsid w:val="00563131"/>
    <w:rsid w:val="005649E8"/>
    <w:rsid w:val="00564F78"/>
    <w:rsid w:val="00565BC5"/>
    <w:rsid w:val="00565E88"/>
    <w:rsid w:val="00566601"/>
    <w:rsid w:val="00566721"/>
    <w:rsid w:val="005667B3"/>
    <w:rsid w:val="0056687F"/>
    <w:rsid w:val="00566BDA"/>
    <w:rsid w:val="00566BE7"/>
    <w:rsid w:val="005671FC"/>
    <w:rsid w:val="00571954"/>
    <w:rsid w:val="005719B0"/>
    <w:rsid w:val="005720C9"/>
    <w:rsid w:val="0057299F"/>
    <w:rsid w:val="00573146"/>
    <w:rsid w:val="005758F2"/>
    <w:rsid w:val="005764A5"/>
    <w:rsid w:val="00576616"/>
    <w:rsid w:val="00576730"/>
    <w:rsid w:val="005768CF"/>
    <w:rsid w:val="00576B07"/>
    <w:rsid w:val="00576D9B"/>
    <w:rsid w:val="00577B00"/>
    <w:rsid w:val="0058073A"/>
    <w:rsid w:val="005807DE"/>
    <w:rsid w:val="00581E9A"/>
    <w:rsid w:val="00582135"/>
    <w:rsid w:val="00582855"/>
    <w:rsid w:val="00582879"/>
    <w:rsid w:val="00582FAD"/>
    <w:rsid w:val="00583ACF"/>
    <w:rsid w:val="00583B99"/>
    <w:rsid w:val="005844A3"/>
    <w:rsid w:val="00584710"/>
    <w:rsid w:val="00584AE6"/>
    <w:rsid w:val="00584D3A"/>
    <w:rsid w:val="0058588C"/>
    <w:rsid w:val="005858CB"/>
    <w:rsid w:val="00585F1C"/>
    <w:rsid w:val="0058658A"/>
    <w:rsid w:val="00587F8E"/>
    <w:rsid w:val="0059051D"/>
    <w:rsid w:val="005905D1"/>
    <w:rsid w:val="00590609"/>
    <w:rsid w:val="00590720"/>
    <w:rsid w:val="00590E18"/>
    <w:rsid w:val="005916FC"/>
    <w:rsid w:val="00591F65"/>
    <w:rsid w:val="005925F7"/>
    <w:rsid w:val="00592DBB"/>
    <w:rsid w:val="00592ED0"/>
    <w:rsid w:val="00593223"/>
    <w:rsid w:val="0059418B"/>
    <w:rsid w:val="00594626"/>
    <w:rsid w:val="00594B08"/>
    <w:rsid w:val="00595428"/>
    <w:rsid w:val="00595BA4"/>
    <w:rsid w:val="00595E01"/>
    <w:rsid w:val="00596590"/>
    <w:rsid w:val="005969CC"/>
    <w:rsid w:val="00597320"/>
    <w:rsid w:val="005973C1"/>
    <w:rsid w:val="005A15C0"/>
    <w:rsid w:val="005A1964"/>
    <w:rsid w:val="005A245A"/>
    <w:rsid w:val="005A2640"/>
    <w:rsid w:val="005A27EF"/>
    <w:rsid w:val="005A3D66"/>
    <w:rsid w:val="005A420E"/>
    <w:rsid w:val="005A45C7"/>
    <w:rsid w:val="005A461A"/>
    <w:rsid w:val="005A5446"/>
    <w:rsid w:val="005A54F4"/>
    <w:rsid w:val="005A5575"/>
    <w:rsid w:val="005A6ED3"/>
    <w:rsid w:val="005A72FF"/>
    <w:rsid w:val="005A7943"/>
    <w:rsid w:val="005A7E30"/>
    <w:rsid w:val="005B02ED"/>
    <w:rsid w:val="005B05B8"/>
    <w:rsid w:val="005B2C81"/>
    <w:rsid w:val="005B3AF9"/>
    <w:rsid w:val="005B405F"/>
    <w:rsid w:val="005B542F"/>
    <w:rsid w:val="005B5F33"/>
    <w:rsid w:val="005B66BF"/>
    <w:rsid w:val="005B6C44"/>
    <w:rsid w:val="005B6D02"/>
    <w:rsid w:val="005B70DC"/>
    <w:rsid w:val="005B75C6"/>
    <w:rsid w:val="005C0705"/>
    <w:rsid w:val="005C0BEF"/>
    <w:rsid w:val="005C1070"/>
    <w:rsid w:val="005C1876"/>
    <w:rsid w:val="005C24CD"/>
    <w:rsid w:val="005C276F"/>
    <w:rsid w:val="005C2C5D"/>
    <w:rsid w:val="005C337D"/>
    <w:rsid w:val="005C37E2"/>
    <w:rsid w:val="005C3A81"/>
    <w:rsid w:val="005C3B8F"/>
    <w:rsid w:val="005C3FC9"/>
    <w:rsid w:val="005C46B2"/>
    <w:rsid w:val="005C518B"/>
    <w:rsid w:val="005C54C4"/>
    <w:rsid w:val="005C5531"/>
    <w:rsid w:val="005C61AB"/>
    <w:rsid w:val="005C65EF"/>
    <w:rsid w:val="005C6C8C"/>
    <w:rsid w:val="005C6CE7"/>
    <w:rsid w:val="005C7340"/>
    <w:rsid w:val="005C7708"/>
    <w:rsid w:val="005C7DDE"/>
    <w:rsid w:val="005D00AA"/>
    <w:rsid w:val="005D1D0F"/>
    <w:rsid w:val="005D2A1D"/>
    <w:rsid w:val="005D2D9C"/>
    <w:rsid w:val="005D4239"/>
    <w:rsid w:val="005D4576"/>
    <w:rsid w:val="005D47F0"/>
    <w:rsid w:val="005D4D5E"/>
    <w:rsid w:val="005D4DF8"/>
    <w:rsid w:val="005D4E78"/>
    <w:rsid w:val="005D6927"/>
    <w:rsid w:val="005D76BC"/>
    <w:rsid w:val="005D7960"/>
    <w:rsid w:val="005D79E9"/>
    <w:rsid w:val="005D7D74"/>
    <w:rsid w:val="005E0104"/>
    <w:rsid w:val="005E16ED"/>
    <w:rsid w:val="005E2AF4"/>
    <w:rsid w:val="005E2D14"/>
    <w:rsid w:val="005E3F1B"/>
    <w:rsid w:val="005E4583"/>
    <w:rsid w:val="005E5063"/>
    <w:rsid w:val="005E55CB"/>
    <w:rsid w:val="005E6E64"/>
    <w:rsid w:val="005E776F"/>
    <w:rsid w:val="005E7BBB"/>
    <w:rsid w:val="005E7D6B"/>
    <w:rsid w:val="005E7F8E"/>
    <w:rsid w:val="005F016D"/>
    <w:rsid w:val="005F0878"/>
    <w:rsid w:val="005F0FD3"/>
    <w:rsid w:val="005F1B9C"/>
    <w:rsid w:val="005F2039"/>
    <w:rsid w:val="005F2B19"/>
    <w:rsid w:val="005F30B5"/>
    <w:rsid w:val="005F3ADE"/>
    <w:rsid w:val="005F3B2F"/>
    <w:rsid w:val="005F3CDC"/>
    <w:rsid w:val="005F4304"/>
    <w:rsid w:val="005F43A9"/>
    <w:rsid w:val="005F506D"/>
    <w:rsid w:val="005F51D0"/>
    <w:rsid w:val="005F549C"/>
    <w:rsid w:val="005F54A5"/>
    <w:rsid w:val="005F551D"/>
    <w:rsid w:val="005F55B4"/>
    <w:rsid w:val="005F5964"/>
    <w:rsid w:val="005F5ACB"/>
    <w:rsid w:val="005F67B5"/>
    <w:rsid w:val="005F68BF"/>
    <w:rsid w:val="005F7407"/>
    <w:rsid w:val="005F77AA"/>
    <w:rsid w:val="005F7D7C"/>
    <w:rsid w:val="006008A7"/>
    <w:rsid w:val="00600A6E"/>
    <w:rsid w:val="00600D11"/>
    <w:rsid w:val="006010BB"/>
    <w:rsid w:val="00601928"/>
    <w:rsid w:val="00601A6A"/>
    <w:rsid w:val="00601B7B"/>
    <w:rsid w:val="00602652"/>
    <w:rsid w:val="00603440"/>
    <w:rsid w:val="006039BB"/>
    <w:rsid w:val="00604F6C"/>
    <w:rsid w:val="00605E6D"/>
    <w:rsid w:val="0060656F"/>
    <w:rsid w:val="00606AB0"/>
    <w:rsid w:val="00607DDE"/>
    <w:rsid w:val="00607EB2"/>
    <w:rsid w:val="0061012C"/>
    <w:rsid w:val="0061098F"/>
    <w:rsid w:val="00611A83"/>
    <w:rsid w:val="0061213B"/>
    <w:rsid w:val="00613E80"/>
    <w:rsid w:val="00614B50"/>
    <w:rsid w:val="0061505A"/>
    <w:rsid w:val="006150DA"/>
    <w:rsid w:val="006157B9"/>
    <w:rsid w:val="006160B8"/>
    <w:rsid w:val="00616BF4"/>
    <w:rsid w:val="0061716C"/>
    <w:rsid w:val="006171AC"/>
    <w:rsid w:val="006171BF"/>
    <w:rsid w:val="0061736F"/>
    <w:rsid w:val="006178DA"/>
    <w:rsid w:val="00617F6B"/>
    <w:rsid w:val="00620066"/>
    <w:rsid w:val="00620629"/>
    <w:rsid w:val="006214F8"/>
    <w:rsid w:val="00621673"/>
    <w:rsid w:val="00622223"/>
    <w:rsid w:val="00622721"/>
    <w:rsid w:val="00622ACB"/>
    <w:rsid w:val="00622F9D"/>
    <w:rsid w:val="006236A3"/>
    <w:rsid w:val="00623936"/>
    <w:rsid w:val="00624101"/>
    <w:rsid w:val="006244F8"/>
    <w:rsid w:val="00624616"/>
    <w:rsid w:val="0062476E"/>
    <w:rsid w:val="00624BEB"/>
    <w:rsid w:val="00624FAA"/>
    <w:rsid w:val="0062510A"/>
    <w:rsid w:val="006252D9"/>
    <w:rsid w:val="006253DA"/>
    <w:rsid w:val="00625F34"/>
    <w:rsid w:val="006261C5"/>
    <w:rsid w:val="0062655A"/>
    <w:rsid w:val="006271E7"/>
    <w:rsid w:val="00627461"/>
    <w:rsid w:val="00627704"/>
    <w:rsid w:val="00627A0C"/>
    <w:rsid w:val="00630C44"/>
    <w:rsid w:val="00630E4B"/>
    <w:rsid w:val="00631126"/>
    <w:rsid w:val="006312C6"/>
    <w:rsid w:val="006318BC"/>
    <w:rsid w:val="00631CB4"/>
    <w:rsid w:val="00632341"/>
    <w:rsid w:val="006334FC"/>
    <w:rsid w:val="006339DB"/>
    <w:rsid w:val="00633D1D"/>
    <w:rsid w:val="00633E6D"/>
    <w:rsid w:val="00634407"/>
    <w:rsid w:val="00634771"/>
    <w:rsid w:val="00635FCE"/>
    <w:rsid w:val="00636FF7"/>
    <w:rsid w:val="006370CC"/>
    <w:rsid w:val="00640363"/>
    <w:rsid w:val="006415CB"/>
    <w:rsid w:val="006421B8"/>
    <w:rsid w:val="006421DF"/>
    <w:rsid w:val="00642630"/>
    <w:rsid w:val="00642C63"/>
    <w:rsid w:val="006441B0"/>
    <w:rsid w:val="0064499A"/>
    <w:rsid w:val="00644F48"/>
    <w:rsid w:val="00645156"/>
    <w:rsid w:val="0064547B"/>
    <w:rsid w:val="0064561B"/>
    <w:rsid w:val="00645AD3"/>
    <w:rsid w:val="00645EE8"/>
    <w:rsid w:val="006468BB"/>
    <w:rsid w:val="006474A7"/>
    <w:rsid w:val="00647797"/>
    <w:rsid w:val="006504B3"/>
    <w:rsid w:val="00650B3E"/>
    <w:rsid w:val="00650CCE"/>
    <w:rsid w:val="0065110E"/>
    <w:rsid w:val="00651984"/>
    <w:rsid w:val="006528E1"/>
    <w:rsid w:val="0065404E"/>
    <w:rsid w:val="006543CB"/>
    <w:rsid w:val="006546C6"/>
    <w:rsid w:val="0065566F"/>
    <w:rsid w:val="006557A3"/>
    <w:rsid w:val="00655CA4"/>
    <w:rsid w:val="006564D6"/>
    <w:rsid w:val="00656AE5"/>
    <w:rsid w:val="00656DC6"/>
    <w:rsid w:val="006574B4"/>
    <w:rsid w:val="00657F08"/>
    <w:rsid w:val="00660A2D"/>
    <w:rsid w:val="00660F83"/>
    <w:rsid w:val="00661970"/>
    <w:rsid w:val="00662A49"/>
    <w:rsid w:val="00662C5A"/>
    <w:rsid w:val="00662F6A"/>
    <w:rsid w:val="0066363E"/>
    <w:rsid w:val="00663AEF"/>
    <w:rsid w:val="00663D8D"/>
    <w:rsid w:val="00663D91"/>
    <w:rsid w:val="00665343"/>
    <w:rsid w:val="0066581D"/>
    <w:rsid w:val="0066588D"/>
    <w:rsid w:val="00665A62"/>
    <w:rsid w:val="006663B9"/>
    <w:rsid w:val="00666D38"/>
    <w:rsid w:val="00667870"/>
    <w:rsid w:val="00670353"/>
    <w:rsid w:val="0067104C"/>
    <w:rsid w:val="00671E13"/>
    <w:rsid w:val="00671E72"/>
    <w:rsid w:val="00672889"/>
    <w:rsid w:val="00672C42"/>
    <w:rsid w:val="00672D9B"/>
    <w:rsid w:val="00673CFF"/>
    <w:rsid w:val="00674A6D"/>
    <w:rsid w:val="00675435"/>
    <w:rsid w:val="00676C7A"/>
    <w:rsid w:val="0067733D"/>
    <w:rsid w:val="00677666"/>
    <w:rsid w:val="006778F7"/>
    <w:rsid w:val="00677C9B"/>
    <w:rsid w:val="00677CDC"/>
    <w:rsid w:val="00677D38"/>
    <w:rsid w:val="00680705"/>
    <w:rsid w:val="00680D4F"/>
    <w:rsid w:val="006813A7"/>
    <w:rsid w:val="0068207E"/>
    <w:rsid w:val="00682793"/>
    <w:rsid w:val="00682CCA"/>
    <w:rsid w:val="00683302"/>
    <w:rsid w:val="00683943"/>
    <w:rsid w:val="00683F96"/>
    <w:rsid w:val="0068404A"/>
    <w:rsid w:val="00684441"/>
    <w:rsid w:val="0068559B"/>
    <w:rsid w:val="006860A1"/>
    <w:rsid w:val="00687B0C"/>
    <w:rsid w:val="006908BB"/>
    <w:rsid w:val="00690ADE"/>
    <w:rsid w:val="00690B39"/>
    <w:rsid w:val="00690CA8"/>
    <w:rsid w:val="006915F9"/>
    <w:rsid w:val="006916BC"/>
    <w:rsid w:val="006918A1"/>
    <w:rsid w:val="0069205E"/>
    <w:rsid w:val="00692061"/>
    <w:rsid w:val="006920E1"/>
    <w:rsid w:val="0069250D"/>
    <w:rsid w:val="00692514"/>
    <w:rsid w:val="00692A6B"/>
    <w:rsid w:val="00692AED"/>
    <w:rsid w:val="00692CA7"/>
    <w:rsid w:val="006931C8"/>
    <w:rsid w:val="0069336E"/>
    <w:rsid w:val="00693523"/>
    <w:rsid w:val="00694482"/>
    <w:rsid w:val="00694CCC"/>
    <w:rsid w:val="00694CE9"/>
    <w:rsid w:val="0069509C"/>
    <w:rsid w:val="00695248"/>
    <w:rsid w:val="006955D3"/>
    <w:rsid w:val="00695E18"/>
    <w:rsid w:val="00695F9B"/>
    <w:rsid w:val="006964F3"/>
    <w:rsid w:val="0069652E"/>
    <w:rsid w:val="00696F9D"/>
    <w:rsid w:val="006974C5"/>
    <w:rsid w:val="00697B16"/>
    <w:rsid w:val="00697C7F"/>
    <w:rsid w:val="006A0687"/>
    <w:rsid w:val="006A107C"/>
    <w:rsid w:val="006A14DD"/>
    <w:rsid w:val="006A1B8E"/>
    <w:rsid w:val="006A1C91"/>
    <w:rsid w:val="006A2B56"/>
    <w:rsid w:val="006A2D8F"/>
    <w:rsid w:val="006A4720"/>
    <w:rsid w:val="006A4741"/>
    <w:rsid w:val="006A4CAE"/>
    <w:rsid w:val="006A59D0"/>
    <w:rsid w:val="006A5DAC"/>
    <w:rsid w:val="006A6204"/>
    <w:rsid w:val="006A6229"/>
    <w:rsid w:val="006A7A07"/>
    <w:rsid w:val="006A7AB0"/>
    <w:rsid w:val="006A7B30"/>
    <w:rsid w:val="006B0102"/>
    <w:rsid w:val="006B090C"/>
    <w:rsid w:val="006B0CBB"/>
    <w:rsid w:val="006B1378"/>
    <w:rsid w:val="006B161C"/>
    <w:rsid w:val="006B2623"/>
    <w:rsid w:val="006B2C45"/>
    <w:rsid w:val="006B2D89"/>
    <w:rsid w:val="006B31C8"/>
    <w:rsid w:val="006B3279"/>
    <w:rsid w:val="006B3C26"/>
    <w:rsid w:val="006B4147"/>
    <w:rsid w:val="006B490B"/>
    <w:rsid w:val="006B4EC3"/>
    <w:rsid w:val="006B551A"/>
    <w:rsid w:val="006B5619"/>
    <w:rsid w:val="006B5855"/>
    <w:rsid w:val="006B6679"/>
    <w:rsid w:val="006B68F5"/>
    <w:rsid w:val="006B6EC5"/>
    <w:rsid w:val="006B7D2E"/>
    <w:rsid w:val="006C0056"/>
    <w:rsid w:val="006C0658"/>
    <w:rsid w:val="006C1186"/>
    <w:rsid w:val="006C16DE"/>
    <w:rsid w:val="006C1759"/>
    <w:rsid w:val="006C179D"/>
    <w:rsid w:val="006C2032"/>
    <w:rsid w:val="006C355A"/>
    <w:rsid w:val="006C39F0"/>
    <w:rsid w:val="006C4150"/>
    <w:rsid w:val="006C4BF4"/>
    <w:rsid w:val="006C4C7D"/>
    <w:rsid w:val="006C4E8C"/>
    <w:rsid w:val="006C5C1F"/>
    <w:rsid w:val="006C6327"/>
    <w:rsid w:val="006C64D4"/>
    <w:rsid w:val="006C6960"/>
    <w:rsid w:val="006C6B51"/>
    <w:rsid w:val="006C75E8"/>
    <w:rsid w:val="006C7C4D"/>
    <w:rsid w:val="006D041C"/>
    <w:rsid w:val="006D1EE2"/>
    <w:rsid w:val="006D26D7"/>
    <w:rsid w:val="006D315A"/>
    <w:rsid w:val="006D32DC"/>
    <w:rsid w:val="006D3D44"/>
    <w:rsid w:val="006D400D"/>
    <w:rsid w:val="006D435E"/>
    <w:rsid w:val="006D4B8C"/>
    <w:rsid w:val="006D54B2"/>
    <w:rsid w:val="006D5921"/>
    <w:rsid w:val="006D5B12"/>
    <w:rsid w:val="006D5E96"/>
    <w:rsid w:val="006D7923"/>
    <w:rsid w:val="006E07BC"/>
    <w:rsid w:val="006E1572"/>
    <w:rsid w:val="006E1995"/>
    <w:rsid w:val="006E1F99"/>
    <w:rsid w:val="006E2D43"/>
    <w:rsid w:val="006E380C"/>
    <w:rsid w:val="006E3C15"/>
    <w:rsid w:val="006E65F7"/>
    <w:rsid w:val="006E6CA7"/>
    <w:rsid w:val="006F00BA"/>
    <w:rsid w:val="006F057C"/>
    <w:rsid w:val="006F0EB3"/>
    <w:rsid w:val="006F1022"/>
    <w:rsid w:val="006F363A"/>
    <w:rsid w:val="006F36C3"/>
    <w:rsid w:val="006F37B1"/>
    <w:rsid w:val="006F3B61"/>
    <w:rsid w:val="006F40EA"/>
    <w:rsid w:val="006F51C0"/>
    <w:rsid w:val="006F51F2"/>
    <w:rsid w:val="006F67F6"/>
    <w:rsid w:val="006F6D0D"/>
    <w:rsid w:val="006F6EAD"/>
    <w:rsid w:val="006F6F9E"/>
    <w:rsid w:val="006F713E"/>
    <w:rsid w:val="006F76DF"/>
    <w:rsid w:val="006F7A04"/>
    <w:rsid w:val="007000C5"/>
    <w:rsid w:val="00700293"/>
    <w:rsid w:val="0070035E"/>
    <w:rsid w:val="0070073C"/>
    <w:rsid w:val="0070123B"/>
    <w:rsid w:val="00701827"/>
    <w:rsid w:val="0070209D"/>
    <w:rsid w:val="00702386"/>
    <w:rsid w:val="00702BD3"/>
    <w:rsid w:val="007033BA"/>
    <w:rsid w:val="00703736"/>
    <w:rsid w:val="00703C25"/>
    <w:rsid w:val="0070421F"/>
    <w:rsid w:val="007043BA"/>
    <w:rsid w:val="007044AA"/>
    <w:rsid w:val="007050F2"/>
    <w:rsid w:val="007053ED"/>
    <w:rsid w:val="007063F7"/>
    <w:rsid w:val="007065FC"/>
    <w:rsid w:val="00706C4C"/>
    <w:rsid w:val="00707B90"/>
    <w:rsid w:val="00710737"/>
    <w:rsid w:val="00711823"/>
    <w:rsid w:val="00711AA3"/>
    <w:rsid w:val="0071237E"/>
    <w:rsid w:val="00713446"/>
    <w:rsid w:val="00713FAA"/>
    <w:rsid w:val="00714924"/>
    <w:rsid w:val="00714C0F"/>
    <w:rsid w:val="00714EB6"/>
    <w:rsid w:val="007155D2"/>
    <w:rsid w:val="00715B4F"/>
    <w:rsid w:val="00716465"/>
    <w:rsid w:val="00716B34"/>
    <w:rsid w:val="00717712"/>
    <w:rsid w:val="00717978"/>
    <w:rsid w:val="00720043"/>
    <w:rsid w:val="0072015E"/>
    <w:rsid w:val="00721105"/>
    <w:rsid w:val="0072115E"/>
    <w:rsid w:val="00721E1F"/>
    <w:rsid w:val="0072255F"/>
    <w:rsid w:val="00722F02"/>
    <w:rsid w:val="00723518"/>
    <w:rsid w:val="007242A3"/>
    <w:rsid w:val="007248A3"/>
    <w:rsid w:val="00724B61"/>
    <w:rsid w:val="00725056"/>
    <w:rsid w:val="007253B1"/>
    <w:rsid w:val="00725E4E"/>
    <w:rsid w:val="007268EA"/>
    <w:rsid w:val="00726A51"/>
    <w:rsid w:val="00726B5B"/>
    <w:rsid w:val="00726D88"/>
    <w:rsid w:val="00727681"/>
    <w:rsid w:val="0073023F"/>
    <w:rsid w:val="007309FC"/>
    <w:rsid w:val="00730E87"/>
    <w:rsid w:val="00731313"/>
    <w:rsid w:val="007319DD"/>
    <w:rsid w:val="00731A5A"/>
    <w:rsid w:val="007341AE"/>
    <w:rsid w:val="00734D53"/>
    <w:rsid w:val="00735CEE"/>
    <w:rsid w:val="00737945"/>
    <w:rsid w:val="00737C1C"/>
    <w:rsid w:val="00737EF9"/>
    <w:rsid w:val="00740043"/>
    <w:rsid w:val="0074041D"/>
    <w:rsid w:val="00740AB8"/>
    <w:rsid w:val="00740E65"/>
    <w:rsid w:val="00741369"/>
    <w:rsid w:val="0074137A"/>
    <w:rsid w:val="007418CD"/>
    <w:rsid w:val="00741BC7"/>
    <w:rsid w:val="0074237E"/>
    <w:rsid w:val="00743144"/>
    <w:rsid w:val="007440FA"/>
    <w:rsid w:val="00744568"/>
    <w:rsid w:val="007452E5"/>
    <w:rsid w:val="0074553F"/>
    <w:rsid w:val="007457D3"/>
    <w:rsid w:val="00745B8A"/>
    <w:rsid w:val="00745CB4"/>
    <w:rsid w:val="00746F7D"/>
    <w:rsid w:val="00747328"/>
    <w:rsid w:val="007479D0"/>
    <w:rsid w:val="007504A1"/>
    <w:rsid w:val="007509AA"/>
    <w:rsid w:val="00750A8C"/>
    <w:rsid w:val="00750ADA"/>
    <w:rsid w:val="00751263"/>
    <w:rsid w:val="00751544"/>
    <w:rsid w:val="0075250E"/>
    <w:rsid w:val="00752532"/>
    <w:rsid w:val="00752DC7"/>
    <w:rsid w:val="0075312B"/>
    <w:rsid w:val="007536CA"/>
    <w:rsid w:val="00753C08"/>
    <w:rsid w:val="007547E7"/>
    <w:rsid w:val="00754F1D"/>
    <w:rsid w:val="00754F32"/>
    <w:rsid w:val="007551E0"/>
    <w:rsid w:val="0075616C"/>
    <w:rsid w:val="007569C7"/>
    <w:rsid w:val="00756C88"/>
    <w:rsid w:val="0075727D"/>
    <w:rsid w:val="007574C1"/>
    <w:rsid w:val="00757771"/>
    <w:rsid w:val="00757AB8"/>
    <w:rsid w:val="00757AED"/>
    <w:rsid w:val="0076036D"/>
    <w:rsid w:val="00760F0C"/>
    <w:rsid w:val="007621C0"/>
    <w:rsid w:val="00762902"/>
    <w:rsid w:val="00762A9E"/>
    <w:rsid w:val="00762CF5"/>
    <w:rsid w:val="00763529"/>
    <w:rsid w:val="00764ABA"/>
    <w:rsid w:val="00764CED"/>
    <w:rsid w:val="00764D3F"/>
    <w:rsid w:val="00764DE4"/>
    <w:rsid w:val="00764DFE"/>
    <w:rsid w:val="00764E80"/>
    <w:rsid w:val="00765C93"/>
    <w:rsid w:val="00765EA7"/>
    <w:rsid w:val="0076626B"/>
    <w:rsid w:val="0076659D"/>
    <w:rsid w:val="007672A2"/>
    <w:rsid w:val="00767463"/>
    <w:rsid w:val="00767DCA"/>
    <w:rsid w:val="00767DFE"/>
    <w:rsid w:val="00770713"/>
    <w:rsid w:val="00771891"/>
    <w:rsid w:val="00771A74"/>
    <w:rsid w:val="00771C76"/>
    <w:rsid w:val="007723FE"/>
    <w:rsid w:val="007729C1"/>
    <w:rsid w:val="00772C15"/>
    <w:rsid w:val="0077310A"/>
    <w:rsid w:val="007739FF"/>
    <w:rsid w:val="00773D58"/>
    <w:rsid w:val="00773E9B"/>
    <w:rsid w:val="0077415A"/>
    <w:rsid w:val="00774821"/>
    <w:rsid w:val="00774948"/>
    <w:rsid w:val="00774B2C"/>
    <w:rsid w:val="00775D13"/>
    <w:rsid w:val="007761AB"/>
    <w:rsid w:val="007764B5"/>
    <w:rsid w:val="007764CE"/>
    <w:rsid w:val="00776CCB"/>
    <w:rsid w:val="00777327"/>
    <w:rsid w:val="007779DE"/>
    <w:rsid w:val="00777DBB"/>
    <w:rsid w:val="007816F6"/>
    <w:rsid w:val="00781A82"/>
    <w:rsid w:val="00782F3E"/>
    <w:rsid w:val="00782F6D"/>
    <w:rsid w:val="007830A0"/>
    <w:rsid w:val="0078325D"/>
    <w:rsid w:val="00783ECB"/>
    <w:rsid w:val="0078428D"/>
    <w:rsid w:val="00784635"/>
    <w:rsid w:val="00784E1D"/>
    <w:rsid w:val="007850F4"/>
    <w:rsid w:val="00785591"/>
    <w:rsid w:val="00786194"/>
    <w:rsid w:val="007861BE"/>
    <w:rsid w:val="007864E5"/>
    <w:rsid w:val="00786C1F"/>
    <w:rsid w:val="0078727F"/>
    <w:rsid w:val="0078782B"/>
    <w:rsid w:val="007901CB"/>
    <w:rsid w:val="0079064E"/>
    <w:rsid w:val="00790D2D"/>
    <w:rsid w:val="0079198A"/>
    <w:rsid w:val="0079310D"/>
    <w:rsid w:val="0079356A"/>
    <w:rsid w:val="00793633"/>
    <w:rsid w:val="0079369D"/>
    <w:rsid w:val="007938D3"/>
    <w:rsid w:val="00794521"/>
    <w:rsid w:val="00794642"/>
    <w:rsid w:val="00795A41"/>
    <w:rsid w:val="00795CAA"/>
    <w:rsid w:val="00796882"/>
    <w:rsid w:val="00796A88"/>
    <w:rsid w:val="00796A9C"/>
    <w:rsid w:val="00796CCB"/>
    <w:rsid w:val="007975A0"/>
    <w:rsid w:val="0079799A"/>
    <w:rsid w:val="00797DD8"/>
    <w:rsid w:val="007A0257"/>
    <w:rsid w:val="007A0D30"/>
    <w:rsid w:val="007A105E"/>
    <w:rsid w:val="007A1DFC"/>
    <w:rsid w:val="007A253A"/>
    <w:rsid w:val="007A2D7A"/>
    <w:rsid w:val="007A2E23"/>
    <w:rsid w:val="007A3165"/>
    <w:rsid w:val="007A32A0"/>
    <w:rsid w:val="007A386B"/>
    <w:rsid w:val="007A48DB"/>
    <w:rsid w:val="007A5223"/>
    <w:rsid w:val="007A55A5"/>
    <w:rsid w:val="007A5C25"/>
    <w:rsid w:val="007A6378"/>
    <w:rsid w:val="007A69C0"/>
    <w:rsid w:val="007A6F87"/>
    <w:rsid w:val="007B02D7"/>
    <w:rsid w:val="007B0837"/>
    <w:rsid w:val="007B0CA7"/>
    <w:rsid w:val="007B2BF2"/>
    <w:rsid w:val="007B2D4A"/>
    <w:rsid w:val="007B2F2D"/>
    <w:rsid w:val="007B30A1"/>
    <w:rsid w:val="007B509D"/>
    <w:rsid w:val="007B5DF9"/>
    <w:rsid w:val="007B6C94"/>
    <w:rsid w:val="007B6D3B"/>
    <w:rsid w:val="007B7122"/>
    <w:rsid w:val="007B76D3"/>
    <w:rsid w:val="007B7755"/>
    <w:rsid w:val="007B7923"/>
    <w:rsid w:val="007C0D6E"/>
    <w:rsid w:val="007C0DEA"/>
    <w:rsid w:val="007C14CE"/>
    <w:rsid w:val="007C1532"/>
    <w:rsid w:val="007C1915"/>
    <w:rsid w:val="007C1930"/>
    <w:rsid w:val="007C1C4B"/>
    <w:rsid w:val="007C1FFF"/>
    <w:rsid w:val="007C2000"/>
    <w:rsid w:val="007C2232"/>
    <w:rsid w:val="007C2CDF"/>
    <w:rsid w:val="007C3DA8"/>
    <w:rsid w:val="007C6434"/>
    <w:rsid w:val="007C6C04"/>
    <w:rsid w:val="007C6EFE"/>
    <w:rsid w:val="007C758F"/>
    <w:rsid w:val="007C79A3"/>
    <w:rsid w:val="007C7EBD"/>
    <w:rsid w:val="007D05F0"/>
    <w:rsid w:val="007D1741"/>
    <w:rsid w:val="007D17B7"/>
    <w:rsid w:val="007D36EB"/>
    <w:rsid w:val="007D3818"/>
    <w:rsid w:val="007D3B98"/>
    <w:rsid w:val="007D436A"/>
    <w:rsid w:val="007D462C"/>
    <w:rsid w:val="007D4BB1"/>
    <w:rsid w:val="007D4C0D"/>
    <w:rsid w:val="007D4D3D"/>
    <w:rsid w:val="007D4E30"/>
    <w:rsid w:val="007D5710"/>
    <w:rsid w:val="007D62F3"/>
    <w:rsid w:val="007D631A"/>
    <w:rsid w:val="007D6492"/>
    <w:rsid w:val="007D697A"/>
    <w:rsid w:val="007D7059"/>
    <w:rsid w:val="007D72C8"/>
    <w:rsid w:val="007E067C"/>
    <w:rsid w:val="007E0C9B"/>
    <w:rsid w:val="007E0F96"/>
    <w:rsid w:val="007E1115"/>
    <w:rsid w:val="007E16CD"/>
    <w:rsid w:val="007E239F"/>
    <w:rsid w:val="007E2C40"/>
    <w:rsid w:val="007E3892"/>
    <w:rsid w:val="007E42A4"/>
    <w:rsid w:val="007E4628"/>
    <w:rsid w:val="007E4688"/>
    <w:rsid w:val="007E47B3"/>
    <w:rsid w:val="007E48C3"/>
    <w:rsid w:val="007E4AE5"/>
    <w:rsid w:val="007E4CB7"/>
    <w:rsid w:val="007E50DE"/>
    <w:rsid w:val="007E516C"/>
    <w:rsid w:val="007E56EE"/>
    <w:rsid w:val="007E5AAA"/>
    <w:rsid w:val="007E5D02"/>
    <w:rsid w:val="007E6284"/>
    <w:rsid w:val="007E6474"/>
    <w:rsid w:val="007E70D9"/>
    <w:rsid w:val="007E7C76"/>
    <w:rsid w:val="007F0165"/>
    <w:rsid w:val="007F0B50"/>
    <w:rsid w:val="007F0E4C"/>
    <w:rsid w:val="007F0F4A"/>
    <w:rsid w:val="007F1273"/>
    <w:rsid w:val="007F141D"/>
    <w:rsid w:val="007F1579"/>
    <w:rsid w:val="007F1AC1"/>
    <w:rsid w:val="007F21D6"/>
    <w:rsid w:val="007F2320"/>
    <w:rsid w:val="007F257D"/>
    <w:rsid w:val="007F2E36"/>
    <w:rsid w:val="007F3043"/>
    <w:rsid w:val="007F3418"/>
    <w:rsid w:val="007F401B"/>
    <w:rsid w:val="007F43DC"/>
    <w:rsid w:val="007F51D1"/>
    <w:rsid w:val="007F572D"/>
    <w:rsid w:val="007F5D55"/>
    <w:rsid w:val="007F61D3"/>
    <w:rsid w:val="007F6429"/>
    <w:rsid w:val="007F6570"/>
    <w:rsid w:val="007F7131"/>
    <w:rsid w:val="007F7A2A"/>
    <w:rsid w:val="0080114C"/>
    <w:rsid w:val="0080125B"/>
    <w:rsid w:val="008019A5"/>
    <w:rsid w:val="00801A7D"/>
    <w:rsid w:val="00801C54"/>
    <w:rsid w:val="00801F03"/>
    <w:rsid w:val="00802290"/>
    <w:rsid w:val="008026A9"/>
    <w:rsid w:val="00802B60"/>
    <w:rsid w:val="0080381E"/>
    <w:rsid w:val="008041E5"/>
    <w:rsid w:val="0080476D"/>
    <w:rsid w:val="008060F8"/>
    <w:rsid w:val="00806626"/>
    <w:rsid w:val="00806636"/>
    <w:rsid w:val="00806F2E"/>
    <w:rsid w:val="00806FA3"/>
    <w:rsid w:val="0080721F"/>
    <w:rsid w:val="008074E8"/>
    <w:rsid w:val="008075CA"/>
    <w:rsid w:val="00807B81"/>
    <w:rsid w:val="00807B92"/>
    <w:rsid w:val="00807F7A"/>
    <w:rsid w:val="00811762"/>
    <w:rsid w:val="00811926"/>
    <w:rsid w:val="0081229E"/>
    <w:rsid w:val="00812837"/>
    <w:rsid w:val="00813A9A"/>
    <w:rsid w:val="00814B5A"/>
    <w:rsid w:val="00814D0E"/>
    <w:rsid w:val="0081529B"/>
    <w:rsid w:val="00815ACD"/>
    <w:rsid w:val="0081636C"/>
    <w:rsid w:val="0081698A"/>
    <w:rsid w:val="008176CF"/>
    <w:rsid w:val="00817979"/>
    <w:rsid w:val="008220B8"/>
    <w:rsid w:val="008222D5"/>
    <w:rsid w:val="00823F04"/>
    <w:rsid w:val="00824615"/>
    <w:rsid w:val="00824ABB"/>
    <w:rsid w:val="008254B1"/>
    <w:rsid w:val="00825F7A"/>
    <w:rsid w:val="00826E50"/>
    <w:rsid w:val="008274A6"/>
    <w:rsid w:val="00827615"/>
    <w:rsid w:val="008277D5"/>
    <w:rsid w:val="0082781C"/>
    <w:rsid w:val="0083010F"/>
    <w:rsid w:val="00830411"/>
    <w:rsid w:val="00830F49"/>
    <w:rsid w:val="008318A4"/>
    <w:rsid w:val="00832473"/>
    <w:rsid w:val="00833184"/>
    <w:rsid w:val="00833544"/>
    <w:rsid w:val="00833602"/>
    <w:rsid w:val="00833833"/>
    <w:rsid w:val="00833C7C"/>
    <w:rsid w:val="00834120"/>
    <w:rsid w:val="00834207"/>
    <w:rsid w:val="00834318"/>
    <w:rsid w:val="00834A5F"/>
    <w:rsid w:val="00835025"/>
    <w:rsid w:val="00835589"/>
    <w:rsid w:val="00835F62"/>
    <w:rsid w:val="008362A7"/>
    <w:rsid w:val="00836AD5"/>
    <w:rsid w:val="00836ED4"/>
    <w:rsid w:val="0083728F"/>
    <w:rsid w:val="008373BA"/>
    <w:rsid w:val="00837B91"/>
    <w:rsid w:val="008401AF"/>
    <w:rsid w:val="00840D9D"/>
    <w:rsid w:val="00840E82"/>
    <w:rsid w:val="0084151E"/>
    <w:rsid w:val="00841D4D"/>
    <w:rsid w:val="00842E07"/>
    <w:rsid w:val="00842E6D"/>
    <w:rsid w:val="0084326C"/>
    <w:rsid w:val="00843B55"/>
    <w:rsid w:val="0084457D"/>
    <w:rsid w:val="00845013"/>
    <w:rsid w:val="00845979"/>
    <w:rsid w:val="00845B88"/>
    <w:rsid w:val="00845D52"/>
    <w:rsid w:val="00845F73"/>
    <w:rsid w:val="008461D5"/>
    <w:rsid w:val="008467C2"/>
    <w:rsid w:val="00846FF1"/>
    <w:rsid w:val="0084726D"/>
    <w:rsid w:val="00847730"/>
    <w:rsid w:val="0085035B"/>
    <w:rsid w:val="00850B9E"/>
    <w:rsid w:val="00850D45"/>
    <w:rsid w:val="0085187E"/>
    <w:rsid w:val="00851929"/>
    <w:rsid w:val="00851F23"/>
    <w:rsid w:val="00852086"/>
    <w:rsid w:val="008525DA"/>
    <w:rsid w:val="0085290E"/>
    <w:rsid w:val="00852C16"/>
    <w:rsid w:val="00853E9F"/>
    <w:rsid w:val="0085498A"/>
    <w:rsid w:val="00854D77"/>
    <w:rsid w:val="0085584B"/>
    <w:rsid w:val="00855DDD"/>
    <w:rsid w:val="008560B1"/>
    <w:rsid w:val="00856259"/>
    <w:rsid w:val="008568FC"/>
    <w:rsid w:val="008569AF"/>
    <w:rsid w:val="00856D9C"/>
    <w:rsid w:val="00856F94"/>
    <w:rsid w:val="00856FC5"/>
    <w:rsid w:val="00857151"/>
    <w:rsid w:val="00857D49"/>
    <w:rsid w:val="008612BA"/>
    <w:rsid w:val="008617CA"/>
    <w:rsid w:val="00861CA4"/>
    <w:rsid w:val="00862163"/>
    <w:rsid w:val="0086242B"/>
    <w:rsid w:val="008624FC"/>
    <w:rsid w:val="008628CD"/>
    <w:rsid w:val="0086299A"/>
    <w:rsid w:val="00862D1E"/>
    <w:rsid w:val="00863448"/>
    <w:rsid w:val="0086344E"/>
    <w:rsid w:val="00864603"/>
    <w:rsid w:val="008648C9"/>
    <w:rsid w:val="00864B28"/>
    <w:rsid w:val="00864F46"/>
    <w:rsid w:val="00865663"/>
    <w:rsid w:val="00865D82"/>
    <w:rsid w:val="00866485"/>
    <w:rsid w:val="008669F9"/>
    <w:rsid w:val="008670AC"/>
    <w:rsid w:val="008671DA"/>
    <w:rsid w:val="008673DA"/>
    <w:rsid w:val="00867F0E"/>
    <w:rsid w:val="00871854"/>
    <w:rsid w:val="008718BB"/>
    <w:rsid w:val="00871FEA"/>
    <w:rsid w:val="0087253B"/>
    <w:rsid w:val="0087256B"/>
    <w:rsid w:val="00872891"/>
    <w:rsid w:val="00872913"/>
    <w:rsid w:val="00872E20"/>
    <w:rsid w:val="008743CF"/>
    <w:rsid w:val="00874611"/>
    <w:rsid w:val="00874873"/>
    <w:rsid w:val="00874ABC"/>
    <w:rsid w:val="008754B6"/>
    <w:rsid w:val="00877097"/>
    <w:rsid w:val="00877BA4"/>
    <w:rsid w:val="00877E12"/>
    <w:rsid w:val="008805B6"/>
    <w:rsid w:val="00880615"/>
    <w:rsid w:val="008807BE"/>
    <w:rsid w:val="00880A6D"/>
    <w:rsid w:val="0088170F"/>
    <w:rsid w:val="008818B6"/>
    <w:rsid w:val="008821AE"/>
    <w:rsid w:val="008822DB"/>
    <w:rsid w:val="0088244B"/>
    <w:rsid w:val="008827ED"/>
    <w:rsid w:val="00883139"/>
    <w:rsid w:val="00883583"/>
    <w:rsid w:val="008838D0"/>
    <w:rsid w:val="00883B3B"/>
    <w:rsid w:val="0088461C"/>
    <w:rsid w:val="008847A7"/>
    <w:rsid w:val="00884A2D"/>
    <w:rsid w:val="00884E54"/>
    <w:rsid w:val="00885294"/>
    <w:rsid w:val="008858F3"/>
    <w:rsid w:val="00886BFA"/>
    <w:rsid w:val="0088711A"/>
    <w:rsid w:val="00887243"/>
    <w:rsid w:val="008874DF"/>
    <w:rsid w:val="008879C3"/>
    <w:rsid w:val="00890996"/>
    <w:rsid w:val="008912E9"/>
    <w:rsid w:val="00891630"/>
    <w:rsid w:val="00891E51"/>
    <w:rsid w:val="0089229C"/>
    <w:rsid w:val="00892AF5"/>
    <w:rsid w:val="00892E1A"/>
    <w:rsid w:val="00893314"/>
    <w:rsid w:val="0089374C"/>
    <w:rsid w:val="0089414B"/>
    <w:rsid w:val="00894253"/>
    <w:rsid w:val="00894BAE"/>
    <w:rsid w:val="00895E99"/>
    <w:rsid w:val="0089602E"/>
    <w:rsid w:val="00896232"/>
    <w:rsid w:val="00896F06"/>
    <w:rsid w:val="008971C4"/>
    <w:rsid w:val="00897328"/>
    <w:rsid w:val="008A02CE"/>
    <w:rsid w:val="008A0397"/>
    <w:rsid w:val="008A044C"/>
    <w:rsid w:val="008A068A"/>
    <w:rsid w:val="008A0BAE"/>
    <w:rsid w:val="008A11B0"/>
    <w:rsid w:val="008A1252"/>
    <w:rsid w:val="008A26D9"/>
    <w:rsid w:val="008A2A1B"/>
    <w:rsid w:val="008A3269"/>
    <w:rsid w:val="008A37B1"/>
    <w:rsid w:val="008A3B7A"/>
    <w:rsid w:val="008A5A0B"/>
    <w:rsid w:val="008A5BA2"/>
    <w:rsid w:val="008A6C08"/>
    <w:rsid w:val="008A76BE"/>
    <w:rsid w:val="008B0DA3"/>
    <w:rsid w:val="008B0F5F"/>
    <w:rsid w:val="008B142D"/>
    <w:rsid w:val="008B253C"/>
    <w:rsid w:val="008B28EE"/>
    <w:rsid w:val="008B29E8"/>
    <w:rsid w:val="008B4D1C"/>
    <w:rsid w:val="008B566E"/>
    <w:rsid w:val="008B56AF"/>
    <w:rsid w:val="008B63C7"/>
    <w:rsid w:val="008B6686"/>
    <w:rsid w:val="008B6DAE"/>
    <w:rsid w:val="008B6F5D"/>
    <w:rsid w:val="008B6FB0"/>
    <w:rsid w:val="008B769B"/>
    <w:rsid w:val="008B7786"/>
    <w:rsid w:val="008B79A9"/>
    <w:rsid w:val="008C002C"/>
    <w:rsid w:val="008C0493"/>
    <w:rsid w:val="008C06B6"/>
    <w:rsid w:val="008C0D7A"/>
    <w:rsid w:val="008C1F4C"/>
    <w:rsid w:val="008C1F81"/>
    <w:rsid w:val="008C1FF8"/>
    <w:rsid w:val="008C2BEF"/>
    <w:rsid w:val="008C35B6"/>
    <w:rsid w:val="008C492F"/>
    <w:rsid w:val="008C4F41"/>
    <w:rsid w:val="008C55F4"/>
    <w:rsid w:val="008C5C48"/>
    <w:rsid w:val="008C5D13"/>
    <w:rsid w:val="008C5E61"/>
    <w:rsid w:val="008C65E3"/>
    <w:rsid w:val="008C6B07"/>
    <w:rsid w:val="008C6C3C"/>
    <w:rsid w:val="008C6E07"/>
    <w:rsid w:val="008C7092"/>
    <w:rsid w:val="008C70A4"/>
    <w:rsid w:val="008C72BE"/>
    <w:rsid w:val="008C7324"/>
    <w:rsid w:val="008D02BA"/>
    <w:rsid w:val="008D04DA"/>
    <w:rsid w:val="008D0DE9"/>
    <w:rsid w:val="008D0FA2"/>
    <w:rsid w:val="008D0FBC"/>
    <w:rsid w:val="008D341E"/>
    <w:rsid w:val="008D3537"/>
    <w:rsid w:val="008D3871"/>
    <w:rsid w:val="008D3F7E"/>
    <w:rsid w:val="008D4278"/>
    <w:rsid w:val="008D5031"/>
    <w:rsid w:val="008D5385"/>
    <w:rsid w:val="008D5BAF"/>
    <w:rsid w:val="008D60E7"/>
    <w:rsid w:val="008D7413"/>
    <w:rsid w:val="008D7449"/>
    <w:rsid w:val="008D747D"/>
    <w:rsid w:val="008D7670"/>
    <w:rsid w:val="008D77CD"/>
    <w:rsid w:val="008E0249"/>
    <w:rsid w:val="008E1B12"/>
    <w:rsid w:val="008E244C"/>
    <w:rsid w:val="008E2E40"/>
    <w:rsid w:val="008E354A"/>
    <w:rsid w:val="008E3763"/>
    <w:rsid w:val="008E3C41"/>
    <w:rsid w:val="008E4992"/>
    <w:rsid w:val="008E4F73"/>
    <w:rsid w:val="008E550D"/>
    <w:rsid w:val="008E5A7F"/>
    <w:rsid w:val="008E5E90"/>
    <w:rsid w:val="008E60CE"/>
    <w:rsid w:val="008E614A"/>
    <w:rsid w:val="008E6BC8"/>
    <w:rsid w:val="008E6EBB"/>
    <w:rsid w:val="008E7190"/>
    <w:rsid w:val="008E7372"/>
    <w:rsid w:val="008E785C"/>
    <w:rsid w:val="008E7D07"/>
    <w:rsid w:val="008E7EC2"/>
    <w:rsid w:val="008F03FA"/>
    <w:rsid w:val="008F0875"/>
    <w:rsid w:val="008F0AAC"/>
    <w:rsid w:val="008F1ABF"/>
    <w:rsid w:val="008F1C16"/>
    <w:rsid w:val="008F1C86"/>
    <w:rsid w:val="008F1EF3"/>
    <w:rsid w:val="008F27D2"/>
    <w:rsid w:val="008F28F7"/>
    <w:rsid w:val="008F2E98"/>
    <w:rsid w:val="008F3087"/>
    <w:rsid w:val="008F320F"/>
    <w:rsid w:val="008F3290"/>
    <w:rsid w:val="008F346F"/>
    <w:rsid w:val="008F4368"/>
    <w:rsid w:val="008F4970"/>
    <w:rsid w:val="008F5122"/>
    <w:rsid w:val="008F518D"/>
    <w:rsid w:val="008F670E"/>
    <w:rsid w:val="008F69C4"/>
    <w:rsid w:val="008F69FA"/>
    <w:rsid w:val="008F6D35"/>
    <w:rsid w:val="008F6F1D"/>
    <w:rsid w:val="008F7B6E"/>
    <w:rsid w:val="008F7F56"/>
    <w:rsid w:val="00900C4D"/>
    <w:rsid w:val="00901F58"/>
    <w:rsid w:val="009027EF"/>
    <w:rsid w:val="00903665"/>
    <w:rsid w:val="0090449B"/>
    <w:rsid w:val="0090517E"/>
    <w:rsid w:val="00905248"/>
    <w:rsid w:val="0090525B"/>
    <w:rsid w:val="009054BF"/>
    <w:rsid w:val="00905A77"/>
    <w:rsid w:val="00905DCA"/>
    <w:rsid w:val="0090678A"/>
    <w:rsid w:val="009073BE"/>
    <w:rsid w:val="009073C0"/>
    <w:rsid w:val="00907CAD"/>
    <w:rsid w:val="00910433"/>
    <w:rsid w:val="00910A27"/>
    <w:rsid w:val="00910D20"/>
    <w:rsid w:val="0091106A"/>
    <w:rsid w:val="00911125"/>
    <w:rsid w:val="0091118E"/>
    <w:rsid w:val="00911D55"/>
    <w:rsid w:val="00912341"/>
    <w:rsid w:val="0091234C"/>
    <w:rsid w:val="0091250B"/>
    <w:rsid w:val="009128B2"/>
    <w:rsid w:val="009128CE"/>
    <w:rsid w:val="00912ADB"/>
    <w:rsid w:val="00912C90"/>
    <w:rsid w:val="00912E2E"/>
    <w:rsid w:val="00912FE4"/>
    <w:rsid w:val="00913720"/>
    <w:rsid w:val="00913D9F"/>
    <w:rsid w:val="009140E9"/>
    <w:rsid w:val="00916414"/>
    <w:rsid w:val="00916CF6"/>
    <w:rsid w:val="0091707B"/>
    <w:rsid w:val="009202D8"/>
    <w:rsid w:val="009203F5"/>
    <w:rsid w:val="00920D23"/>
    <w:rsid w:val="00921D51"/>
    <w:rsid w:val="00921DAA"/>
    <w:rsid w:val="00922995"/>
    <w:rsid w:val="00922BB9"/>
    <w:rsid w:val="00922F24"/>
    <w:rsid w:val="009237B6"/>
    <w:rsid w:val="00923937"/>
    <w:rsid w:val="00923A4E"/>
    <w:rsid w:val="00923B2E"/>
    <w:rsid w:val="00923C14"/>
    <w:rsid w:val="00923E14"/>
    <w:rsid w:val="00924531"/>
    <w:rsid w:val="00924723"/>
    <w:rsid w:val="00924A83"/>
    <w:rsid w:val="00925DB5"/>
    <w:rsid w:val="009267F6"/>
    <w:rsid w:val="00926CC7"/>
    <w:rsid w:val="00926E5B"/>
    <w:rsid w:val="009275FF"/>
    <w:rsid w:val="00927650"/>
    <w:rsid w:val="009277F4"/>
    <w:rsid w:val="009279A9"/>
    <w:rsid w:val="0093064D"/>
    <w:rsid w:val="00930A8F"/>
    <w:rsid w:val="00930E4F"/>
    <w:rsid w:val="009310FA"/>
    <w:rsid w:val="00931254"/>
    <w:rsid w:val="00931D41"/>
    <w:rsid w:val="00932381"/>
    <w:rsid w:val="009335CE"/>
    <w:rsid w:val="009338B5"/>
    <w:rsid w:val="009338E4"/>
    <w:rsid w:val="00934229"/>
    <w:rsid w:val="00934546"/>
    <w:rsid w:val="0093490F"/>
    <w:rsid w:val="0093491E"/>
    <w:rsid w:val="00934A11"/>
    <w:rsid w:val="00935BE5"/>
    <w:rsid w:val="009361C3"/>
    <w:rsid w:val="00936749"/>
    <w:rsid w:val="0093728C"/>
    <w:rsid w:val="009374A8"/>
    <w:rsid w:val="00937795"/>
    <w:rsid w:val="009378A8"/>
    <w:rsid w:val="009378C6"/>
    <w:rsid w:val="00937E85"/>
    <w:rsid w:val="00940B76"/>
    <w:rsid w:val="009410BE"/>
    <w:rsid w:val="00941328"/>
    <w:rsid w:val="00942688"/>
    <w:rsid w:val="0094280A"/>
    <w:rsid w:val="00942A53"/>
    <w:rsid w:val="00943BC0"/>
    <w:rsid w:val="0094421A"/>
    <w:rsid w:val="0094456F"/>
    <w:rsid w:val="00945116"/>
    <w:rsid w:val="009453F8"/>
    <w:rsid w:val="009461AB"/>
    <w:rsid w:val="00946D66"/>
    <w:rsid w:val="009476A1"/>
    <w:rsid w:val="00947948"/>
    <w:rsid w:val="009479B1"/>
    <w:rsid w:val="00947C1E"/>
    <w:rsid w:val="00950047"/>
    <w:rsid w:val="0095005C"/>
    <w:rsid w:val="00950CBB"/>
    <w:rsid w:val="00950D51"/>
    <w:rsid w:val="00950F58"/>
    <w:rsid w:val="009514B4"/>
    <w:rsid w:val="00951F55"/>
    <w:rsid w:val="009521AD"/>
    <w:rsid w:val="00952438"/>
    <w:rsid w:val="00952C23"/>
    <w:rsid w:val="00952F8A"/>
    <w:rsid w:val="009533C8"/>
    <w:rsid w:val="00954029"/>
    <w:rsid w:val="0095404C"/>
    <w:rsid w:val="00954AC6"/>
    <w:rsid w:val="009566B5"/>
    <w:rsid w:val="009566BD"/>
    <w:rsid w:val="009567F8"/>
    <w:rsid w:val="00956B51"/>
    <w:rsid w:val="009570C1"/>
    <w:rsid w:val="009609EF"/>
    <w:rsid w:val="0096186F"/>
    <w:rsid w:val="00961A93"/>
    <w:rsid w:val="009622BF"/>
    <w:rsid w:val="00962BBD"/>
    <w:rsid w:val="009633C3"/>
    <w:rsid w:val="00964BF7"/>
    <w:rsid w:val="00964E38"/>
    <w:rsid w:val="00965466"/>
    <w:rsid w:val="00965AD4"/>
    <w:rsid w:val="00965C7E"/>
    <w:rsid w:val="00966186"/>
    <w:rsid w:val="009661E0"/>
    <w:rsid w:val="00966B02"/>
    <w:rsid w:val="00966DDB"/>
    <w:rsid w:val="00967EC7"/>
    <w:rsid w:val="0097086C"/>
    <w:rsid w:val="00970D80"/>
    <w:rsid w:val="00971033"/>
    <w:rsid w:val="0097148C"/>
    <w:rsid w:val="00971558"/>
    <w:rsid w:val="009718D6"/>
    <w:rsid w:val="00971B91"/>
    <w:rsid w:val="00971C2F"/>
    <w:rsid w:val="00972335"/>
    <w:rsid w:val="009724B4"/>
    <w:rsid w:val="00972B7E"/>
    <w:rsid w:val="00973592"/>
    <w:rsid w:val="00973FEA"/>
    <w:rsid w:val="0097435B"/>
    <w:rsid w:val="00974496"/>
    <w:rsid w:val="00974BA0"/>
    <w:rsid w:val="00975053"/>
    <w:rsid w:val="0097519E"/>
    <w:rsid w:val="00975AD6"/>
    <w:rsid w:val="00975C77"/>
    <w:rsid w:val="00976329"/>
    <w:rsid w:val="0097649A"/>
    <w:rsid w:val="009769B5"/>
    <w:rsid w:val="009769EF"/>
    <w:rsid w:val="00976DC2"/>
    <w:rsid w:val="00977A32"/>
    <w:rsid w:val="00977C27"/>
    <w:rsid w:val="00980147"/>
    <w:rsid w:val="009804A1"/>
    <w:rsid w:val="00981F23"/>
    <w:rsid w:val="00982AE6"/>
    <w:rsid w:val="009831DB"/>
    <w:rsid w:val="0098460E"/>
    <w:rsid w:val="00984775"/>
    <w:rsid w:val="00984915"/>
    <w:rsid w:val="009849CA"/>
    <w:rsid w:val="00984B04"/>
    <w:rsid w:val="00984B4C"/>
    <w:rsid w:val="00985647"/>
    <w:rsid w:val="00985A38"/>
    <w:rsid w:val="00986120"/>
    <w:rsid w:val="0098643F"/>
    <w:rsid w:val="00986C78"/>
    <w:rsid w:val="0098759E"/>
    <w:rsid w:val="0098768C"/>
    <w:rsid w:val="00987B74"/>
    <w:rsid w:val="00990ED3"/>
    <w:rsid w:val="00991393"/>
    <w:rsid w:val="00992176"/>
    <w:rsid w:val="009925A4"/>
    <w:rsid w:val="0099334D"/>
    <w:rsid w:val="00993912"/>
    <w:rsid w:val="00993FF7"/>
    <w:rsid w:val="009948BA"/>
    <w:rsid w:val="0099515B"/>
    <w:rsid w:val="009951FE"/>
    <w:rsid w:val="009955B8"/>
    <w:rsid w:val="009955F7"/>
    <w:rsid w:val="009959BF"/>
    <w:rsid w:val="00995C3F"/>
    <w:rsid w:val="00995F3B"/>
    <w:rsid w:val="009970ED"/>
    <w:rsid w:val="0099753F"/>
    <w:rsid w:val="0099760F"/>
    <w:rsid w:val="00997AC2"/>
    <w:rsid w:val="00997CF7"/>
    <w:rsid w:val="009A0616"/>
    <w:rsid w:val="009A0A83"/>
    <w:rsid w:val="009A0B90"/>
    <w:rsid w:val="009A0C59"/>
    <w:rsid w:val="009A1373"/>
    <w:rsid w:val="009A1868"/>
    <w:rsid w:val="009A2393"/>
    <w:rsid w:val="009A2A93"/>
    <w:rsid w:val="009A2BAF"/>
    <w:rsid w:val="009A2C00"/>
    <w:rsid w:val="009A3556"/>
    <w:rsid w:val="009A38DE"/>
    <w:rsid w:val="009A3EB1"/>
    <w:rsid w:val="009A5065"/>
    <w:rsid w:val="009A52D4"/>
    <w:rsid w:val="009A5A5E"/>
    <w:rsid w:val="009A5B14"/>
    <w:rsid w:val="009A6FDA"/>
    <w:rsid w:val="009A70E5"/>
    <w:rsid w:val="009A757B"/>
    <w:rsid w:val="009A78F1"/>
    <w:rsid w:val="009B0064"/>
    <w:rsid w:val="009B024A"/>
    <w:rsid w:val="009B22A7"/>
    <w:rsid w:val="009B2E5A"/>
    <w:rsid w:val="009B365F"/>
    <w:rsid w:val="009B366D"/>
    <w:rsid w:val="009B3934"/>
    <w:rsid w:val="009B410C"/>
    <w:rsid w:val="009B421E"/>
    <w:rsid w:val="009B483A"/>
    <w:rsid w:val="009B488F"/>
    <w:rsid w:val="009B4F37"/>
    <w:rsid w:val="009B4F6B"/>
    <w:rsid w:val="009B5882"/>
    <w:rsid w:val="009B5919"/>
    <w:rsid w:val="009B5930"/>
    <w:rsid w:val="009B5AA1"/>
    <w:rsid w:val="009B5C9E"/>
    <w:rsid w:val="009B64EB"/>
    <w:rsid w:val="009B661E"/>
    <w:rsid w:val="009B6C37"/>
    <w:rsid w:val="009B7E1C"/>
    <w:rsid w:val="009B7ECA"/>
    <w:rsid w:val="009C01C5"/>
    <w:rsid w:val="009C0234"/>
    <w:rsid w:val="009C06CB"/>
    <w:rsid w:val="009C07DD"/>
    <w:rsid w:val="009C0D26"/>
    <w:rsid w:val="009C1A20"/>
    <w:rsid w:val="009C2511"/>
    <w:rsid w:val="009C2528"/>
    <w:rsid w:val="009C26A6"/>
    <w:rsid w:val="009C567A"/>
    <w:rsid w:val="009C6151"/>
    <w:rsid w:val="009C749D"/>
    <w:rsid w:val="009C74F7"/>
    <w:rsid w:val="009D01AC"/>
    <w:rsid w:val="009D0325"/>
    <w:rsid w:val="009D0C1C"/>
    <w:rsid w:val="009D11C6"/>
    <w:rsid w:val="009D148F"/>
    <w:rsid w:val="009D2503"/>
    <w:rsid w:val="009D2CA4"/>
    <w:rsid w:val="009D2ED0"/>
    <w:rsid w:val="009D30F2"/>
    <w:rsid w:val="009D3606"/>
    <w:rsid w:val="009D37E4"/>
    <w:rsid w:val="009D3B28"/>
    <w:rsid w:val="009D3C41"/>
    <w:rsid w:val="009D44E3"/>
    <w:rsid w:val="009D561D"/>
    <w:rsid w:val="009D5A03"/>
    <w:rsid w:val="009D6492"/>
    <w:rsid w:val="009D6883"/>
    <w:rsid w:val="009D6A67"/>
    <w:rsid w:val="009D6E32"/>
    <w:rsid w:val="009D7C64"/>
    <w:rsid w:val="009E0425"/>
    <w:rsid w:val="009E07BA"/>
    <w:rsid w:val="009E139F"/>
    <w:rsid w:val="009E23F1"/>
    <w:rsid w:val="009E255B"/>
    <w:rsid w:val="009E3F98"/>
    <w:rsid w:val="009E43A5"/>
    <w:rsid w:val="009E4796"/>
    <w:rsid w:val="009E4AFB"/>
    <w:rsid w:val="009E5837"/>
    <w:rsid w:val="009E5AB9"/>
    <w:rsid w:val="009E5BA7"/>
    <w:rsid w:val="009E66A4"/>
    <w:rsid w:val="009E7265"/>
    <w:rsid w:val="009E77F0"/>
    <w:rsid w:val="009F052B"/>
    <w:rsid w:val="009F0773"/>
    <w:rsid w:val="009F0ABB"/>
    <w:rsid w:val="009F0D62"/>
    <w:rsid w:val="009F1479"/>
    <w:rsid w:val="009F17D5"/>
    <w:rsid w:val="009F181A"/>
    <w:rsid w:val="009F18B2"/>
    <w:rsid w:val="009F1C4A"/>
    <w:rsid w:val="009F2763"/>
    <w:rsid w:val="009F286B"/>
    <w:rsid w:val="009F38B4"/>
    <w:rsid w:val="009F455D"/>
    <w:rsid w:val="009F5348"/>
    <w:rsid w:val="009F603F"/>
    <w:rsid w:val="009F60B2"/>
    <w:rsid w:val="009F66E9"/>
    <w:rsid w:val="009F6F1A"/>
    <w:rsid w:val="009F7125"/>
    <w:rsid w:val="009F7867"/>
    <w:rsid w:val="00A0067A"/>
    <w:rsid w:val="00A0085E"/>
    <w:rsid w:val="00A00F59"/>
    <w:rsid w:val="00A015C9"/>
    <w:rsid w:val="00A02B32"/>
    <w:rsid w:val="00A02BC3"/>
    <w:rsid w:val="00A02F1E"/>
    <w:rsid w:val="00A0352E"/>
    <w:rsid w:val="00A03551"/>
    <w:rsid w:val="00A03B3E"/>
    <w:rsid w:val="00A03DD0"/>
    <w:rsid w:val="00A04074"/>
    <w:rsid w:val="00A041C1"/>
    <w:rsid w:val="00A042E8"/>
    <w:rsid w:val="00A044BE"/>
    <w:rsid w:val="00A05B3A"/>
    <w:rsid w:val="00A0612C"/>
    <w:rsid w:val="00A063E1"/>
    <w:rsid w:val="00A06ACA"/>
    <w:rsid w:val="00A07624"/>
    <w:rsid w:val="00A0764A"/>
    <w:rsid w:val="00A07A26"/>
    <w:rsid w:val="00A07AF8"/>
    <w:rsid w:val="00A07B8F"/>
    <w:rsid w:val="00A07E91"/>
    <w:rsid w:val="00A10690"/>
    <w:rsid w:val="00A11549"/>
    <w:rsid w:val="00A1155E"/>
    <w:rsid w:val="00A11B47"/>
    <w:rsid w:val="00A123D5"/>
    <w:rsid w:val="00A12531"/>
    <w:rsid w:val="00A12626"/>
    <w:rsid w:val="00A12D54"/>
    <w:rsid w:val="00A143B6"/>
    <w:rsid w:val="00A14410"/>
    <w:rsid w:val="00A14E48"/>
    <w:rsid w:val="00A159A9"/>
    <w:rsid w:val="00A15C99"/>
    <w:rsid w:val="00A15CBB"/>
    <w:rsid w:val="00A16596"/>
    <w:rsid w:val="00A16ED4"/>
    <w:rsid w:val="00A17B16"/>
    <w:rsid w:val="00A17CE8"/>
    <w:rsid w:val="00A207CA"/>
    <w:rsid w:val="00A20A9D"/>
    <w:rsid w:val="00A21843"/>
    <w:rsid w:val="00A21BD0"/>
    <w:rsid w:val="00A229D2"/>
    <w:rsid w:val="00A22D43"/>
    <w:rsid w:val="00A23E91"/>
    <w:rsid w:val="00A24C8F"/>
    <w:rsid w:val="00A24CF8"/>
    <w:rsid w:val="00A25560"/>
    <w:rsid w:val="00A255D6"/>
    <w:rsid w:val="00A25760"/>
    <w:rsid w:val="00A257CC"/>
    <w:rsid w:val="00A25FA8"/>
    <w:rsid w:val="00A26C77"/>
    <w:rsid w:val="00A26CBC"/>
    <w:rsid w:val="00A26E48"/>
    <w:rsid w:val="00A272F6"/>
    <w:rsid w:val="00A30211"/>
    <w:rsid w:val="00A312C9"/>
    <w:rsid w:val="00A323E5"/>
    <w:rsid w:val="00A328ED"/>
    <w:rsid w:val="00A33F1D"/>
    <w:rsid w:val="00A34924"/>
    <w:rsid w:val="00A34D18"/>
    <w:rsid w:val="00A35234"/>
    <w:rsid w:val="00A3535E"/>
    <w:rsid w:val="00A3597B"/>
    <w:rsid w:val="00A359D4"/>
    <w:rsid w:val="00A35F7F"/>
    <w:rsid w:val="00A365A6"/>
    <w:rsid w:val="00A36A66"/>
    <w:rsid w:val="00A36E58"/>
    <w:rsid w:val="00A375AC"/>
    <w:rsid w:val="00A376BC"/>
    <w:rsid w:val="00A378A7"/>
    <w:rsid w:val="00A37F78"/>
    <w:rsid w:val="00A4067A"/>
    <w:rsid w:val="00A40C96"/>
    <w:rsid w:val="00A40F7C"/>
    <w:rsid w:val="00A4116B"/>
    <w:rsid w:val="00A41AD2"/>
    <w:rsid w:val="00A41B9F"/>
    <w:rsid w:val="00A41CD5"/>
    <w:rsid w:val="00A42109"/>
    <w:rsid w:val="00A4234F"/>
    <w:rsid w:val="00A423CD"/>
    <w:rsid w:val="00A4251E"/>
    <w:rsid w:val="00A42549"/>
    <w:rsid w:val="00A43F2E"/>
    <w:rsid w:val="00A447D2"/>
    <w:rsid w:val="00A44F78"/>
    <w:rsid w:val="00A45700"/>
    <w:rsid w:val="00A45C89"/>
    <w:rsid w:val="00A45DC1"/>
    <w:rsid w:val="00A45F2F"/>
    <w:rsid w:val="00A468C0"/>
    <w:rsid w:val="00A471D5"/>
    <w:rsid w:val="00A504DE"/>
    <w:rsid w:val="00A5050C"/>
    <w:rsid w:val="00A51150"/>
    <w:rsid w:val="00A521E7"/>
    <w:rsid w:val="00A522EC"/>
    <w:rsid w:val="00A523CE"/>
    <w:rsid w:val="00A525EE"/>
    <w:rsid w:val="00A53064"/>
    <w:rsid w:val="00A541BC"/>
    <w:rsid w:val="00A543B8"/>
    <w:rsid w:val="00A54586"/>
    <w:rsid w:val="00A54D82"/>
    <w:rsid w:val="00A55357"/>
    <w:rsid w:val="00A5628B"/>
    <w:rsid w:val="00A563C0"/>
    <w:rsid w:val="00A5649E"/>
    <w:rsid w:val="00A56B4D"/>
    <w:rsid w:val="00A5732B"/>
    <w:rsid w:val="00A573A4"/>
    <w:rsid w:val="00A573B0"/>
    <w:rsid w:val="00A57608"/>
    <w:rsid w:val="00A578C3"/>
    <w:rsid w:val="00A60285"/>
    <w:rsid w:val="00A604B3"/>
    <w:rsid w:val="00A60A4A"/>
    <w:rsid w:val="00A61982"/>
    <w:rsid w:val="00A62327"/>
    <w:rsid w:val="00A62C65"/>
    <w:rsid w:val="00A632E0"/>
    <w:rsid w:val="00A64871"/>
    <w:rsid w:val="00A64ACA"/>
    <w:rsid w:val="00A64BAA"/>
    <w:rsid w:val="00A64FD3"/>
    <w:rsid w:val="00A654C5"/>
    <w:rsid w:val="00A66DB4"/>
    <w:rsid w:val="00A672E7"/>
    <w:rsid w:val="00A674CF"/>
    <w:rsid w:val="00A67B67"/>
    <w:rsid w:val="00A701A5"/>
    <w:rsid w:val="00A70217"/>
    <w:rsid w:val="00A70506"/>
    <w:rsid w:val="00A70607"/>
    <w:rsid w:val="00A707BB"/>
    <w:rsid w:val="00A721A1"/>
    <w:rsid w:val="00A72553"/>
    <w:rsid w:val="00A73267"/>
    <w:rsid w:val="00A735D1"/>
    <w:rsid w:val="00A74543"/>
    <w:rsid w:val="00A74841"/>
    <w:rsid w:val="00A74AC1"/>
    <w:rsid w:val="00A74B40"/>
    <w:rsid w:val="00A7596C"/>
    <w:rsid w:val="00A75B4D"/>
    <w:rsid w:val="00A75B50"/>
    <w:rsid w:val="00A75CA9"/>
    <w:rsid w:val="00A760A1"/>
    <w:rsid w:val="00A763B6"/>
    <w:rsid w:val="00A7649D"/>
    <w:rsid w:val="00A767E8"/>
    <w:rsid w:val="00A76C81"/>
    <w:rsid w:val="00A779C6"/>
    <w:rsid w:val="00A77A01"/>
    <w:rsid w:val="00A81563"/>
    <w:rsid w:val="00A81653"/>
    <w:rsid w:val="00A82373"/>
    <w:rsid w:val="00A832F0"/>
    <w:rsid w:val="00A83D81"/>
    <w:rsid w:val="00A84236"/>
    <w:rsid w:val="00A84C3D"/>
    <w:rsid w:val="00A859B3"/>
    <w:rsid w:val="00A8642C"/>
    <w:rsid w:val="00A86B09"/>
    <w:rsid w:val="00A86EAB"/>
    <w:rsid w:val="00A876C4"/>
    <w:rsid w:val="00A9066F"/>
    <w:rsid w:val="00A90B77"/>
    <w:rsid w:val="00A90C9A"/>
    <w:rsid w:val="00A90EA1"/>
    <w:rsid w:val="00A91E3F"/>
    <w:rsid w:val="00A939D2"/>
    <w:rsid w:val="00A94CD4"/>
    <w:rsid w:val="00A94E29"/>
    <w:rsid w:val="00A95538"/>
    <w:rsid w:val="00A9569B"/>
    <w:rsid w:val="00A95A5B"/>
    <w:rsid w:val="00A95B7D"/>
    <w:rsid w:val="00A95B94"/>
    <w:rsid w:val="00A96CC9"/>
    <w:rsid w:val="00A96CD5"/>
    <w:rsid w:val="00A96E0A"/>
    <w:rsid w:val="00A97C7E"/>
    <w:rsid w:val="00A97DAE"/>
    <w:rsid w:val="00AA0344"/>
    <w:rsid w:val="00AA0B9E"/>
    <w:rsid w:val="00AA1128"/>
    <w:rsid w:val="00AA16D7"/>
    <w:rsid w:val="00AA22F2"/>
    <w:rsid w:val="00AA2CDF"/>
    <w:rsid w:val="00AA393A"/>
    <w:rsid w:val="00AA3B5E"/>
    <w:rsid w:val="00AA3BDD"/>
    <w:rsid w:val="00AA5126"/>
    <w:rsid w:val="00AA5183"/>
    <w:rsid w:val="00AA599F"/>
    <w:rsid w:val="00AA7016"/>
    <w:rsid w:val="00AA7022"/>
    <w:rsid w:val="00AA75B9"/>
    <w:rsid w:val="00AA7627"/>
    <w:rsid w:val="00AA76E6"/>
    <w:rsid w:val="00AB0178"/>
    <w:rsid w:val="00AB096E"/>
    <w:rsid w:val="00AB1428"/>
    <w:rsid w:val="00AB1B17"/>
    <w:rsid w:val="00AB1D77"/>
    <w:rsid w:val="00AB1D89"/>
    <w:rsid w:val="00AB20E2"/>
    <w:rsid w:val="00AB233A"/>
    <w:rsid w:val="00AB3120"/>
    <w:rsid w:val="00AB50CF"/>
    <w:rsid w:val="00AB5185"/>
    <w:rsid w:val="00AB5981"/>
    <w:rsid w:val="00AB6042"/>
    <w:rsid w:val="00AB6507"/>
    <w:rsid w:val="00AB7B26"/>
    <w:rsid w:val="00AB7BC6"/>
    <w:rsid w:val="00AC177F"/>
    <w:rsid w:val="00AC19CA"/>
    <w:rsid w:val="00AC2651"/>
    <w:rsid w:val="00AC267A"/>
    <w:rsid w:val="00AC30CC"/>
    <w:rsid w:val="00AC3955"/>
    <w:rsid w:val="00AC4EA5"/>
    <w:rsid w:val="00AC533D"/>
    <w:rsid w:val="00AC6022"/>
    <w:rsid w:val="00AC674E"/>
    <w:rsid w:val="00AC6A86"/>
    <w:rsid w:val="00AD04FA"/>
    <w:rsid w:val="00AD093A"/>
    <w:rsid w:val="00AD0AAE"/>
    <w:rsid w:val="00AD0DE4"/>
    <w:rsid w:val="00AD1D14"/>
    <w:rsid w:val="00AD298A"/>
    <w:rsid w:val="00AD2D61"/>
    <w:rsid w:val="00AD36E8"/>
    <w:rsid w:val="00AD453F"/>
    <w:rsid w:val="00AD5CF6"/>
    <w:rsid w:val="00AD617D"/>
    <w:rsid w:val="00AD6516"/>
    <w:rsid w:val="00AE1480"/>
    <w:rsid w:val="00AE1AB6"/>
    <w:rsid w:val="00AE2A2A"/>
    <w:rsid w:val="00AE2AF7"/>
    <w:rsid w:val="00AE2CDD"/>
    <w:rsid w:val="00AE30BD"/>
    <w:rsid w:val="00AE39DA"/>
    <w:rsid w:val="00AE468B"/>
    <w:rsid w:val="00AE4C02"/>
    <w:rsid w:val="00AE5008"/>
    <w:rsid w:val="00AE5BBE"/>
    <w:rsid w:val="00AE5F19"/>
    <w:rsid w:val="00AE637A"/>
    <w:rsid w:val="00AE6DD6"/>
    <w:rsid w:val="00AE7881"/>
    <w:rsid w:val="00AE7BE3"/>
    <w:rsid w:val="00AF09F6"/>
    <w:rsid w:val="00AF0FFD"/>
    <w:rsid w:val="00AF1370"/>
    <w:rsid w:val="00AF2900"/>
    <w:rsid w:val="00AF2DAE"/>
    <w:rsid w:val="00AF2F08"/>
    <w:rsid w:val="00AF31CE"/>
    <w:rsid w:val="00AF3A9F"/>
    <w:rsid w:val="00AF3C8F"/>
    <w:rsid w:val="00AF3FC9"/>
    <w:rsid w:val="00AF422C"/>
    <w:rsid w:val="00AF4D5B"/>
    <w:rsid w:val="00AF5620"/>
    <w:rsid w:val="00AF5830"/>
    <w:rsid w:val="00AF588C"/>
    <w:rsid w:val="00AF6049"/>
    <w:rsid w:val="00AF69EA"/>
    <w:rsid w:val="00AF6CD6"/>
    <w:rsid w:val="00AF6DFB"/>
    <w:rsid w:val="00AF73FE"/>
    <w:rsid w:val="00AF7508"/>
    <w:rsid w:val="00AF7660"/>
    <w:rsid w:val="00AF7918"/>
    <w:rsid w:val="00AF7ADB"/>
    <w:rsid w:val="00AF7EF4"/>
    <w:rsid w:val="00B00D1D"/>
    <w:rsid w:val="00B00E3B"/>
    <w:rsid w:val="00B0105D"/>
    <w:rsid w:val="00B010A3"/>
    <w:rsid w:val="00B01502"/>
    <w:rsid w:val="00B01BAC"/>
    <w:rsid w:val="00B02213"/>
    <w:rsid w:val="00B028F9"/>
    <w:rsid w:val="00B02E00"/>
    <w:rsid w:val="00B032D3"/>
    <w:rsid w:val="00B03396"/>
    <w:rsid w:val="00B03B73"/>
    <w:rsid w:val="00B0408D"/>
    <w:rsid w:val="00B0435E"/>
    <w:rsid w:val="00B04566"/>
    <w:rsid w:val="00B04FC9"/>
    <w:rsid w:val="00B05C71"/>
    <w:rsid w:val="00B05CB7"/>
    <w:rsid w:val="00B05EEE"/>
    <w:rsid w:val="00B06CA2"/>
    <w:rsid w:val="00B0714F"/>
    <w:rsid w:val="00B10E9A"/>
    <w:rsid w:val="00B11999"/>
    <w:rsid w:val="00B12EA6"/>
    <w:rsid w:val="00B13B23"/>
    <w:rsid w:val="00B1429F"/>
    <w:rsid w:val="00B145D5"/>
    <w:rsid w:val="00B14BA3"/>
    <w:rsid w:val="00B15019"/>
    <w:rsid w:val="00B15B70"/>
    <w:rsid w:val="00B15D4B"/>
    <w:rsid w:val="00B1704B"/>
    <w:rsid w:val="00B17C7C"/>
    <w:rsid w:val="00B17D9F"/>
    <w:rsid w:val="00B17F0C"/>
    <w:rsid w:val="00B17FF5"/>
    <w:rsid w:val="00B20356"/>
    <w:rsid w:val="00B20390"/>
    <w:rsid w:val="00B203BB"/>
    <w:rsid w:val="00B210A3"/>
    <w:rsid w:val="00B21391"/>
    <w:rsid w:val="00B2153C"/>
    <w:rsid w:val="00B2187C"/>
    <w:rsid w:val="00B21D47"/>
    <w:rsid w:val="00B21D79"/>
    <w:rsid w:val="00B22257"/>
    <w:rsid w:val="00B222BA"/>
    <w:rsid w:val="00B22763"/>
    <w:rsid w:val="00B227DE"/>
    <w:rsid w:val="00B22C75"/>
    <w:rsid w:val="00B231FA"/>
    <w:rsid w:val="00B23564"/>
    <w:rsid w:val="00B23572"/>
    <w:rsid w:val="00B23CF1"/>
    <w:rsid w:val="00B24139"/>
    <w:rsid w:val="00B241DC"/>
    <w:rsid w:val="00B24262"/>
    <w:rsid w:val="00B242B4"/>
    <w:rsid w:val="00B24CD5"/>
    <w:rsid w:val="00B24F98"/>
    <w:rsid w:val="00B2577D"/>
    <w:rsid w:val="00B26485"/>
    <w:rsid w:val="00B26539"/>
    <w:rsid w:val="00B2746A"/>
    <w:rsid w:val="00B27480"/>
    <w:rsid w:val="00B3055B"/>
    <w:rsid w:val="00B30D5B"/>
    <w:rsid w:val="00B314DF"/>
    <w:rsid w:val="00B3201A"/>
    <w:rsid w:val="00B338A6"/>
    <w:rsid w:val="00B33AEF"/>
    <w:rsid w:val="00B33D1F"/>
    <w:rsid w:val="00B33E32"/>
    <w:rsid w:val="00B340D4"/>
    <w:rsid w:val="00B34F4D"/>
    <w:rsid w:val="00B35289"/>
    <w:rsid w:val="00B35346"/>
    <w:rsid w:val="00B3544D"/>
    <w:rsid w:val="00B354C3"/>
    <w:rsid w:val="00B35D69"/>
    <w:rsid w:val="00B35F95"/>
    <w:rsid w:val="00B3633D"/>
    <w:rsid w:val="00B37301"/>
    <w:rsid w:val="00B37409"/>
    <w:rsid w:val="00B37CE7"/>
    <w:rsid w:val="00B403B1"/>
    <w:rsid w:val="00B4098B"/>
    <w:rsid w:val="00B40D6E"/>
    <w:rsid w:val="00B413AE"/>
    <w:rsid w:val="00B4163D"/>
    <w:rsid w:val="00B41BFF"/>
    <w:rsid w:val="00B41F38"/>
    <w:rsid w:val="00B42365"/>
    <w:rsid w:val="00B425B0"/>
    <w:rsid w:val="00B43515"/>
    <w:rsid w:val="00B43638"/>
    <w:rsid w:val="00B439AF"/>
    <w:rsid w:val="00B445F5"/>
    <w:rsid w:val="00B44C71"/>
    <w:rsid w:val="00B44DBE"/>
    <w:rsid w:val="00B453A3"/>
    <w:rsid w:val="00B4580A"/>
    <w:rsid w:val="00B4587C"/>
    <w:rsid w:val="00B45CB2"/>
    <w:rsid w:val="00B47B8E"/>
    <w:rsid w:val="00B47C9B"/>
    <w:rsid w:val="00B5057B"/>
    <w:rsid w:val="00B5092D"/>
    <w:rsid w:val="00B509E8"/>
    <w:rsid w:val="00B509EB"/>
    <w:rsid w:val="00B5159D"/>
    <w:rsid w:val="00B53724"/>
    <w:rsid w:val="00B539B1"/>
    <w:rsid w:val="00B53AD1"/>
    <w:rsid w:val="00B53F9B"/>
    <w:rsid w:val="00B5478D"/>
    <w:rsid w:val="00B55C97"/>
    <w:rsid w:val="00B55DBB"/>
    <w:rsid w:val="00B566C6"/>
    <w:rsid w:val="00B56F6D"/>
    <w:rsid w:val="00B6012C"/>
    <w:rsid w:val="00B610AB"/>
    <w:rsid w:val="00B613DF"/>
    <w:rsid w:val="00B61572"/>
    <w:rsid w:val="00B62273"/>
    <w:rsid w:val="00B6275A"/>
    <w:rsid w:val="00B627B4"/>
    <w:rsid w:val="00B6318B"/>
    <w:rsid w:val="00B639A7"/>
    <w:rsid w:val="00B63B5E"/>
    <w:rsid w:val="00B63DB6"/>
    <w:rsid w:val="00B641E4"/>
    <w:rsid w:val="00B643E6"/>
    <w:rsid w:val="00B64461"/>
    <w:rsid w:val="00B64AB4"/>
    <w:rsid w:val="00B651DC"/>
    <w:rsid w:val="00B66093"/>
    <w:rsid w:val="00B6619F"/>
    <w:rsid w:val="00B66806"/>
    <w:rsid w:val="00B66FC0"/>
    <w:rsid w:val="00B6737C"/>
    <w:rsid w:val="00B67445"/>
    <w:rsid w:val="00B67C4E"/>
    <w:rsid w:val="00B70614"/>
    <w:rsid w:val="00B70BE6"/>
    <w:rsid w:val="00B70EEF"/>
    <w:rsid w:val="00B72545"/>
    <w:rsid w:val="00B72853"/>
    <w:rsid w:val="00B72C9E"/>
    <w:rsid w:val="00B72D15"/>
    <w:rsid w:val="00B735F7"/>
    <w:rsid w:val="00B73A6D"/>
    <w:rsid w:val="00B73AD1"/>
    <w:rsid w:val="00B73D96"/>
    <w:rsid w:val="00B740B4"/>
    <w:rsid w:val="00B74B12"/>
    <w:rsid w:val="00B750A9"/>
    <w:rsid w:val="00B7545D"/>
    <w:rsid w:val="00B756A4"/>
    <w:rsid w:val="00B756E6"/>
    <w:rsid w:val="00B75989"/>
    <w:rsid w:val="00B760C1"/>
    <w:rsid w:val="00B761DA"/>
    <w:rsid w:val="00B76208"/>
    <w:rsid w:val="00B764CD"/>
    <w:rsid w:val="00B76902"/>
    <w:rsid w:val="00B76FFE"/>
    <w:rsid w:val="00B7704D"/>
    <w:rsid w:val="00B771CA"/>
    <w:rsid w:val="00B77515"/>
    <w:rsid w:val="00B77DB1"/>
    <w:rsid w:val="00B77E7D"/>
    <w:rsid w:val="00B804D2"/>
    <w:rsid w:val="00B80F93"/>
    <w:rsid w:val="00B81352"/>
    <w:rsid w:val="00B81A7C"/>
    <w:rsid w:val="00B82F32"/>
    <w:rsid w:val="00B82F52"/>
    <w:rsid w:val="00B83667"/>
    <w:rsid w:val="00B8369A"/>
    <w:rsid w:val="00B85413"/>
    <w:rsid w:val="00B85AD4"/>
    <w:rsid w:val="00B866A2"/>
    <w:rsid w:val="00B866D9"/>
    <w:rsid w:val="00B86D10"/>
    <w:rsid w:val="00B913CB"/>
    <w:rsid w:val="00B91408"/>
    <w:rsid w:val="00B91976"/>
    <w:rsid w:val="00B9231D"/>
    <w:rsid w:val="00B92C9F"/>
    <w:rsid w:val="00B938F3"/>
    <w:rsid w:val="00B9394F"/>
    <w:rsid w:val="00B94034"/>
    <w:rsid w:val="00B94C88"/>
    <w:rsid w:val="00B95086"/>
    <w:rsid w:val="00B9578F"/>
    <w:rsid w:val="00B958D4"/>
    <w:rsid w:val="00B959BC"/>
    <w:rsid w:val="00B95B79"/>
    <w:rsid w:val="00B96DA7"/>
    <w:rsid w:val="00B97EEF"/>
    <w:rsid w:val="00BA0348"/>
    <w:rsid w:val="00BA0438"/>
    <w:rsid w:val="00BA0454"/>
    <w:rsid w:val="00BA0B5B"/>
    <w:rsid w:val="00BA1A87"/>
    <w:rsid w:val="00BA2217"/>
    <w:rsid w:val="00BA28FE"/>
    <w:rsid w:val="00BA2E11"/>
    <w:rsid w:val="00BA484D"/>
    <w:rsid w:val="00BA50EA"/>
    <w:rsid w:val="00BA5231"/>
    <w:rsid w:val="00BA55CF"/>
    <w:rsid w:val="00BA578A"/>
    <w:rsid w:val="00BA585D"/>
    <w:rsid w:val="00BA70BB"/>
    <w:rsid w:val="00BA7342"/>
    <w:rsid w:val="00BA79C5"/>
    <w:rsid w:val="00BA7B0A"/>
    <w:rsid w:val="00BB044D"/>
    <w:rsid w:val="00BB05BC"/>
    <w:rsid w:val="00BB07C2"/>
    <w:rsid w:val="00BB095E"/>
    <w:rsid w:val="00BB282B"/>
    <w:rsid w:val="00BB386E"/>
    <w:rsid w:val="00BB3911"/>
    <w:rsid w:val="00BB3B43"/>
    <w:rsid w:val="00BB3DC1"/>
    <w:rsid w:val="00BB4116"/>
    <w:rsid w:val="00BB44E0"/>
    <w:rsid w:val="00BB51FE"/>
    <w:rsid w:val="00BB5663"/>
    <w:rsid w:val="00BB59E7"/>
    <w:rsid w:val="00BB641E"/>
    <w:rsid w:val="00BB646B"/>
    <w:rsid w:val="00BB6B52"/>
    <w:rsid w:val="00BB6D8D"/>
    <w:rsid w:val="00BB6FE8"/>
    <w:rsid w:val="00BB77A2"/>
    <w:rsid w:val="00BC0402"/>
    <w:rsid w:val="00BC0C2A"/>
    <w:rsid w:val="00BC0C6D"/>
    <w:rsid w:val="00BC17EC"/>
    <w:rsid w:val="00BC1B1E"/>
    <w:rsid w:val="00BC1CEA"/>
    <w:rsid w:val="00BC284E"/>
    <w:rsid w:val="00BC2E7C"/>
    <w:rsid w:val="00BC4BF7"/>
    <w:rsid w:val="00BC4F99"/>
    <w:rsid w:val="00BC53B3"/>
    <w:rsid w:val="00BC59B5"/>
    <w:rsid w:val="00BC59EA"/>
    <w:rsid w:val="00BC5C36"/>
    <w:rsid w:val="00BC5EB0"/>
    <w:rsid w:val="00BC6BB9"/>
    <w:rsid w:val="00BC7904"/>
    <w:rsid w:val="00BD0776"/>
    <w:rsid w:val="00BD1B0A"/>
    <w:rsid w:val="00BD1BA1"/>
    <w:rsid w:val="00BD2166"/>
    <w:rsid w:val="00BD2873"/>
    <w:rsid w:val="00BD3D36"/>
    <w:rsid w:val="00BD415C"/>
    <w:rsid w:val="00BD4307"/>
    <w:rsid w:val="00BD5202"/>
    <w:rsid w:val="00BD560C"/>
    <w:rsid w:val="00BD6371"/>
    <w:rsid w:val="00BD693B"/>
    <w:rsid w:val="00BD6B78"/>
    <w:rsid w:val="00BD7726"/>
    <w:rsid w:val="00BE06BB"/>
    <w:rsid w:val="00BE090A"/>
    <w:rsid w:val="00BE1A6D"/>
    <w:rsid w:val="00BE1C3B"/>
    <w:rsid w:val="00BE1CE2"/>
    <w:rsid w:val="00BE1FA3"/>
    <w:rsid w:val="00BE25A6"/>
    <w:rsid w:val="00BE2BC7"/>
    <w:rsid w:val="00BE2E2F"/>
    <w:rsid w:val="00BE2E3E"/>
    <w:rsid w:val="00BE315E"/>
    <w:rsid w:val="00BE3FC3"/>
    <w:rsid w:val="00BE4D1C"/>
    <w:rsid w:val="00BE55D4"/>
    <w:rsid w:val="00BE63EF"/>
    <w:rsid w:val="00BE6873"/>
    <w:rsid w:val="00BE6950"/>
    <w:rsid w:val="00BE6B21"/>
    <w:rsid w:val="00BE7227"/>
    <w:rsid w:val="00BE7556"/>
    <w:rsid w:val="00BE7ED0"/>
    <w:rsid w:val="00BF0D99"/>
    <w:rsid w:val="00BF12B1"/>
    <w:rsid w:val="00BF14D4"/>
    <w:rsid w:val="00BF1EA4"/>
    <w:rsid w:val="00BF1EB4"/>
    <w:rsid w:val="00BF1EC3"/>
    <w:rsid w:val="00BF2137"/>
    <w:rsid w:val="00BF21DD"/>
    <w:rsid w:val="00BF2625"/>
    <w:rsid w:val="00BF2806"/>
    <w:rsid w:val="00BF2EA1"/>
    <w:rsid w:val="00BF2FB0"/>
    <w:rsid w:val="00BF342A"/>
    <w:rsid w:val="00BF364D"/>
    <w:rsid w:val="00BF380C"/>
    <w:rsid w:val="00BF438B"/>
    <w:rsid w:val="00BF47EA"/>
    <w:rsid w:val="00BF5004"/>
    <w:rsid w:val="00BF5AF8"/>
    <w:rsid w:val="00BF6275"/>
    <w:rsid w:val="00BF70AA"/>
    <w:rsid w:val="00C00F94"/>
    <w:rsid w:val="00C01679"/>
    <w:rsid w:val="00C03F5F"/>
    <w:rsid w:val="00C047B1"/>
    <w:rsid w:val="00C04A2C"/>
    <w:rsid w:val="00C04BAC"/>
    <w:rsid w:val="00C052D1"/>
    <w:rsid w:val="00C05472"/>
    <w:rsid w:val="00C066CF"/>
    <w:rsid w:val="00C06BDD"/>
    <w:rsid w:val="00C075AF"/>
    <w:rsid w:val="00C0782B"/>
    <w:rsid w:val="00C07F8F"/>
    <w:rsid w:val="00C100B5"/>
    <w:rsid w:val="00C11490"/>
    <w:rsid w:val="00C1179B"/>
    <w:rsid w:val="00C11FB6"/>
    <w:rsid w:val="00C140A8"/>
    <w:rsid w:val="00C148DD"/>
    <w:rsid w:val="00C15111"/>
    <w:rsid w:val="00C15843"/>
    <w:rsid w:val="00C15D4D"/>
    <w:rsid w:val="00C15F77"/>
    <w:rsid w:val="00C169D0"/>
    <w:rsid w:val="00C17123"/>
    <w:rsid w:val="00C17321"/>
    <w:rsid w:val="00C20176"/>
    <w:rsid w:val="00C21681"/>
    <w:rsid w:val="00C216D7"/>
    <w:rsid w:val="00C2223F"/>
    <w:rsid w:val="00C229C6"/>
    <w:rsid w:val="00C230D3"/>
    <w:rsid w:val="00C2316D"/>
    <w:rsid w:val="00C2352D"/>
    <w:rsid w:val="00C23585"/>
    <w:rsid w:val="00C244AD"/>
    <w:rsid w:val="00C24D27"/>
    <w:rsid w:val="00C24EAC"/>
    <w:rsid w:val="00C24F58"/>
    <w:rsid w:val="00C252A8"/>
    <w:rsid w:val="00C25A8E"/>
    <w:rsid w:val="00C25A95"/>
    <w:rsid w:val="00C261EA"/>
    <w:rsid w:val="00C2631D"/>
    <w:rsid w:val="00C2697C"/>
    <w:rsid w:val="00C271E6"/>
    <w:rsid w:val="00C275DF"/>
    <w:rsid w:val="00C27F0C"/>
    <w:rsid w:val="00C30646"/>
    <w:rsid w:val="00C307D7"/>
    <w:rsid w:val="00C3089F"/>
    <w:rsid w:val="00C316C6"/>
    <w:rsid w:val="00C31F9B"/>
    <w:rsid w:val="00C3287E"/>
    <w:rsid w:val="00C32889"/>
    <w:rsid w:val="00C32D2F"/>
    <w:rsid w:val="00C3306D"/>
    <w:rsid w:val="00C338AF"/>
    <w:rsid w:val="00C35D91"/>
    <w:rsid w:val="00C35F6A"/>
    <w:rsid w:val="00C36994"/>
    <w:rsid w:val="00C374B5"/>
    <w:rsid w:val="00C379F4"/>
    <w:rsid w:val="00C37A0F"/>
    <w:rsid w:val="00C407D2"/>
    <w:rsid w:val="00C408EF"/>
    <w:rsid w:val="00C40D7D"/>
    <w:rsid w:val="00C41805"/>
    <w:rsid w:val="00C41B2E"/>
    <w:rsid w:val="00C41FFA"/>
    <w:rsid w:val="00C43831"/>
    <w:rsid w:val="00C438C6"/>
    <w:rsid w:val="00C4398A"/>
    <w:rsid w:val="00C43C4C"/>
    <w:rsid w:val="00C4466C"/>
    <w:rsid w:val="00C44BCC"/>
    <w:rsid w:val="00C44C8E"/>
    <w:rsid w:val="00C45762"/>
    <w:rsid w:val="00C4582B"/>
    <w:rsid w:val="00C45E71"/>
    <w:rsid w:val="00C46E2D"/>
    <w:rsid w:val="00C471D3"/>
    <w:rsid w:val="00C47D9F"/>
    <w:rsid w:val="00C506F3"/>
    <w:rsid w:val="00C508CC"/>
    <w:rsid w:val="00C516CC"/>
    <w:rsid w:val="00C516F5"/>
    <w:rsid w:val="00C51722"/>
    <w:rsid w:val="00C51734"/>
    <w:rsid w:val="00C51A40"/>
    <w:rsid w:val="00C51B40"/>
    <w:rsid w:val="00C51E9F"/>
    <w:rsid w:val="00C524D9"/>
    <w:rsid w:val="00C52719"/>
    <w:rsid w:val="00C53D06"/>
    <w:rsid w:val="00C541D5"/>
    <w:rsid w:val="00C5424D"/>
    <w:rsid w:val="00C5484C"/>
    <w:rsid w:val="00C54EF6"/>
    <w:rsid w:val="00C55B5A"/>
    <w:rsid w:val="00C56A52"/>
    <w:rsid w:val="00C57B77"/>
    <w:rsid w:val="00C6048B"/>
    <w:rsid w:val="00C61577"/>
    <w:rsid w:val="00C61689"/>
    <w:rsid w:val="00C617D7"/>
    <w:rsid w:val="00C6188D"/>
    <w:rsid w:val="00C61CFD"/>
    <w:rsid w:val="00C61D0D"/>
    <w:rsid w:val="00C61E0E"/>
    <w:rsid w:val="00C622E2"/>
    <w:rsid w:val="00C63F02"/>
    <w:rsid w:val="00C65433"/>
    <w:rsid w:val="00C657EA"/>
    <w:rsid w:val="00C65BA7"/>
    <w:rsid w:val="00C66AB6"/>
    <w:rsid w:val="00C7051E"/>
    <w:rsid w:val="00C7077F"/>
    <w:rsid w:val="00C70B82"/>
    <w:rsid w:val="00C70C8E"/>
    <w:rsid w:val="00C70F60"/>
    <w:rsid w:val="00C719A0"/>
    <w:rsid w:val="00C71C52"/>
    <w:rsid w:val="00C7253B"/>
    <w:rsid w:val="00C72E06"/>
    <w:rsid w:val="00C738EE"/>
    <w:rsid w:val="00C73F23"/>
    <w:rsid w:val="00C73F40"/>
    <w:rsid w:val="00C74AFA"/>
    <w:rsid w:val="00C74B41"/>
    <w:rsid w:val="00C74BD8"/>
    <w:rsid w:val="00C7525A"/>
    <w:rsid w:val="00C755FD"/>
    <w:rsid w:val="00C757AE"/>
    <w:rsid w:val="00C75E95"/>
    <w:rsid w:val="00C76818"/>
    <w:rsid w:val="00C77153"/>
    <w:rsid w:val="00C80146"/>
    <w:rsid w:val="00C8020F"/>
    <w:rsid w:val="00C807E5"/>
    <w:rsid w:val="00C80CD9"/>
    <w:rsid w:val="00C8146E"/>
    <w:rsid w:val="00C81675"/>
    <w:rsid w:val="00C81F2B"/>
    <w:rsid w:val="00C8215B"/>
    <w:rsid w:val="00C822C0"/>
    <w:rsid w:val="00C82998"/>
    <w:rsid w:val="00C829DD"/>
    <w:rsid w:val="00C8313A"/>
    <w:rsid w:val="00C83314"/>
    <w:rsid w:val="00C837C5"/>
    <w:rsid w:val="00C84A50"/>
    <w:rsid w:val="00C84B30"/>
    <w:rsid w:val="00C84BE0"/>
    <w:rsid w:val="00C85188"/>
    <w:rsid w:val="00C86407"/>
    <w:rsid w:val="00C8656D"/>
    <w:rsid w:val="00C86A2D"/>
    <w:rsid w:val="00C86CBF"/>
    <w:rsid w:val="00C86EE7"/>
    <w:rsid w:val="00C8708C"/>
    <w:rsid w:val="00C87D5F"/>
    <w:rsid w:val="00C87FB0"/>
    <w:rsid w:val="00C9025A"/>
    <w:rsid w:val="00C903C9"/>
    <w:rsid w:val="00C9044C"/>
    <w:rsid w:val="00C91E07"/>
    <w:rsid w:val="00C91F6B"/>
    <w:rsid w:val="00C924F6"/>
    <w:rsid w:val="00C92C9D"/>
    <w:rsid w:val="00C93043"/>
    <w:rsid w:val="00C93066"/>
    <w:rsid w:val="00C93AA4"/>
    <w:rsid w:val="00C93BE4"/>
    <w:rsid w:val="00C93CC0"/>
    <w:rsid w:val="00C93FC9"/>
    <w:rsid w:val="00C942EA"/>
    <w:rsid w:val="00C946AA"/>
    <w:rsid w:val="00C949EC"/>
    <w:rsid w:val="00C94C21"/>
    <w:rsid w:val="00C94C61"/>
    <w:rsid w:val="00C94D81"/>
    <w:rsid w:val="00C960A8"/>
    <w:rsid w:val="00C96368"/>
    <w:rsid w:val="00C96A4C"/>
    <w:rsid w:val="00C97027"/>
    <w:rsid w:val="00CA0310"/>
    <w:rsid w:val="00CA0664"/>
    <w:rsid w:val="00CA1834"/>
    <w:rsid w:val="00CA227B"/>
    <w:rsid w:val="00CA2C37"/>
    <w:rsid w:val="00CA34AD"/>
    <w:rsid w:val="00CA3F89"/>
    <w:rsid w:val="00CA550E"/>
    <w:rsid w:val="00CA5973"/>
    <w:rsid w:val="00CA635F"/>
    <w:rsid w:val="00CA68B9"/>
    <w:rsid w:val="00CA6934"/>
    <w:rsid w:val="00CB0116"/>
    <w:rsid w:val="00CB069F"/>
    <w:rsid w:val="00CB10AA"/>
    <w:rsid w:val="00CB1693"/>
    <w:rsid w:val="00CB1DD8"/>
    <w:rsid w:val="00CB4E7D"/>
    <w:rsid w:val="00CB5131"/>
    <w:rsid w:val="00CB5A11"/>
    <w:rsid w:val="00CB5A19"/>
    <w:rsid w:val="00CB63F4"/>
    <w:rsid w:val="00CB64E8"/>
    <w:rsid w:val="00CB671D"/>
    <w:rsid w:val="00CB6E22"/>
    <w:rsid w:val="00CB727C"/>
    <w:rsid w:val="00CB7C53"/>
    <w:rsid w:val="00CB7E5A"/>
    <w:rsid w:val="00CC0057"/>
    <w:rsid w:val="00CC089C"/>
    <w:rsid w:val="00CC0CA1"/>
    <w:rsid w:val="00CC14C9"/>
    <w:rsid w:val="00CC2664"/>
    <w:rsid w:val="00CC4898"/>
    <w:rsid w:val="00CC48D1"/>
    <w:rsid w:val="00CC5285"/>
    <w:rsid w:val="00CC6722"/>
    <w:rsid w:val="00CC688F"/>
    <w:rsid w:val="00CC6EFC"/>
    <w:rsid w:val="00CC7012"/>
    <w:rsid w:val="00CC7E48"/>
    <w:rsid w:val="00CD02C0"/>
    <w:rsid w:val="00CD0323"/>
    <w:rsid w:val="00CD0668"/>
    <w:rsid w:val="00CD12BA"/>
    <w:rsid w:val="00CD25B3"/>
    <w:rsid w:val="00CD264D"/>
    <w:rsid w:val="00CD2C78"/>
    <w:rsid w:val="00CD3B70"/>
    <w:rsid w:val="00CD3BEB"/>
    <w:rsid w:val="00CD46B6"/>
    <w:rsid w:val="00CD479F"/>
    <w:rsid w:val="00CD4F34"/>
    <w:rsid w:val="00CD5677"/>
    <w:rsid w:val="00CD58DF"/>
    <w:rsid w:val="00CD6121"/>
    <w:rsid w:val="00CD694C"/>
    <w:rsid w:val="00CD6F31"/>
    <w:rsid w:val="00CD7A25"/>
    <w:rsid w:val="00CD7B1E"/>
    <w:rsid w:val="00CE0B9A"/>
    <w:rsid w:val="00CE1C4B"/>
    <w:rsid w:val="00CE25A5"/>
    <w:rsid w:val="00CE3D1E"/>
    <w:rsid w:val="00CE3DA3"/>
    <w:rsid w:val="00CE42FB"/>
    <w:rsid w:val="00CE536A"/>
    <w:rsid w:val="00CE5611"/>
    <w:rsid w:val="00CE609E"/>
    <w:rsid w:val="00CE67B2"/>
    <w:rsid w:val="00CE6BAF"/>
    <w:rsid w:val="00CE7047"/>
    <w:rsid w:val="00CE71EE"/>
    <w:rsid w:val="00CE74CF"/>
    <w:rsid w:val="00CE762A"/>
    <w:rsid w:val="00CE7694"/>
    <w:rsid w:val="00CE775A"/>
    <w:rsid w:val="00CE7773"/>
    <w:rsid w:val="00CE7CE6"/>
    <w:rsid w:val="00CE7DDC"/>
    <w:rsid w:val="00CE7E31"/>
    <w:rsid w:val="00CF045A"/>
    <w:rsid w:val="00CF0D70"/>
    <w:rsid w:val="00CF1BD4"/>
    <w:rsid w:val="00CF1D56"/>
    <w:rsid w:val="00CF30F5"/>
    <w:rsid w:val="00CF366E"/>
    <w:rsid w:val="00CF376C"/>
    <w:rsid w:val="00CF37A1"/>
    <w:rsid w:val="00CF4BC3"/>
    <w:rsid w:val="00CF4D4F"/>
    <w:rsid w:val="00CF4DBF"/>
    <w:rsid w:val="00CF557A"/>
    <w:rsid w:val="00CF56AD"/>
    <w:rsid w:val="00CF6243"/>
    <w:rsid w:val="00CF6520"/>
    <w:rsid w:val="00CF7445"/>
    <w:rsid w:val="00CF7FBD"/>
    <w:rsid w:val="00D00C0B"/>
    <w:rsid w:val="00D0135F"/>
    <w:rsid w:val="00D01AA4"/>
    <w:rsid w:val="00D01F2C"/>
    <w:rsid w:val="00D0223F"/>
    <w:rsid w:val="00D02720"/>
    <w:rsid w:val="00D02736"/>
    <w:rsid w:val="00D02D10"/>
    <w:rsid w:val="00D02E45"/>
    <w:rsid w:val="00D03073"/>
    <w:rsid w:val="00D03D4C"/>
    <w:rsid w:val="00D04CEE"/>
    <w:rsid w:val="00D0595B"/>
    <w:rsid w:val="00D05CE8"/>
    <w:rsid w:val="00D05D86"/>
    <w:rsid w:val="00D06ADF"/>
    <w:rsid w:val="00D06C8F"/>
    <w:rsid w:val="00D06F89"/>
    <w:rsid w:val="00D105AC"/>
    <w:rsid w:val="00D1122B"/>
    <w:rsid w:val="00D11B08"/>
    <w:rsid w:val="00D12B0C"/>
    <w:rsid w:val="00D12D80"/>
    <w:rsid w:val="00D1329C"/>
    <w:rsid w:val="00D135EB"/>
    <w:rsid w:val="00D1366C"/>
    <w:rsid w:val="00D13740"/>
    <w:rsid w:val="00D13A3D"/>
    <w:rsid w:val="00D143B6"/>
    <w:rsid w:val="00D143D2"/>
    <w:rsid w:val="00D14572"/>
    <w:rsid w:val="00D14723"/>
    <w:rsid w:val="00D14CD0"/>
    <w:rsid w:val="00D1503E"/>
    <w:rsid w:val="00D15226"/>
    <w:rsid w:val="00D15586"/>
    <w:rsid w:val="00D1743F"/>
    <w:rsid w:val="00D17993"/>
    <w:rsid w:val="00D17D0D"/>
    <w:rsid w:val="00D20136"/>
    <w:rsid w:val="00D23051"/>
    <w:rsid w:val="00D232B8"/>
    <w:rsid w:val="00D23403"/>
    <w:rsid w:val="00D238B5"/>
    <w:rsid w:val="00D23C8A"/>
    <w:rsid w:val="00D247C5"/>
    <w:rsid w:val="00D25EE9"/>
    <w:rsid w:val="00D25F3C"/>
    <w:rsid w:val="00D2625E"/>
    <w:rsid w:val="00D26A18"/>
    <w:rsid w:val="00D26C11"/>
    <w:rsid w:val="00D26D64"/>
    <w:rsid w:val="00D27003"/>
    <w:rsid w:val="00D27965"/>
    <w:rsid w:val="00D30A14"/>
    <w:rsid w:val="00D3105A"/>
    <w:rsid w:val="00D310E3"/>
    <w:rsid w:val="00D31159"/>
    <w:rsid w:val="00D31357"/>
    <w:rsid w:val="00D315F0"/>
    <w:rsid w:val="00D326F2"/>
    <w:rsid w:val="00D32F03"/>
    <w:rsid w:val="00D33CA4"/>
    <w:rsid w:val="00D34E14"/>
    <w:rsid w:val="00D34F57"/>
    <w:rsid w:val="00D35095"/>
    <w:rsid w:val="00D35123"/>
    <w:rsid w:val="00D362B2"/>
    <w:rsid w:val="00D36B15"/>
    <w:rsid w:val="00D37874"/>
    <w:rsid w:val="00D37B1B"/>
    <w:rsid w:val="00D37B42"/>
    <w:rsid w:val="00D41404"/>
    <w:rsid w:val="00D41954"/>
    <w:rsid w:val="00D41D81"/>
    <w:rsid w:val="00D42761"/>
    <w:rsid w:val="00D42A71"/>
    <w:rsid w:val="00D42DEC"/>
    <w:rsid w:val="00D43C82"/>
    <w:rsid w:val="00D4411D"/>
    <w:rsid w:val="00D4471A"/>
    <w:rsid w:val="00D4477B"/>
    <w:rsid w:val="00D44B2A"/>
    <w:rsid w:val="00D4551F"/>
    <w:rsid w:val="00D4586C"/>
    <w:rsid w:val="00D4636D"/>
    <w:rsid w:val="00D46E6E"/>
    <w:rsid w:val="00D479A1"/>
    <w:rsid w:val="00D5018F"/>
    <w:rsid w:val="00D50891"/>
    <w:rsid w:val="00D51FD7"/>
    <w:rsid w:val="00D521FC"/>
    <w:rsid w:val="00D522E7"/>
    <w:rsid w:val="00D52900"/>
    <w:rsid w:val="00D53144"/>
    <w:rsid w:val="00D546E9"/>
    <w:rsid w:val="00D54D3E"/>
    <w:rsid w:val="00D5527A"/>
    <w:rsid w:val="00D55A1F"/>
    <w:rsid w:val="00D55D82"/>
    <w:rsid w:val="00D55EE2"/>
    <w:rsid w:val="00D56599"/>
    <w:rsid w:val="00D56E50"/>
    <w:rsid w:val="00D572D0"/>
    <w:rsid w:val="00D5743B"/>
    <w:rsid w:val="00D57782"/>
    <w:rsid w:val="00D60930"/>
    <w:rsid w:val="00D6214B"/>
    <w:rsid w:val="00D6248A"/>
    <w:rsid w:val="00D63E30"/>
    <w:rsid w:val="00D6423E"/>
    <w:rsid w:val="00D6433A"/>
    <w:rsid w:val="00D64A59"/>
    <w:rsid w:val="00D65AE4"/>
    <w:rsid w:val="00D66B71"/>
    <w:rsid w:val="00D66BE1"/>
    <w:rsid w:val="00D67710"/>
    <w:rsid w:val="00D67AB6"/>
    <w:rsid w:val="00D7003F"/>
    <w:rsid w:val="00D70130"/>
    <w:rsid w:val="00D7016C"/>
    <w:rsid w:val="00D70480"/>
    <w:rsid w:val="00D7115E"/>
    <w:rsid w:val="00D713AF"/>
    <w:rsid w:val="00D71959"/>
    <w:rsid w:val="00D71B2E"/>
    <w:rsid w:val="00D726EB"/>
    <w:rsid w:val="00D72740"/>
    <w:rsid w:val="00D7285D"/>
    <w:rsid w:val="00D730CF"/>
    <w:rsid w:val="00D73585"/>
    <w:rsid w:val="00D73684"/>
    <w:rsid w:val="00D74400"/>
    <w:rsid w:val="00D768F4"/>
    <w:rsid w:val="00D7759C"/>
    <w:rsid w:val="00D807E6"/>
    <w:rsid w:val="00D80A4A"/>
    <w:rsid w:val="00D80BA7"/>
    <w:rsid w:val="00D812F7"/>
    <w:rsid w:val="00D818CC"/>
    <w:rsid w:val="00D81C62"/>
    <w:rsid w:val="00D82E7E"/>
    <w:rsid w:val="00D83750"/>
    <w:rsid w:val="00D83B89"/>
    <w:rsid w:val="00D843F2"/>
    <w:rsid w:val="00D84929"/>
    <w:rsid w:val="00D857D0"/>
    <w:rsid w:val="00D85859"/>
    <w:rsid w:val="00D86430"/>
    <w:rsid w:val="00D86724"/>
    <w:rsid w:val="00D90676"/>
    <w:rsid w:val="00D90B09"/>
    <w:rsid w:val="00D90E79"/>
    <w:rsid w:val="00D9161B"/>
    <w:rsid w:val="00D91B83"/>
    <w:rsid w:val="00D922B1"/>
    <w:rsid w:val="00D924CE"/>
    <w:rsid w:val="00D931DF"/>
    <w:rsid w:val="00D943A9"/>
    <w:rsid w:val="00D947D1"/>
    <w:rsid w:val="00D94867"/>
    <w:rsid w:val="00D94907"/>
    <w:rsid w:val="00D94ADE"/>
    <w:rsid w:val="00D94FED"/>
    <w:rsid w:val="00D950DA"/>
    <w:rsid w:val="00D95A26"/>
    <w:rsid w:val="00D95B90"/>
    <w:rsid w:val="00D95CF3"/>
    <w:rsid w:val="00D95D28"/>
    <w:rsid w:val="00D95DAD"/>
    <w:rsid w:val="00D968EB"/>
    <w:rsid w:val="00D96952"/>
    <w:rsid w:val="00D969C0"/>
    <w:rsid w:val="00D96B06"/>
    <w:rsid w:val="00D979E5"/>
    <w:rsid w:val="00DA0D49"/>
    <w:rsid w:val="00DA13D6"/>
    <w:rsid w:val="00DA1529"/>
    <w:rsid w:val="00DA1EA2"/>
    <w:rsid w:val="00DA1FA8"/>
    <w:rsid w:val="00DA23E2"/>
    <w:rsid w:val="00DA34DA"/>
    <w:rsid w:val="00DA36E3"/>
    <w:rsid w:val="00DA3704"/>
    <w:rsid w:val="00DA41C6"/>
    <w:rsid w:val="00DA41D8"/>
    <w:rsid w:val="00DA4AB5"/>
    <w:rsid w:val="00DA4C48"/>
    <w:rsid w:val="00DA5874"/>
    <w:rsid w:val="00DA7D4A"/>
    <w:rsid w:val="00DB0779"/>
    <w:rsid w:val="00DB0CE6"/>
    <w:rsid w:val="00DB10B0"/>
    <w:rsid w:val="00DB144B"/>
    <w:rsid w:val="00DB178C"/>
    <w:rsid w:val="00DB1A3B"/>
    <w:rsid w:val="00DB20E3"/>
    <w:rsid w:val="00DB2417"/>
    <w:rsid w:val="00DB24F3"/>
    <w:rsid w:val="00DB2757"/>
    <w:rsid w:val="00DB2B48"/>
    <w:rsid w:val="00DB393F"/>
    <w:rsid w:val="00DB53F7"/>
    <w:rsid w:val="00DB6191"/>
    <w:rsid w:val="00DB6D6B"/>
    <w:rsid w:val="00DB7264"/>
    <w:rsid w:val="00DB734E"/>
    <w:rsid w:val="00DC017B"/>
    <w:rsid w:val="00DC09A7"/>
    <w:rsid w:val="00DC09C0"/>
    <w:rsid w:val="00DC0A74"/>
    <w:rsid w:val="00DC0BD0"/>
    <w:rsid w:val="00DC0C15"/>
    <w:rsid w:val="00DC1664"/>
    <w:rsid w:val="00DC20D7"/>
    <w:rsid w:val="00DC2AC1"/>
    <w:rsid w:val="00DC2AC7"/>
    <w:rsid w:val="00DC2C52"/>
    <w:rsid w:val="00DC2EF0"/>
    <w:rsid w:val="00DC2F26"/>
    <w:rsid w:val="00DC319C"/>
    <w:rsid w:val="00DC3777"/>
    <w:rsid w:val="00DC3B6A"/>
    <w:rsid w:val="00DC3E5C"/>
    <w:rsid w:val="00DC3E89"/>
    <w:rsid w:val="00DC43F9"/>
    <w:rsid w:val="00DC4A0D"/>
    <w:rsid w:val="00DC4B1F"/>
    <w:rsid w:val="00DC4D65"/>
    <w:rsid w:val="00DC4FF8"/>
    <w:rsid w:val="00DC5105"/>
    <w:rsid w:val="00DC5B00"/>
    <w:rsid w:val="00DC5C2C"/>
    <w:rsid w:val="00DC6EB4"/>
    <w:rsid w:val="00DC72F2"/>
    <w:rsid w:val="00DC76A5"/>
    <w:rsid w:val="00DC78A5"/>
    <w:rsid w:val="00DC7CEF"/>
    <w:rsid w:val="00DC7FC3"/>
    <w:rsid w:val="00DD07C7"/>
    <w:rsid w:val="00DD0ACD"/>
    <w:rsid w:val="00DD0CA4"/>
    <w:rsid w:val="00DD182A"/>
    <w:rsid w:val="00DD19C8"/>
    <w:rsid w:val="00DD239A"/>
    <w:rsid w:val="00DD23E2"/>
    <w:rsid w:val="00DD2524"/>
    <w:rsid w:val="00DD2555"/>
    <w:rsid w:val="00DD2E07"/>
    <w:rsid w:val="00DD32FC"/>
    <w:rsid w:val="00DD3446"/>
    <w:rsid w:val="00DD4265"/>
    <w:rsid w:val="00DD4D47"/>
    <w:rsid w:val="00DD55A9"/>
    <w:rsid w:val="00DD5EEF"/>
    <w:rsid w:val="00DD6108"/>
    <w:rsid w:val="00DD782B"/>
    <w:rsid w:val="00DE179D"/>
    <w:rsid w:val="00DE1FA9"/>
    <w:rsid w:val="00DE2BCD"/>
    <w:rsid w:val="00DE334E"/>
    <w:rsid w:val="00DE33BF"/>
    <w:rsid w:val="00DE41A4"/>
    <w:rsid w:val="00DE4251"/>
    <w:rsid w:val="00DE4298"/>
    <w:rsid w:val="00DE45CF"/>
    <w:rsid w:val="00DE5421"/>
    <w:rsid w:val="00DE54EE"/>
    <w:rsid w:val="00DE5C8A"/>
    <w:rsid w:val="00DE6C83"/>
    <w:rsid w:val="00DE7B59"/>
    <w:rsid w:val="00DE7F74"/>
    <w:rsid w:val="00DF07D9"/>
    <w:rsid w:val="00DF0863"/>
    <w:rsid w:val="00DF1A53"/>
    <w:rsid w:val="00DF1EBE"/>
    <w:rsid w:val="00DF253F"/>
    <w:rsid w:val="00DF2DA1"/>
    <w:rsid w:val="00DF3038"/>
    <w:rsid w:val="00DF3FDE"/>
    <w:rsid w:val="00DF45DD"/>
    <w:rsid w:val="00DF573F"/>
    <w:rsid w:val="00DF5B3C"/>
    <w:rsid w:val="00DF6C95"/>
    <w:rsid w:val="00DF6F2A"/>
    <w:rsid w:val="00DF744E"/>
    <w:rsid w:val="00DF7728"/>
    <w:rsid w:val="00E0055D"/>
    <w:rsid w:val="00E0059E"/>
    <w:rsid w:val="00E00B2A"/>
    <w:rsid w:val="00E0128D"/>
    <w:rsid w:val="00E025B5"/>
    <w:rsid w:val="00E02FCD"/>
    <w:rsid w:val="00E03814"/>
    <w:rsid w:val="00E0424D"/>
    <w:rsid w:val="00E047FC"/>
    <w:rsid w:val="00E04C46"/>
    <w:rsid w:val="00E04DF1"/>
    <w:rsid w:val="00E06074"/>
    <w:rsid w:val="00E06ED9"/>
    <w:rsid w:val="00E0736E"/>
    <w:rsid w:val="00E078AF"/>
    <w:rsid w:val="00E078E3"/>
    <w:rsid w:val="00E07E42"/>
    <w:rsid w:val="00E10CED"/>
    <w:rsid w:val="00E1231B"/>
    <w:rsid w:val="00E127A1"/>
    <w:rsid w:val="00E13251"/>
    <w:rsid w:val="00E134C3"/>
    <w:rsid w:val="00E136C6"/>
    <w:rsid w:val="00E150EC"/>
    <w:rsid w:val="00E1582D"/>
    <w:rsid w:val="00E15922"/>
    <w:rsid w:val="00E15C61"/>
    <w:rsid w:val="00E20282"/>
    <w:rsid w:val="00E20B8B"/>
    <w:rsid w:val="00E21241"/>
    <w:rsid w:val="00E2173C"/>
    <w:rsid w:val="00E21979"/>
    <w:rsid w:val="00E22324"/>
    <w:rsid w:val="00E22EBE"/>
    <w:rsid w:val="00E23A0B"/>
    <w:rsid w:val="00E23BEB"/>
    <w:rsid w:val="00E23C57"/>
    <w:rsid w:val="00E23FAC"/>
    <w:rsid w:val="00E24306"/>
    <w:rsid w:val="00E248BD"/>
    <w:rsid w:val="00E25055"/>
    <w:rsid w:val="00E257B3"/>
    <w:rsid w:val="00E25EDE"/>
    <w:rsid w:val="00E26113"/>
    <w:rsid w:val="00E26E9A"/>
    <w:rsid w:val="00E27447"/>
    <w:rsid w:val="00E27A83"/>
    <w:rsid w:val="00E27F7F"/>
    <w:rsid w:val="00E30325"/>
    <w:rsid w:val="00E30984"/>
    <w:rsid w:val="00E30B04"/>
    <w:rsid w:val="00E30E79"/>
    <w:rsid w:val="00E31778"/>
    <w:rsid w:val="00E32FE5"/>
    <w:rsid w:val="00E358D7"/>
    <w:rsid w:val="00E35A52"/>
    <w:rsid w:val="00E35D3F"/>
    <w:rsid w:val="00E37500"/>
    <w:rsid w:val="00E375FF"/>
    <w:rsid w:val="00E37A36"/>
    <w:rsid w:val="00E40735"/>
    <w:rsid w:val="00E4080B"/>
    <w:rsid w:val="00E40AD2"/>
    <w:rsid w:val="00E40F87"/>
    <w:rsid w:val="00E426DF"/>
    <w:rsid w:val="00E42707"/>
    <w:rsid w:val="00E42C64"/>
    <w:rsid w:val="00E42E0D"/>
    <w:rsid w:val="00E43525"/>
    <w:rsid w:val="00E438D2"/>
    <w:rsid w:val="00E44055"/>
    <w:rsid w:val="00E44298"/>
    <w:rsid w:val="00E44506"/>
    <w:rsid w:val="00E44804"/>
    <w:rsid w:val="00E45228"/>
    <w:rsid w:val="00E45310"/>
    <w:rsid w:val="00E460C7"/>
    <w:rsid w:val="00E46712"/>
    <w:rsid w:val="00E46DCA"/>
    <w:rsid w:val="00E4778F"/>
    <w:rsid w:val="00E47E73"/>
    <w:rsid w:val="00E50028"/>
    <w:rsid w:val="00E5014E"/>
    <w:rsid w:val="00E501C3"/>
    <w:rsid w:val="00E51B33"/>
    <w:rsid w:val="00E52A32"/>
    <w:rsid w:val="00E52D45"/>
    <w:rsid w:val="00E5363A"/>
    <w:rsid w:val="00E53B59"/>
    <w:rsid w:val="00E53ED4"/>
    <w:rsid w:val="00E54BB2"/>
    <w:rsid w:val="00E554C6"/>
    <w:rsid w:val="00E5591B"/>
    <w:rsid w:val="00E55F0F"/>
    <w:rsid w:val="00E566BF"/>
    <w:rsid w:val="00E57171"/>
    <w:rsid w:val="00E57602"/>
    <w:rsid w:val="00E5785C"/>
    <w:rsid w:val="00E57A5A"/>
    <w:rsid w:val="00E57DD0"/>
    <w:rsid w:val="00E60298"/>
    <w:rsid w:val="00E610A2"/>
    <w:rsid w:val="00E610E8"/>
    <w:rsid w:val="00E61955"/>
    <w:rsid w:val="00E61B69"/>
    <w:rsid w:val="00E61EEE"/>
    <w:rsid w:val="00E6244C"/>
    <w:rsid w:val="00E62A6F"/>
    <w:rsid w:val="00E62D77"/>
    <w:rsid w:val="00E64249"/>
    <w:rsid w:val="00E647A9"/>
    <w:rsid w:val="00E64EF6"/>
    <w:rsid w:val="00E65CEA"/>
    <w:rsid w:val="00E66428"/>
    <w:rsid w:val="00E6712B"/>
    <w:rsid w:val="00E6770C"/>
    <w:rsid w:val="00E67E4E"/>
    <w:rsid w:val="00E70680"/>
    <w:rsid w:val="00E713C1"/>
    <w:rsid w:val="00E71980"/>
    <w:rsid w:val="00E71E53"/>
    <w:rsid w:val="00E71ED0"/>
    <w:rsid w:val="00E72914"/>
    <w:rsid w:val="00E72BCC"/>
    <w:rsid w:val="00E72F40"/>
    <w:rsid w:val="00E73691"/>
    <w:rsid w:val="00E73CBC"/>
    <w:rsid w:val="00E7402E"/>
    <w:rsid w:val="00E74550"/>
    <w:rsid w:val="00E745D0"/>
    <w:rsid w:val="00E74A49"/>
    <w:rsid w:val="00E74B4D"/>
    <w:rsid w:val="00E758E8"/>
    <w:rsid w:val="00E76D4F"/>
    <w:rsid w:val="00E77A16"/>
    <w:rsid w:val="00E802FC"/>
    <w:rsid w:val="00E807F2"/>
    <w:rsid w:val="00E809FD"/>
    <w:rsid w:val="00E80EAC"/>
    <w:rsid w:val="00E81FF8"/>
    <w:rsid w:val="00E837C4"/>
    <w:rsid w:val="00E84297"/>
    <w:rsid w:val="00E84339"/>
    <w:rsid w:val="00E8475A"/>
    <w:rsid w:val="00E849A9"/>
    <w:rsid w:val="00E84AD9"/>
    <w:rsid w:val="00E84B61"/>
    <w:rsid w:val="00E84DD1"/>
    <w:rsid w:val="00E84DFD"/>
    <w:rsid w:val="00E85398"/>
    <w:rsid w:val="00E861EA"/>
    <w:rsid w:val="00E86378"/>
    <w:rsid w:val="00E86B1D"/>
    <w:rsid w:val="00E87146"/>
    <w:rsid w:val="00E873E2"/>
    <w:rsid w:val="00E87835"/>
    <w:rsid w:val="00E91AD4"/>
    <w:rsid w:val="00E91B69"/>
    <w:rsid w:val="00E91C93"/>
    <w:rsid w:val="00E92000"/>
    <w:rsid w:val="00E93091"/>
    <w:rsid w:val="00E932DC"/>
    <w:rsid w:val="00E9348A"/>
    <w:rsid w:val="00E935B8"/>
    <w:rsid w:val="00E93C68"/>
    <w:rsid w:val="00E949DE"/>
    <w:rsid w:val="00E949EB"/>
    <w:rsid w:val="00E952FA"/>
    <w:rsid w:val="00E95A0E"/>
    <w:rsid w:val="00E95BA8"/>
    <w:rsid w:val="00E95BAE"/>
    <w:rsid w:val="00E96232"/>
    <w:rsid w:val="00E96377"/>
    <w:rsid w:val="00E96484"/>
    <w:rsid w:val="00E964AA"/>
    <w:rsid w:val="00E96B3D"/>
    <w:rsid w:val="00E970CB"/>
    <w:rsid w:val="00E97665"/>
    <w:rsid w:val="00E976EE"/>
    <w:rsid w:val="00EA0B55"/>
    <w:rsid w:val="00EA13D2"/>
    <w:rsid w:val="00EA20A2"/>
    <w:rsid w:val="00EA2AD0"/>
    <w:rsid w:val="00EA2B62"/>
    <w:rsid w:val="00EA37EB"/>
    <w:rsid w:val="00EA383F"/>
    <w:rsid w:val="00EA4396"/>
    <w:rsid w:val="00EA50B0"/>
    <w:rsid w:val="00EA542F"/>
    <w:rsid w:val="00EA5BDD"/>
    <w:rsid w:val="00EA5C48"/>
    <w:rsid w:val="00EA5E57"/>
    <w:rsid w:val="00EA6FBD"/>
    <w:rsid w:val="00EA7672"/>
    <w:rsid w:val="00EA7B99"/>
    <w:rsid w:val="00EA7E80"/>
    <w:rsid w:val="00EB071E"/>
    <w:rsid w:val="00EB0720"/>
    <w:rsid w:val="00EB0FB0"/>
    <w:rsid w:val="00EB15B0"/>
    <w:rsid w:val="00EB1FBA"/>
    <w:rsid w:val="00EB3394"/>
    <w:rsid w:val="00EB39D0"/>
    <w:rsid w:val="00EB4288"/>
    <w:rsid w:val="00EB4507"/>
    <w:rsid w:val="00EB4D29"/>
    <w:rsid w:val="00EB536B"/>
    <w:rsid w:val="00EB64C1"/>
    <w:rsid w:val="00EB6B62"/>
    <w:rsid w:val="00EB6D3A"/>
    <w:rsid w:val="00EB73E0"/>
    <w:rsid w:val="00EB7844"/>
    <w:rsid w:val="00EC1355"/>
    <w:rsid w:val="00EC1A23"/>
    <w:rsid w:val="00EC2CEB"/>
    <w:rsid w:val="00EC3171"/>
    <w:rsid w:val="00EC3477"/>
    <w:rsid w:val="00EC3A23"/>
    <w:rsid w:val="00EC3BA6"/>
    <w:rsid w:val="00EC4027"/>
    <w:rsid w:val="00EC4429"/>
    <w:rsid w:val="00EC44A9"/>
    <w:rsid w:val="00EC4A54"/>
    <w:rsid w:val="00EC5286"/>
    <w:rsid w:val="00EC52EF"/>
    <w:rsid w:val="00EC5CCE"/>
    <w:rsid w:val="00EC65CF"/>
    <w:rsid w:val="00EC7B0E"/>
    <w:rsid w:val="00ED00B6"/>
    <w:rsid w:val="00ED0214"/>
    <w:rsid w:val="00ED0AB2"/>
    <w:rsid w:val="00ED0D78"/>
    <w:rsid w:val="00ED23B7"/>
    <w:rsid w:val="00ED2416"/>
    <w:rsid w:val="00ED2FCE"/>
    <w:rsid w:val="00ED3743"/>
    <w:rsid w:val="00ED438D"/>
    <w:rsid w:val="00ED4749"/>
    <w:rsid w:val="00ED4DC7"/>
    <w:rsid w:val="00ED55DE"/>
    <w:rsid w:val="00ED5B9F"/>
    <w:rsid w:val="00ED60DB"/>
    <w:rsid w:val="00ED7030"/>
    <w:rsid w:val="00EE0BF9"/>
    <w:rsid w:val="00EE0DF1"/>
    <w:rsid w:val="00EE0EEA"/>
    <w:rsid w:val="00EE155F"/>
    <w:rsid w:val="00EE17F3"/>
    <w:rsid w:val="00EE1B79"/>
    <w:rsid w:val="00EE1B8D"/>
    <w:rsid w:val="00EE1C5F"/>
    <w:rsid w:val="00EE1EE7"/>
    <w:rsid w:val="00EE2116"/>
    <w:rsid w:val="00EE2A41"/>
    <w:rsid w:val="00EE30A7"/>
    <w:rsid w:val="00EE34DF"/>
    <w:rsid w:val="00EE3870"/>
    <w:rsid w:val="00EE4316"/>
    <w:rsid w:val="00EE517A"/>
    <w:rsid w:val="00EE5418"/>
    <w:rsid w:val="00EE616D"/>
    <w:rsid w:val="00EE628C"/>
    <w:rsid w:val="00EE66A3"/>
    <w:rsid w:val="00EE6739"/>
    <w:rsid w:val="00EE67E1"/>
    <w:rsid w:val="00EE7259"/>
    <w:rsid w:val="00EF09B5"/>
    <w:rsid w:val="00EF0A79"/>
    <w:rsid w:val="00EF184E"/>
    <w:rsid w:val="00EF1D6F"/>
    <w:rsid w:val="00EF2284"/>
    <w:rsid w:val="00EF2D93"/>
    <w:rsid w:val="00EF2F2E"/>
    <w:rsid w:val="00EF41A6"/>
    <w:rsid w:val="00EF42AC"/>
    <w:rsid w:val="00EF4AFF"/>
    <w:rsid w:val="00EF581E"/>
    <w:rsid w:val="00EF5972"/>
    <w:rsid w:val="00EF5F20"/>
    <w:rsid w:val="00EF5F8D"/>
    <w:rsid w:val="00EF7791"/>
    <w:rsid w:val="00EF7DB7"/>
    <w:rsid w:val="00EF7F5B"/>
    <w:rsid w:val="00EF7FB6"/>
    <w:rsid w:val="00F00045"/>
    <w:rsid w:val="00F00779"/>
    <w:rsid w:val="00F00D18"/>
    <w:rsid w:val="00F00D59"/>
    <w:rsid w:val="00F01169"/>
    <w:rsid w:val="00F012CB"/>
    <w:rsid w:val="00F0130C"/>
    <w:rsid w:val="00F01359"/>
    <w:rsid w:val="00F02299"/>
    <w:rsid w:val="00F024E9"/>
    <w:rsid w:val="00F031D8"/>
    <w:rsid w:val="00F03450"/>
    <w:rsid w:val="00F03A65"/>
    <w:rsid w:val="00F03B3D"/>
    <w:rsid w:val="00F03DB5"/>
    <w:rsid w:val="00F05249"/>
    <w:rsid w:val="00F05BCA"/>
    <w:rsid w:val="00F061F3"/>
    <w:rsid w:val="00F06CCB"/>
    <w:rsid w:val="00F06FA9"/>
    <w:rsid w:val="00F07EB3"/>
    <w:rsid w:val="00F102CD"/>
    <w:rsid w:val="00F10566"/>
    <w:rsid w:val="00F108BF"/>
    <w:rsid w:val="00F10E9E"/>
    <w:rsid w:val="00F10F9D"/>
    <w:rsid w:val="00F11528"/>
    <w:rsid w:val="00F12AAB"/>
    <w:rsid w:val="00F12EC0"/>
    <w:rsid w:val="00F138C7"/>
    <w:rsid w:val="00F14A1C"/>
    <w:rsid w:val="00F14C8C"/>
    <w:rsid w:val="00F14F59"/>
    <w:rsid w:val="00F15D7A"/>
    <w:rsid w:val="00F165FA"/>
    <w:rsid w:val="00F1665B"/>
    <w:rsid w:val="00F17580"/>
    <w:rsid w:val="00F20491"/>
    <w:rsid w:val="00F20527"/>
    <w:rsid w:val="00F20AC6"/>
    <w:rsid w:val="00F210BD"/>
    <w:rsid w:val="00F212FF"/>
    <w:rsid w:val="00F2130D"/>
    <w:rsid w:val="00F214C1"/>
    <w:rsid w:val="00F21675"/>
    <w:rsid w:val="00F2191B"/>
    <w:rsid w:val="00F22B6B"/>
    <w:rsid w:val="00F234D3"/>
    <w:rsid w:val="00F23E1B"/>
    <w:rsid w:val="00F23F2C"/>
    <w:rsid w:val="00F2461B"/>
    <w:rsid w:val="00F246CF"/>
    <w:rsid w:val="00F24C11"/>
    <w:rsid w:val="00F24FAB"/>
    <w:rsid w:val="00F25592"/>
    <w:rsid w:val="00F255F7"/>
    <w:rsid w:val="00F2562C"/>
    <w:rsid w:val="00F26291"/>
    <w:rsid w:val="00F26979"/>
    <w:rsid w:val="00F26CFC"/>
    <w:rsid w:val="00F27BE3"/>
    <w:rsid w:val="00F30169"/>
    <w:rsid w:val="00F30C2E"/>
    <w:rsid w:val="00F30E1D"/>
    <w:rsid w:val="00F32C45"/>
    <w:rsid w:val="00F337B9"/>
    <w:rsid w:val="00F3404F"/>
    <w:rsid w:val="00F34761"/>
    <w:rsid w:val="00F34B86"/>
    <w:rsid w:val="00F3585D"/>
    <w:rsid w:val="00F35B7D"/>
    <w:rsid w:val="00F35E9E"/>
    <w:rsid w:val="00F36134"/>
    <w:rsid w:val="00F36700"/>
    <w:rsid w:val="00F36B3D"/>
    <w:rsid w:val="00F36C2F"/>
    <w:rsid w:val="00F37A7F"/>
    <w:rsid w:val="00F37D14"/>
    <w:rsid w:val="00F40B2A"/>
    <w:rsid w:val="00F417D7"/>
    <w:rsid w:val="00F42F3D"/>
    <w:rsid w:val="00F43084"/>
    <w:rsid w:val="00F430A6"/>
    <w:rsid w:val="00F43367"/>
    <w:rsid w:val="00F4543B"/>
    <w:rsid w:val="00F45E12"/>
    <w:rsid w:val="00F46710"/>
    <w:rsid w:val="00F46736"/>
    <w:rsid w:val="00F46B67"/>
    <w:rsid w:val="00F46F2D"/>
    <w:rsid w:val="00F5059E"/>
    <w:rsid w:val="00F50664"/>
    <w:rsid w:val="00F50A75"/>
    <w:rsid w:val="00F50EDA"/>
    <w:rsid w:val="00F50F5E"/>
    <w:rsid w:val="00F512D5"/>
    <w:rsid w:val="00F5286D"/>
    <w:rsid w:val="00F53060"/>
    <w:rsid w:val="00F54325"/>
    <w:rsid w:val="00F54629"/>
    <w:rsid w:val="00F54D07"/>
    <w:rsid w:val="00F54F56"/>
    <w:rsid w:val="00F5535A"/>
    <w:rsid w:val="00F5577F"/>
    <w:rsid w:val="00F557A1"/>
    <w:rsid w:val="00F56255"/>
    <w:rsid w:val="00F56524"/>
    <w:rsid w:val="00F56602"/>
    <w:rsid w:val="00F57235"/>
    <w:rsid w:val="00F57393"/>
    <w:rsid w:val="00F579D6"/>
    <w:rsid w:val="00F57B7D"/>
    <w:rsid w:val="00F57DB6"/>
    <w:rsid w:val="00F60167"/>
    <w:rsid w:val="00F60A29"/>
    <w:rsid w:val="00F611CB"/>
    <w:rsid w:val="00F6123E"/>
    <w:rsid w:val="00F61583"/>
    <w:rsid w:val="00F621B3"/>
    <w:rsid w:val="00F624FB"/>
    <w:rsid w:val="00F62615"/>
    <w:rsid w:val="00F62CD3"/>
    <w:rsid w:val="00F62DFF"/>
    <w:rsid w:val="00F631DD"/>
    <w:rsid w:val="00F63DF6"/>
    <w:rsid w:val="00F63FB7"/>
    <w:rsid w:val="00F641B8"/>
    <w:rsid w:val="00F642E4"/>
    <w:rsid w:val="00F64C24"/>
    <w:rsid w:val="00F70466"/>
    <w:rsid w:val="00F7184C"/>
    <w:rsid w:val="00F72290"/>
    <w:rsid w:val="00F72733"/>
    <w:rsid w:val="00F72BD4"/>
    <w:rsid w:val="00F72CC5"/>
    <w:rsid w:val="00F735F4"/>
    <w:rsid w:val="00F738AF"/>
    <w:rsid w:val="00F750F6"/>
    <w:rsid w:val="00F75C84"/>
    <w:rsid w:val="00F75F09"/>
    <w:rsid w:val="00F764F6"/>
    <w:rsid w:val="00F76893"/>
    <w:rsid w:val="00F76C0E"/>
    <w:rsid w:val="00F77789"/>
    <w:rsid w:val="00F77A19"/>
    <w:rsid w:val="00F77C60"/>
    <w:rsid w:val="00F8040D"/>
    <w:rsid w:val="00F8089B"/>
    <w:rsid w:val="00F8125A"/>
    <w:rsid w:val="00F817E9"/>
    <w:rsid w:val="00F818FE"/>
    <w:rsid w:val="00F824F6"/>
    <w:rsid w:val="00F82663"/>
    <w:rsid w:val="00F826FA"/>
    <w:rsid w:val="00F830E6"/>
    <w:rsid w:val="00F832D2"/>
    <w:rsid w:val="00F84062"/>
    <w:rsid w:val="00F8452F"/>
    <w:rsid w:val="00F8505B"/>
    <w:rsid w:val="00F85479"/>
    <w:rsid w:val="00F8551A"/>
    <w:rsid w:val="00F858AF"/>
    <w:rsid w:val="00F85FC6"/>
    <w:rsid w:val="00F86724"/>
    <w:rsid w:val="00F86E72"/>
    <w:rsid w:val="00F8748A"/>
    <w:rsid w:val="00F875EB"/>
    <w:rsid w:val="00F8781E"/>
    <w:rsid w:val="00F87A49"/>
    <w:rsid w:val="00F90358"/>
    <w:rsid w:val="00F90D6A"/>
    <w:rsid w:val="00F90F38"/>
    <w:rsid w:val="00F90F3C"/>
    <w:rsid w:val="00F91143"/>
    <w:rsid w:val="00F921C2"/>
    <w:rsid w:val="00F9241C"/>
    <w:rsid w:val="00F92A95"/>
    <w:rsid w:val="00F93B7B"/>
    <w:rsid w:val="00F93FE5"/>
    <w:rsid w:val="00F94075"/>
    <w:rsid w:val="00F94980"/>
    <w:rsid w:val="00F9501A"/>
    <w:rsid w:val="00F958DB"/>
    <w:rsid w:val="00F95D33"/>
    <w:rsid w:val="00F9622A"/>
    <w:rsid w:val="00F96E99"/>
    <w:rsid w:val="00F9747D"/>
    <w:rsid w:val="00F97A3D"/>
    <w:rsid w:val="00FA00E2"/>
    <w:rsid w:val="00FA03AF"/>
    <w:rsid w:val="00FA0A19"/>
    <w:rsid w:val="00FA18FB"/>
    <w:rsid w:val="00FA2672"/>
    <w:rsid w:val="00FA281D"/>
    <w:rsid w:val="00FA28FC"/>
    <w:rsid w:val="00FA31BD"/>
    <w:rsid w:val="00FA364B"/>
    <w:rsid w:val="00FA3BDB"/>
    <w:rsid w:val="00FA4265"/>
    <w:rsid w:val="00FA4758"/>
    <w:rsid w:val="00FA4E68"/>
    <w:rsid w:val="00FA54B5"/>
    <w:rsid w:val="00FA595F"/>
    <w:rsid w:val="00FA609F"/>
    <w:rsid w:val="00FA62F5"/>
    <w:rsid w:val="00FA6759"/>
    <w:rsid w:val="00FA6EEC"/>
    <w:rsid w:val="00FA730E"/>
    <w:rsid w:val="00FB048A"/>
    <w:rsid w:val="00FB0AEF"/>
    <w:rsid w:val="00FB129E"/>
    <w:rsid w:val="00FB2A07"/>
    <w:rsid w:val="00FB2D24"/>
    <w:rsid w:val="00FB34F8"/>
    <w:rsid w:val="00FB6475"/>
    <w:rsid w:val="00FB77FB"/>
    <w:rsid w:val="00FB7E66"/>
    <w:rsid w:val="00FC0B5F"/>
    <w:rsid w:val="00FC10D0"/>
    <w:rsid w:val="00FC1FD4"/>
    <w:rsid w:val="00FC3307"/>
    <w:rsid w:val="00FC350D"/>
    <w:rsid w:val="00FC35CA"/>
    <w:rsid w:val="00FC3A99"/>
    <w:rsid w:val="00FC3E8A"/>
    <w:rsid w:val="00FC42FA"/>
    <w:rsid w:val="00FC43D1"/>
    <w:rsid w:val="00FC45F0"/>
    <w:rsid w:val="00FC4B2C"/>
    <w:rsid w:val="00FC5973"/>
    <w:rsid w:val="00FC5A48"/>
    <w:rsid w:val="00FC60FB"/>
    <w:rsid w:val="00FC671D"/>
    <w:rsid w:val="00FC707C"/>
    <w:rsid w:val="00FC73B8"/>
    <w:rsid w:val="00FC768A"/>
    <w:rsid w:val="00FC79C1"/>
    <w:rsid w:val="00FC7A35"/>
    <w:rsid w:val="00FD00A2"/>
    <w:rsid w:val="00FD0570"/>
    <w:rsid w:val="00FD065D"/>
    <w:rsid w:val="00FD179E"/>
    <w:rsid w:val="00FD22C8"/>
    <w:rsid w:val="00FD28AC"/>
    <w:rsid w:val="00FD2FC0"/>
    <w:rsid w:val="00FD39BD"/>
    <w:rsid w:val="00FD3DE2"/>
    <w:rsid w:val="00FD410A"/>
    <w:rsid w:val="00FD436A"/>
    <w:rsid w:val="00FD4A3E"/>
    <w:rsid w:val="00FD531E"/>
    <w:rsid w:val="00FD547C"/>
    <w:rsid w:val="00FD558A"/>
    <w:rsid w:val="00FD5C0F"/>
    <w:rsid w:val="00FD6506"/>
    <w:rsid w:val="00FD6BF1"/>
    <w:rsid w:val="00FD7067"/>
    <w:rsid w:val="00FD7266"/>
    <w:rsid w:val="00FD74F6"/>
    <w:rsid w:val="00FD7E20"/>
    <w:rsid w:val="00FD7E5B"/>
    <w:rsid w:val="00FE04BA"/>
    <w:rsid w:val="00FE0518"/>
    <w:rsid w:val="00FE29BE"/>
    <w:rsid w:val="00FE2F4C"/>
    <w:rsid w:val="00FE3852"/>
    <w:rsid w:val="00FE38F2"/>
    <w:rsid w:val="00FE3A4F"/>
    <w:rsid w:val="00FE3EF1"/>
    <w:rsid w:val="00FE469C"/>
    <w:rsid w:val="00FE4BDE"/>
    <w:rsid w:val="00FE542D"/>
    <w:rsid w:val="00FE6275"/>
    <w:rsid w:val="00FE678A"/>
    <w:rsid w:val="00FE7783"/>
    <w:rsid w:val="00FE7840"/>
    <w:rsid w:val="00FE7AAE"/>
    <w:rsid w:val="00FF12D2"/>
    <w:rsid w:val="00FF19D7"/>
    <w:rsid w:val="00FF1D56"/>
    <w:rsid w:val="00FF2A67"/>
    <w:rsid w:val="00FF334A"/>
    <w:rsid w:val="00FF3529"/>
    <w:rsid w:val="00FF4CD8"/>
    <w:rsid w:val="00FF4DBF"/>
    <w:rsid w:val="00FF51D2"/>
    <w:rsid w:val="00FF51D4"/>
    <w:rsid w:val="00FF617D"/>
    <w:rsid w:val="00FF6A81"/>
    <w:rsid w:val="00FF6B41"/>
    <w:rsid w:val="00FF6EE9"/>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ANormal"/>
    <w:qFormat/>
    <w:rsid w:val="00A4251E"/>
    <w:pPr>
      <w:spacing w:after="0" w:line="240" w:lineRule="auto"/>
      <w:ind w:firstLine="720"/>
    </w:pPr>
    <w:rPr>
      <w:rFonts w:eastAsiaTheme="minorEastAsia"/>
    </w:rPr>
  </w:style>
  <w:style w:type="paragraph" w:styleId="Heading1">
    <w:name w:val="heading 1"/>
    <w:aliases w:val="AAHeading 1"/>
    <w:basedOn w:val="Normal"/>
    <w:next w:val="Normal"/>
    <w:link w:val="Heading1Char"/>
    <w:autoRedefine/>
    <w:qFormat/>
    <w:rsid w:val="003A15D1"/>
    <w:pPr>
      <w:keepNext/>
      <w:keepLines/>
      <w:spacing w:before="360" w:after="240"/>
      <w:ind w:firstLine="0"/>
      <w:outlineLvl w:val="0"/>
    </w:pPr>
    <w:rPr>
      <w:rFonts w:eastAsiaTheme="minorHAnsi" w:cstheme="majorBidi"/>
      <w:b/>
      <w:bCs/>
      <w:iCs/>
      <w:sz w:val="28"/>
    </w:rPr>
  </w:style>
  <w:style w:type="paragraph" w:styleId="Heading2">
    <w:name w:val="heading 2"/>
    <w:aliases w:val="AAHeading 2"/>
    <w:basedOn w:val="Normal"/>
    <w:next w:val="Normal"/>
    <w:link w:val="Heading2Char"/>
    <w:autoRedefine/>
    <w:unhideWhenUsed/>
    <w:qFormat/>
    <w:rsid w:val="00C32D2F"/>
    <w:pPr>
      <w:keepNext/>
      <w:keepLines/>
      <w:spacing w:before="200" w:after="120"/>
      <w:ind w:firstLine="0"/>
      <w:outlineLvl w:val="1"/>
    </w:pPr>
    <w:rPr>
      <w:rFonts w:eastAsiaTheme="majorEastAsia" w:cstheme="majorBidi"/>
      <w:b/>
      <w:bCs/>
      <w:sz w:val="26"/>
    </w:rPr>
  </w:style>
  <w:style w:type="paragraph" w:styleId="Heading3">
    <w:name w:val="heading 3"/>
    <w:basedOn w:val="Normal"/>
    <w:next w:val="Normal"/>
    <w:link w:val="Heading3Char"/>
    <w:autoRedefine/>
    <w:unhideWhenUsed/>
    <w:qFormat/>
    <w:rsid w:val="009955B8"/>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semiHidden/>
    <w:qFormat/>
    <w:rsid w:val="005F506D"/>
    <w:pPr>
      <w:widowControl w:val="0"/>
      <w:autoSpaceDE w:val="0"/>
      <w:autoSpaceDN w:val="0"/>
      <w:adjustRightInd w:val="0"/>
      <w:ind w:firstLine="0"/>
      <w:outlineLvl w:val="3"/>
    </w:pPr>
    <w:rPr>
      <w:rFonts w:ascii="Tahoma" w:eastAsia="Times New Roman" w:hAnsi="Tahoma" w:cs="Times New Roman"/>
      <w:sz w:val="38"/>
      <w:szCs w:val="20"/>
    </w:rPr>
  </w:style>
  <w:style w:type="paragraph" w:styleId="Heading5">
    <w:name w:val="heading 5"/>
    <w:basedOn w:val="Normal"/>
    <w:next w:val="Normal"/>
    <w:link w:val="Heading5Char"/>
    <w:semiHidden/>
    <w:qFormat/>
    <w:rsid w:val="005F506D"/>
    <w:pPr>
      <w:keepNext/>
      <w:spacing w:line="480" w:lineRule="auto"/>
      <w:ind w:firstLine="0"/>
      <w:outlineLvl w:val="4"/>
    </w:pPr>
    <w:rPr>
      <w:rFonts w:ascii="Times New Roman" w:eastAsia="Times New Roman" w:hAnsi="Times New Roman" w:cs="Times New Roman"/>
      <w:sz w:val="36"/>
      <w:szCs w:val="20"/>
    </w:rPr>
  </w:style>
  <w:style w:type="paragraph" w:styleId="Heading6">
    <w:name w:val="heading 6"/>
    <w:basedOn w:val="Normal"/>
    <w:next w:val="Normal"/>
    <w:link w:val="Heading6Char"/>
    <w:semiHidden/>
    <w:qFormat/>
    <w:rsid w:val="005F506D"/>
    <w:pPr>
      <w:keepNext/>
      <w:ind w:firstLine="0"/>
      <w:outlineLvl w:val="5"/>
    </w:pPr>
    <w:rPr>
      <w:rFonts w:ascii="Times New Roman" w:eastAsia="Times New Roman" w:hAnsi="Times New Roman" w:cs="Times New Roman"/>
      <w:sz w:val="34"/>
      <w:szCs w:val="20"/>
    </w:rPr>
  </w:style>
  <w:style w:type="paragraph" w:styleId="Heading7">
    <w:name w:val="heading 7"/>
    <w:basedOn w:val="Normal"/>
    <w:next w:val="Normal"/>
    <w:link w:val="Heading7Char"/>
    <w:semiHidden/>
    <w:qFormat/>
    <w:rsid w:val="005F506D"/>
    <w:pPr>
      <w:keepNext/>
      <w:ind w:firstLine="0"/>
      <w:outlineLvl w:val="6"/>
    </w:pPr>
    <w:rPr>
      <w:rFonts w:ascii="Times New Roman" w:eastAsia="Times New Roman" w:hAnsi="Times New Roman" w:cs="Times New Roman"/>
      <w:sz w:val="32"/>
      <w:szCs w:val="20"/>
    </w:rPr>
  </w:style>
  <w:style w:type="paragraph" w:styleId="Heading8">
    <w:name w:val="heading 8"/>
    <w:basedOn w:val="Normal"/>
    <w:next w:val="Normal"/>
    <w:link w:val="Heading8Char"/>
    <w:semiHidden/>
    <w:qFormat/>
    <w:rsid w:val="005F506D"/>
    <w:pPr>
      <w:keepNext/>
      <w:ind w:firstLine="0"/>
      <w:outlineLvl w:val="7"/>
    </w:pPr>
    <w:rPr>
      <w:rFonts w:ascii="Times New Roman" w:eastAsia="Times New Roman" w:hAnsi="Times New Roman" w:cs="Times New Roman"/>
      <w:sz w:val="30"/>
      <w:szCs w:val="20"/>
    </w:rPr>
  </w:style>
  <w:style w:type="paragraph" w:styleId="Heading9">
    <w:name w:val="heading 9"/>
    <w:basedOn w:val="Normal"/>
    <w:next w:val="Normal"/>
    <w:link w:val="Heading9Char"/>
    <w:semiHidden/>
    <w:qFormat/>
    <w:rsid w:val="005F506D"/>
    <w:pPr>
      <w:keepNext/>
      <w:ind w:firstLine="0"/>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aliases w:val="AAList Paragraph,AAList"/>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aliases w:val="AAHeading 1 Char"/>
    <w:basedOn w:val="DefaultParagraphFont"/>
    <w:link w:val="Heading1"/>
    <w:rsid w:val="003A15D1"/>
    <w:rPr>
      <w:rFonts w:cstheme="majorBidi"/>
      <w:b/>
      <w:bCs/>
      <w:iCs/>
      <w:sz w:val="28"/>
    </w:rPr>
  </w:style>
  <w:style w:type="character" w:customStyle="1" w:styleId="Heading2Char">
    <w:name w:val="Heading 2 Char"/>
    <w:aliases w:val="AAHeading 2 Char"/>
    <w:basedOn w:val="DefaultParagraphFont"/>
    <w:link w:val="Heading2"/>
    <w:rsid w:val="00C32D2F"/>
    <w:rPr>
      <w:rFonts w:eastAsiaTheme="majorEastAsia" w:cstheme="majorBidi"/>
      <w:b/>
      <w:bCs/>
      <w:sz w:val="26"/>
    </w:rPr>
  </w:style>
  <w:style w:type="paragraph" w:styleId="Title">
    <w:name w:val="Title"/>
    <w:basedOn w:val="Normal"/>
    <w:next w:val="Normal"/>
    <w:link w:val="TitleChar"/>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rsid w:val="009955B8"/>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3E3153"/>
    <w:pPr>
      <w:ind w:firstLine="0"/>
    </w:pPr>
    <w:rPr>
      <w:rFonts w:cs="Times New Roman"/>
      <w:lang w:bidi="he-IL"/>
    </w:rPr>
  </w:style>
  <w:style w:type="character" w:customStyle="1" w:styleId="PlainTextChar">
    <w:name w:val="Plain Text Char"/>
    <w:basedOn w:val="DefaultParagraphFont"/>
    <w:link w:val="PlainText"/>
    <w:rsid w:val="003E3153"/>
    <w:rPr>
      <w:rFonts w:eastAsiaTheme="minorEastAsia" w:cs="Times New Roman"/>
      <w:lang w:bidi="he-IL"/>
    </w:rPr>
  </w:style>
  <w:style w:type="paragraph" w:styleId="FootnoteText">
    <w:name w:val="footnote text"/>
    <w:basedOn w:val="Normal"/>
    <w:link w:val="FootnoteTextChar"/>
    <w:uiPriority w:val="99"/>
    <w:unhideWhenUsed/>
    <w:rsid w:val="00622F9D"/>
    <w:rPr>
      <w:sz w:val="20"/>
      <w:szCs w:val="20"/>
    </w:rPr>
  </w:style>
  <w:style w:type="character" w:customStyle="1" w:styleId="FootnoteTextChar">
    <w:name w:val="Footnote Text Char"/>
    <w:basedOn w:val="DefaultParagraphFont"/>
    <w:link w:val="FootnoteText"/>
    <w:uiPriority w:val="99"/>
    <w:rsid w:val="00622F9D"/>
    <w:rPr>
      <w:rFonts w:eastAsiaTheme="minorEastAsia"/>
      <w:sz w:val="20"/>
      <w:szCs w:val="20"/>
    </w:rPr>
  </w:style>
  <w:style w:type="character" w:styleId="FootnoteReference">
    <w:name w:val="footnote reference"/>
    <w:basedOn w:val="DefaultParagraphFont"/>
    <w:uiPriority w:val="99"/>
    <w:semiHidden/>
    <w:unhideWhenUsed/>
    <w:rsid w:val="00622F9D"/>
    <w:rPr>
      <w:vertAlign w:val="superscript"/>
    </w:rPr>
  </w:style>
  <w:style w:type="paragraph" w:customStyle="1" w:styleId="p">
    <w:name w:val="p"/>
    <w:rsid w:val="001B2642"/>
    <w:pPr>
      <w:widowControl w:val="0"/>
      <w:spacing w:after="0" w:line="360" w:lineRule="auto"/>
      <w:ind w:firstLine="720"/>
    </w:pPr>
    <w:rPr>
      <w:rFonts w:ascii="Times New Roman" w:eastAsia="Times New Roman" w:hAnsi="Times New Roman" w:cs="Times New Roman"/>
      <w:sz w:val="24"/>
      <w:szCs w:val="24"/>
    </w:rPr>
  </w:style>
  <w:style w:type="paragraph" w:customStyle="1" w:styleId="pf">
    <w:name w:val="pf"/>
    <w:rsid w:val="001B2642"/>
    <w:pPr>
      <w:widowControl w:val="0"/>
      <w:spacing w:before="480" w:after="0" w:line="360" w:lineRule="auto"/>
    </w:pPr>
    <w:rPr>
      <w:rFonts w:ascii="Times New Roman" w:eastAsia="Times New Roman" w:hAnsi="Times New Roman" w:cs="Times New Roman"/>
      <w:noProof/>
      <w:sz w:val="24"/>
      <w:szCs w:val="24"/>
    </w:rPr>
  </w:style>
  <w:style w:type="character" w:customStyle="1" w:styleId="i">
    <w:name w:val="i"/>
    <w:rsid w:val="001B2642"/>
    <w:rPr>
      <w:i/>
      <w:color w:val="008000"/>
      <w:szCs w:val="24"/>
      <w:bdr w:val="none" w:sz="0" w:space="0" w:color="auto"/>
    </w:rPr>
  </w:style>
  <w:style w:type="character" w:styleId="LineNumber">
    <w:name w:val="line number"/>
    <w:basedOn w:val="DefaultParagraphFont"/>
    <w:uiPriority w:val="99"/>
    <w:semiHidden/>
    <w:unhideWhenUsed/>
    <w:rsid w:val="00666D38"/>
  </w:style>
  <w:style w:type="character" w:customStyle="1" w:styleId="Heading4Char">
    <w:name w:val="Heading 4 Char"/>
    <w:basedOn w:val="DefaultParagraphFont"/>
    <w:link w:val="Heading4"/>
    <w:semiHidden/>
    <w:rsid w:val="005F506D"/>
    <w:rPr>
      <w:rFonts w:ascii="Tahoma" w:eastAsia="Times New Roman" w:hAnsi="Tahoma" w:cs="Times New Roman"/>
      <w:sz w:val="38"/>
      <w:szCs w:val="20"/>
    </w:rPr>
  </w:style>
  <w:style w:type="character" w:customStyle="1" w:styleId="Heading5Char">
    <w:name w:val="Heading 5 Char"/>
    <w:basedOn w:val="DefaultParagraphFont"/>
    <w:link w:val="Heading5"/>
    <w:semiHidden/>
    <w:rsid w:val="005F506D"/>
    <w:rPr>
      <w:rFonts w:ascii="Times New Roman" w:eastAsia="Times New Roman" w:hAnsi="Times New Roman" w:cs="Times New Roman"/>
      <w:sz w:val="36"/>
      <w:szCs w:val="20"/>
    </w:rPr>
  </w:style>
  <w:style w:type="character" w:customStyle="1" w:styleId="Heading6Char">
    <w:name w:val="Heading 6 Char"/>
    <w:basedOn w:val="DefaultParagraphFont"/>
    <w:link w:val="Heading6"/>
    <w:semiHidden/>
    <w:rsid w:val="005F506D"/>
    <w:rPr>
      <w:rFonts w:ascii="Times New Roman" w:eastAsia="Times New Roman" w:hAnsi="Times New Roman" w:cs="Times New Roman"/>
      <w:sz w:val="34"/>
      <w:szCs w:val="20"/>
    </w:rPr>
  </w:style>
  <w:style w:type="character" w:customStyle="1" w:styleId="Heading7Char">
    <w:name w:val="Heading 7 Char"/>
    <w:basedOn w:val="DefaultParagraphFont"/>
    <w:link w:val="Heading7"/>
    <w:semiHidden/>
    <w:rsid w:val="005F506D"/>
    <w:rPr>
      <w:rFonts w:ascii="Times New Roman" w:eastAsia="Times New Roman" w:hAnsi="Times New Roman" w:cs="Times New Roman"/>
      <w:sz w:val="32"/>
      <w:szCs w:val="20"/>
    </w:rPr>
  </w:style>
  <w:style w:type="character" w:customStyle="1" w:styleId="Heading8Char">
    <w:name w:val="Heading 8 Char"/>
    <w:basedOn w:val="DefaultParagraphFont"/>
    <w:link w:val="Heading8"/>
    <w:semiHidden/>
    <w:rsid w:val="005F506D"/>
    <w:rPr>
      <w:rFonts w:ascii="Times New Roman" w:eastAsia="Times New Roman" w:hAnsi="Times New Roman" w:cs="Times New Roman"/>
      <w:sz w:val="30"/>
      <w:szCs w:val="20"/>
    </w:rPr>
  </w:style>
  <w:style w:type="character" w:customStyle="1" w:styleId="Heading9Char">
    <w:name w:val="Heading 9 Char"/>
    <w:basedOn w:val="DefaultParagraphFont"/>
    <w:link w:val="Heading9"/>
    <w:semiHidden/>
    <w:rsid w:val="005F506D"/>
    <w:rPr>
      <w:rFonts w:ascii="Times New Roman" w:eastAsia="Times New Roman" w:hAnsi="Times New Roman" w:cs="Times New Roman"/>
      <w:sz w:val="28"/>
      <w:szCs w:val="20"/>
    </w:rPr>
  </w:style>
  <w:style w:type="paragraph" w:customStyle="1" w:styleId="Noparagraphstyle">
    <w:name w:val="[No paragraph style]"/>
    <w:rsid w:val="005F506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NormalParagraphStyle">
    <w:name w:val="NormalParagraphStyle"/>
    <w:basedOn w:val="Noparagraphstyle"/>
    <w:uiPriority w:val="99"/>
    <w:rsid w:val="005F506D"/>
    <w:pPr>
      <w:jc w:val="both"/>
    </w:pPr>
    <w:rPr>
      <w:rFonts w:ascii="PalatinoLTStd-Roman" w:hAnsi="PalatinoLTStd-Roman" w:cs="PalatinoLTStd-Roman"/>
      <w:sz w:val="20"/>
      <w:szCs w:val="20"/>
    </w:rPr>
  </w:style>
  <w:style w:type="paragraph" w:customStyle="1" w:styleId="MasterText">
    <w:name w:val="MasterText"/>
    <w:basedOn w:val="NormalParagraphStyle"/>
    <w:uiPriority w:val="99"/>
    <w:rsid w:val="005F506D"/>
    <w:rPr>
      <w:sz w:val="22"/>
      <w:szCs w:val="22"/>
    </w:rPr>
  </w:style>
  <w:style w:type="paragraph" w:customStyle="1" w:styleId="CN">
    <w:name w:val="CN"/>
    <w:basedOn w:val="MasterText"/>
    <w:next w:val="CT"/>
    <w:uiPriority w:val="99"/>
    <w:rsid w:val="005F506D"/>
    <w:pPr>
      <w:keepNext/>
      <w:keepLines/>
      <w:spacing w:line="240" w:lineRule="auto"/>
      <w:jc w:val="center"/>
    </w:pPr>
    <w:rPr>
      <w:rFonts w:ascii="AmericanaStd-ExtraBold" w:hAnsi="AmericanaStd-ExtraBold" w:cs="AmericanaStd-ExtraBold"/>
      <w:b/>
      <w:bCs/>
      <w:color w:val="FFFFFF"/>
      <w:sz w:val="136"/>
      <w:szCs w:val="136"/>
    </w:rPr>
  </w:style>
  <w:style w:type="paragraph" w:customStyle="1" w:styleId="MasterHead">
    <w:name w:val="MasterHead"/>
    <w:basedOn w:val="NormalParagraphStyle"/>
    <w:next w:val="T1"/>
    <w:uiPriority w:val="99"/>
    <w:rsid w:val="005F506D"/>
    <w:pPr>
      <w:keepNext/>
      <w:suppressAutoHyphens/>
      <w:spacing w:before="480" w:after="360" w:line="270" w:lineRule="auto"/>
      <w:jc w:val="left"/>
    </w:pPr>
    <w:rPr>
      <w:rFonts w:ascii="OptimaLTStd-Bold" w:hAnsi="OptimaLTStd-Bold" w:cs="OptimaLTStd-Bold"/>
      <w:b/>
      <w:bCs/>
      <w:sz w:val="32"/>
      <w:szCs w:val="32"/>
    </w:rPr>
  </w:style>
  <w:style w:type="paragraph" w:customStyle="1" w:styleId="CT">
    <w:name w:val="CT"/>
    <w:basedOn w:val="MasterHead"/>
    <w:next w:val="CTs"/>
    <w:uiPriority w:val="99"/>
    <w:rsid w:val="005F506D"/>
    <w:pPr>
      <w:keepLines/>
      <w:spacing w:before="0" w:after="0"/>
    </w:pPr>
    <w:rPr>
      <w:rFonts w:ascii="TrajanPro-Regular" w:hAnsi="TrajanPro-Regular" w:cs="TrajanPro-Regular"/>
      <w:sz w:val="40"/>
      <w:szCs w:val="40"/>
    </w:rPr>
  </w:style>
  <w:style w:type="paragraph" w:customStyle="1" w:styleId="CA">
    <w:name w:val="CA"/>
    <w:basedOn w:val="MasterText"/>
    <w:next w:val="CAA"/>
    <w:uiPriority w:val="99"/>
    <w:rsid w:val="005F506D"/>
    <w:pPr>
      <w:keepLines/>
      <w:suppressAutoHyphens/>
      <w:spacing w:before="240" w:after="960"/>
      <w:jc w:val="left"/>
    </w:pPr>
    <w:rPr>
      <w:rFonts w:ascii="OptimaLTStd-Medium" w:hAnsi="OptimaLTStd-Medium" w:cs="OptimaLTStd-Medium"/>
      <w:sz w:val="24"/>
      <w:szCs w:val="24"/>
    </w:rPr>
  </w:style>
  <w:style w:type="paragraph" w:customStyle="1" w:styleId="1">
    <w:name w:val="1"/>
    <w:basedOn w:val="MasterHead"/>
    <w:next w:val="T1"/>
    <w:uiPriority w:val="99"/>
    <w:rsid w:val="005F506D"/>
    <w:pPr>
      <w:keepLines/>
      <w:tabs>
        <w:tab w:val="left" w:pos="420"/>
      </w:tabs>
      <w:spacing w:before="600"/>
    </w:pPr>
  </w:style>
  <w:style w:type="paragraph" w:customStyle="1" w:styleId="T">
    <w:name w:val="T"/>
    <w:basedOn w:val="MasterText"/>
    <w:uiPriority w:val="99"/>
    <w:rsid w:val="005F506D"/>
    <w:pPr>
      <w:ind w:firstLine="240"/>
    </w:pPr>
    <w:rPr>
      <w:rFonts w:ascii="Times New Roman" w:hAnsi="Times New Roman"/>
    </w:rPr>
  </w:style>
  <w:style w:type="paragraph" w:customStyle="1" w:styleId="T1">
    <w:name w:val="T1"/>
    <w:basedOn w:val="T"/>
    <w:next w:val="T"/>
    <w:uiPriority w:val="99"/>
    <w:rsid w:val="005F506D"/>
    <w:pPr>
      <w:spacing w:line="360" w:lineRule="auto"/>
      <w:ind w:firstLine="0"/>
    </w:pPr>
  </w:style>
  <w:style w:type="paragraph" w:customStyle="1" w:styleId="BH">
    <w:name w:val="BH"/>
    <w:basedOn w:val="1"/>
    <w:next w:val="T1"/>
    <w:uiPriority w:val="99"/>
    <w:rsid w:val="005F506D"/>
  </w:style>
  <w:style w:type="paragraph" w:customStyle="1" w:styleId="RF">
    <w:name w:val="RF"/>
    <w:basedOn w:val="MasterText"/>
    <w:uiPriority w:val="99"/>
    <w:rsid w:val="005F506D"/>
    <w:pPr>
      <w:keepLines/>
      <w:tabs>
        <w:tab w:val="decimal" w:pos="320"/>
        <w:tab w:val="left" w:pos="440"/>
      </w:tabs>
      <w:spacing w:line="282" w:lineRule="auto"/>
      <w:ind w:left="440" w:hanging="440"/>
    </w:pPr>
    <w:rPr>
      <w:rFonts w:ascii="Times New Roman" w:hAnsi="Times New Roman"/>
      <w:sz w:val="18"/>
      <w:szCs w:val="18"/>
    </w:rPr>
  </w:style>
  <w:style w:type="paragraph" w:customStyle="1" w:styleId="ABCA">
    <w:name w:val="ABCA"/>
    <w:basedOn w:val="CA"/>
    <w:uiPriority w:val="99"/>
    <w:rsid w:val="005F506D"/>
    <w:pPr>
      <w:spacing w:after="0"/>
    </w:pPr>
  </w:style>
  <w:style w:type="paragraph" w:customStyle="1" w:styleId="5">
    <w:name w:val="5"/>
    <w:basedOn w:val="T1"/>
    <w:next w:val="T"/>
    <w:uiPriority w:val="99"/>
    <w:rsid w:val="005F506D"/>
    <w:pPr>
      <w:spacing w:before="240"/>
    </w:pPr>
  </w:style>
  <w:style w:type="paragraph" w:customStyle="1" w:styleId="AB1">
    <w:name w:val="AB1"/>
    <w:basedOn w:val="5"/>
    <w:uiPriority w:val="99"/>
    <w:rsid w:val="005F506D"/>
    <w:pPr>
      <w:spacing w:before="180" w:after="60"/>
    </w:pPr>
  </w:style>
  <w:style w:type="paragraph" w:customStyle="1" w:styleId="MasterTable">
    <w:name w:val="MasterTable"/>
    <w:basedOn w:val="NormalParagraphStyle"/>
    <w:uiPriority w:val="99"/>
    <w:rsid w:val="005F506D"/>
    <w:pPr>
      <w:suppressAutoHyphens/>
      <w:spacing w:line="293" w:lineRule="auto"/>
      <w:jc w:val="left"/>
    </w:pPr>
    <w:rPr>
      <w:rFonts w:ascii="OptimaLTStd-Medium" w:hAnsi="OptimaLTStd-Medium" w:cs="OptimaLTStd-Medium"/>
      <w:sz w:val="16"/>
      <w:szCs w:val="16"/>
    </w:rPr>
  </w:style>
  <w:style w:type="paragraph" w:customStyle="1" w:styleId="TB">
    <w:name w:val="TB"/>
    <w:basedOn w:val="MasterTable"/>
    <w:uiPriority w:val="99"/>
    <w:rsid w:val="005F506D"/>
    <w:pPr>
      <w:ind w:left="80" w:hanging="80"/>
    </w:pPr>
  </w:style>
  <w:style w:type="paragraph" w:customStyle="1" w:styleId="ABT1">
    <w:name w:val="ABT1"/>
    <w:basedOn w:val="TB"/>
    <w:uiPriority w:val="99"/>
    <w:rsid w:val="005F506D"/>
    <w:pPr>
      <w:spacing w:line="360" w:lineRule="auto"/>
      <w:ind w:left="0" w:firstLine="0"/>
      <w:jc w:val="both"/>
    </w:pPr>
    <w:rPr>
      <w:rFonts w:ascii="Times New Roman" w:hAnsi="Times New Roman"/>
    </w:rPr>
  </w:style>
  <w:style w:type="paragraph" w:customStyle="1" w:styleId="ABT">
    <w:name w:val="ABT"/>
    <w:basedOn w:val="TB"/>
    <w:uiPriority w:val="99"/>
    <w:rsid w:val="005F506D"/>
    <w:pPr>
      <w:spacing w:line="360" w:lineRule="auto"/>
      <w:ind w:left="0" w:firstLine="240"/>
      <w:jc w:val="both"/>
    </w:pPr>
    <w:rPr>
      <w:rFonts w:ascii="Times New Roman" w:hAnsi="Times New Roman"/>
    </w:rPr>
  </w:style>
  <w:style w:type="paragraph" w:customStyle="1" w:styleId="CTs">
    <w:name w:val="CTs"/>
    <w:basedOn w:val="CT"/>
    <w:next w:val="CA"/>
    <w:uiPriority w:val="99"/>
    <w:rsid w:val="005F506D"/>
    <w:pPr>
      <w:spacing w:before="240" w:after="960"/>
    </w:pPr>
    <w:rPr>
      <w:b w:val="0"/>
      <w:bCs w:val="0"/>
      <w:i/>
      <w:iCs/>
      <w:sz w:val="28"/>
      <w:szCs w:val="28"/>
    </w:rPr>
  </w:style>
  <w:style w:type="paragraph" w:customStyle="1" w:styleId="CAA">
    <w:name w:val="CAA"/>
    <w:basedOn w:val="CA"/>
    <w:next w:val="T1"/>
    <w:uiPriority w:val="99"/>
    <w:rsid w:val="005F506D"/>
    <w:pPr>
      <w:spacing w:before="60" w:after="1920"/>
    </w:pPr>
    <w:rPr>
      <w:rFonts w:ascii="PalatinoLTStd-MediumItalic" w:hAnsi="PalatinoLTStd-MediumItalic" w:cs="PalatinoLTStd-MediumItalic"/>
      <w:i/>
      <w:iCs/>
      <w:sz w:val="20"/>
      <w:szCs w:val="20"/>
    </w:rPr>
  </w:style>
  <w:style w:type="character" w:customStyle="1" w:styleId="Superscript">
    <w:name w:val="Superscript"/>
    <w:uiPriority w:val="99"/>
    <w:rsid w:val="005F506D"/>
    <w:rPr>
      <w:rFonts w:ascii="Times New Roman" w:hAnsi="Times New Roman"/>
      <w:vertAlign w:val="superscript"/>
    </w:rPr>
  </w:style>
  <w:style w:type="character" w:customStyle="1" w:styleId="Italic">
    <w:name w:val="Italic"/>
    <w:uiPriority w:val="99"/>
    <w:rsid w:val="005F506D"/>
    <w:rPr>
      <w:i/>
    </w:rPr>
  </w:style>
  <w:style w:type="character" w:customStyle="1" w:styleId="51">
    <w:name w:val="51"/>
    <w:uiPriority w:val="99"/>
    <w:rsid w:val="005F506D"/>
    <w:rPr>
      <w:rFonts w:ascii="OptimaLTStd-Italic" w:hAnsi="OptimaLTStd-Italic"/>
      <w:i/>
    </w:rPr>
  </w:style>
  <w:style w:type="paragraph" w:styleId="BalloonText">
    <w:name w:val="Balloon Text"/>
    <w:basedOn w:val="Normal"/>
    <w:link w:val="BalloonTextChar"/>
    <w:semiHidden/>
    <w:rsid w:val="005F506D"/>
    <w:pPr>
      <w:ind w:firstLine="0"/>
    </w:pPr>
    <w:rPr>
      <w:rFonts w:ascii="Tahoma" w:eastAsia="Times New Roman" w:hAnsi="Tahoma" w:cs="Times New Roman"/>
      <w:sz w:val="24"/>
      <w:szCs w:val="16"/>
    </w:rPr>
  </w:style>
  <w:style w:type="character" w:customStyle="1" w:styleId="BalloonTextChar">
    <w:name w:val="Balloon Text Char"/>
    <w:basedOn w:val="DefaultParagraphFont"/>
    <w:link w:val="BalloonText"/>
    <w:semiHidden/>
    <w:rsid w:val="005F506D"/>
    <w:rPr>
      <w:rFonts w:ascii="Tahoma" w:eastAsia="Times New Roman" w:hAnsi="Tahoma" w:cs="Times New Roman"/>
      <w:sz w:val="24"/>
      <w:szCs w:val="16"/>
    </w:rPr>
  </w:style>
  <w:style w:type="character" w:styleId="CommentReference">
    <w:name w:val="annotation reference"/>
    <w:semiHidden/>
    <w:rsid w:val="005F506D"/>
    <w:rPr>
      <w:sz w:val="16"/>
      <w:szCs w:val="16"/>
    </w:rPr>
  </w:style>
  <w:style w:type="paragraph" w:styleId="CommentText">
    <w:name w:val="annotation text"/>
    <w:basedOn w:val="Normal"/>
    <w:link w:val="CommentTextChar"/>
    <w:semiHidden/>
    <w:rsid w:val="005F506D"/>
    <w:pPr>
      <w:ind w:firstLine="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F5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F506D"/>
  </w:style>
  <w:style w:type="character" w:customStyle="1" w:styleId="CommentSubjectChar">
    <w:name w:val="Comment Subject Char"/>
    <w:basedOn w:val="CommentTextChar"/>
    <w:link w:val="CommentSubject"/>
    <w:semiHidden/>
    <w:rsid w:val="005F506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F506D"/>
    <w:pPr>
      <w:tabs>
        <w:tab w:val="center" w:pos="4680"/>
        <w:tab w:val="right" w:pos="9360"/>
      </w:tabs>
      <w:ind w:firstLine="0"/>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F50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506D"/>
    <w:pPr>
      <w:tabs>
        <w:tab w:val="center" w:pos="4680"/>
        <w:tab w:val="right" w:pos="9360"/>
      </w:tabs>
      <w:ind w:firstLine="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F506D"/>
    <w:rPr>
      <w:rFonts w:ascii="Times New Roman" w:eastAsia="Times New Roman" w:hAnsi="Times New Roman" w:cs="Times New Roman"/>
      <w:sz w:val="20"/>
      <w:szCs w:val="20"/>
    </w:rPr>
  </w:style>
  <w:style w:type="paragraph" w:customStyle="1" w:styleId="NoteLevel2">
    <w:name w:val="Note Level 2"/>
    <w:aliases w:val="Chapter Number"/>
    <w:basedOn w:val="T1"/>
    <w:uiPriority w:val="1"/>
    <w:qFormat/>
    <w:rsid w:val="005F506D"/>
    <w:pPr>
      <w:jc w:val="left"/>
    </w:pPr>
    <w:rPr>
      <w:b/>
      <w:sz w:val="26"/>
      <w:szCs w:val="26"/>
    </w:rPr>
  </w:style>
  <w:style w:type="paragraph" w:styleId="Subtitle">
    <w:name w:val="Subtitle"/>
    <w:aliases w:val="Author"/>
    <w:basedOn w:val="T1"/>
    <w:next w:val="Normal"/>
    <w:link w:val="SubtitleChar"/>
    <w:uiPriority w:val="11"/>
    <w:qFormat/>
    <w:rsid w:val="005F506D"/>
    <w:pPr>
      <w:jc w:val="left"/>
    </w:pPr>
    <w:rPr>
      <w:i/>
      <w:sz w:val="26"/>
      <w:szCs w:val="26"/>
    </w:rPr>
  </w:style>
  <w:style w:type="character" w:customStyle="1" w:styleId="SubtitleChar">
    <w:name w:val="Subtitle Char"/>
    <w:aliases w:val="Author Char"/>
    <w:basedOn w:val="DefaultParagraphFont"/>
    <w:link w:val="Subtitle"/>
    <w:uiPriority w:val="11"/>
    <w:rsid w:val="005F506D"/>
    <w:rPr>
      <w:rFonts w:ascii="Times New Roman" w:eastAsia="Times New Roman" w:hAnsi="Times New Roman" w:cs="PalatinoLTStd-Roman"/>
      <w:i/>
      <w:color w:val="000000"/>
      <w:sz w:val="26"/>
      <w:szCs w:val="26"/>
    </w:rPr>
  </w:style>
  <w:style w:type="paragraph" w:styleId="EndnoteText">
    <w:name w:val="endnote text"/>
    <w:basedOn w:val="Normal"/>
    <w:link w:val="EndnoteTextChar"/>
    <w:rsid w:val="005F506D"/>
    <w:pPr>
      <w:ind w:firstLine="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F506D"/>
    <w:rPr>
      <w:rFonts w:ascii="Times New Roman" w:eastAsia="Times New Roman" w:hAnsi="Times New Roman" w:cs="Times New Roman"/>
      <w:sz w:val="20"/>
      <w:szCs w:val="20"/>
    </w:rPr>
  </w:style>
  <w:style w:type="character" w:styleId="EndnoteReference">
    <w:name w:val="endnote reference"/>
    <w:uiPriority w:val="99"/>
    <w:unhideWhenUsed/>
    <w:rsid w:val="005F506D"/>
    <w:rPr>
      <w:rFonts w:ascii="Times New Roman" w:hAnsi="Times New Roman"/>
      <w:vertAlign w:val="superscript"/>
    </w:rPr>
  </w:style>
  <w:style w:type="character" w:customStyle="1" w:styleId="abbr">
    <w:name w:val="abbr"/>
    <w:rsid w:val="005F506D"/>
    <w:rPr>
      <w:color w:val="3366FF"/>
    </w:rPr>
  </w:style>
  <w:style w:type="character" w:customStyle="1" w:styleId="ac">
    <w:name w:val="ac"/>
    <w:rsid w:val="005F506D"/>
    <w:rPr>
      <w:caps/>
      <w:smallCaps w:val="0"/>
    </w:rPr>
  </w:style>
  <w:style w:type="paragraph" w:customStyle="1" w:styleId="ah">
    <w:name w:val="ah"/>
    <w:next w:val="Normal"/>
    <w:rsid w:val="005F506D"/>
    <w:pPr>
      <w:spacing w:before="360" w:after="60" w:line="240" w:lineRule="auto"/>
      <w:outlineLvl w:val="2"/>
    </w:pPr>
    <w:rPr>
      <w:rFonts w:ascii="Arial" w:eastAsia="Times New Roman" w:hAnsi="Arial" w:cs="Times New Roman"/>
      <w:sz w:val="40"/>
      <w:szCs w:val="20"/>
    </w:rPr>
  </w:style>
  <w:style w:type="paragraph" w:customStyle="1" w:styleId="ahaft">
    <w:name w:val="ahaft"/>
    <w:basedOn w:val="ah"/>
    <w:next w:val="Normal"/>
    <w:rsid w:val="005F506D"/>
    <w:pPr>
      <w:spacing w:before="100"/>
    </w:pPr>
  </w:style>
  <w:style w:type="paragraph" w:customStyle="1" w:styleId="ans">
    <w:name w:val="ans"/>
    <w:basedOn w:val="p"/>
    <w:rsid w:val="005F506D"/>
    <w:pPr>
      <w:ind w:firstLine="0"/>
    </w:pPr>
  </w:style>
  <w:style w:type="paragraph" w:customStyle="1" w:styleId="ansf">
    <w:name w:val="ansf"/>
    <w:next w:val="ans"/>
    <w:rsid w:val="005F506D"/>
    <w:pPr>
      <w:spacing w:before="100" w:after="0" w:line="480" w:lineRule="auto"/>
    </w:pPr>
    <w:rPr>
      <w:rFonts w:ascii="Times New Roman" w:eastAsia="Times New Roman" w:hAnsi="Times New Roman" w:cs="Times New Roman"/>
      <w:sz w:val="24"/>
      <w:szCs w:val="24"/>
    </w:rPr>
  </w:style>
  <w:style w:type="paragraph" w:customStyle="1" w:styleId="ard">
    <w:name w:val="ard"/>
    <w:basedOn w:val="pf"/>
    <w:rsid w:val="005F506D"/>
    <w:rPr>
      <w:rFonts w:ascii="Arial" w:hAnsi="Arial"/>
    </w:rPr>
  </w:style>
  <w:style w:type="paragraph" w:customStyle="1" w:styleId="au">
    <w:name w:val="au"/>
    <w:rsid w:val="005F506D"/>
    <w:pPr>
      <w:spacing w:after="0" w:line="240" w:lineRule="auto"/>
      <w:jc w:val="center"/>
    </w:pPr>
    <w:rPr>
      <w:rFonts w:ascii="Times New Roman" w:eastAsia="Times New Roman" w:hAnsi="Times New Roman" w:cs="Times New Roman"/>
      <w:sz w:val="44"/>
      <w:szCs w:val="20"/>
    </w:rPr>
  </w:style>
  <w:style w:type="paragraph" w:customStyle="1" w:styleId="au1">
    <w:name w:val="au1"/>
    <w:basedOn w:val="au"/>
    <w:rsid w:val="005F506D"/>
    <w:rPr>
      <w:sz w:val="40"/>
    </w:rPr>
  </w:style>
  <w:style w:type="paragraph" w:customStyle="1" w:styleId="aubio">
    <w:name w:val="aubio"/>
    <w:rsid w:val="005F506D"/>
    <w:pPr>
      <w:spacing w:after="0" w:line="240" w:lineRule="auto"/>
      <w:ind w:firstLine="720"/>
    </w:pPr>
    <w:rPr>
      <w:rFonts w:ascii="Arial" w:eastAsia="Times New Roman" w:hAnsi="Arial" w:cs="Times New Roman"/>
      <w:sz w:val="24"/>
      <w:szCs w:val="20"/>
    </w:rPr>
  </w:style>
  <w:style w:type="paragraph" w:customStyle="1" w:styleId="aubiof">
    <w:name w:val="aubiof"/>
    <w:basedOn w:val="aubio"/>
    <w:next w:val="aubio"/>
    <w:rsid w:val="005F506D"/>
    <w:pPr>
      <w:spacing w:before="100"/>
      <w:ind w:firstLine="0"/>
    </w:pPr>
  </w:style>
  <w:style w:type="character" w:customStyle="1" w:styleId="b">
    <w:name w:val="b"/>
    <w:rsid w:val="005F506D"/>
    <w:rPr>
      <w:b/>
      <w:color w:val="FF00FF"/>
      <w:sz w:val="24"/>
      <w:szCs w:val="24"/>
      <w:bdr w:val="none" w:sz="0" w:space="0" w:color="auto"/>
    </w:rPr>
  </w:style>
  <w:style w:type="character" w:customStyle="1" w:styleId="bcv">
    <w:name w:val="bcv"/>
    <w:uiPriority w:val="1"/>
    <w:qFormat/>
    <w:rsid w:val="005F506D"/>
    <w:rPr>
      <w:rFonts w:ascii="Cambria" w:hAnsi="Cambria"/>
      <w:vertAlign w:val="superscript"/>
    </w:rPr>
  </w:style>
  <w:style w:type="paragraph" w:customStyle="1" w:styleId="bh0">
    <w:name w:val="bh"/>
    <w:next w:val="Normal"/>
    <w:autoRedefine/>
    <w:rsid w:val="005F506D"/>
    <w:pPr>
      <w:spacing w:before="360" w:after="0" w:line="240" w:lineRule="auto"/>
      <w:outlineLvl w:val="3"/>
    </w:pPr>
    <w:rPr>
      <w:rFonts w:ascii="Arial" w:eastAsia="Times New Roman" w:hAnsi="Arial" w:cs="Times New Roman"/>
      <w:noProof/>
      <w:sz w:val="36"/>
      <w:szCs w:val="20"/>
    </w:rPr>
  </w:style>
  <w:style w:type="paragraph" w:customStyle="1" w:styleId="bhaft">
    <w:name w:val="bhaft"/>
    <w:basedOn w:val="Normal"/>
    <w:next w:val="Normal"/>
    <w:rsid w:val="005F506D"/>
    <w:pPr>
      <w:widowControl w:val="0"/>
      <w:spacing w:before="100"/>
      <w:ind w:firstLine="0"/>
      <w:outlineLvl w:val="3"/>
    </w:pPr>
    <w:rPr>
      <w:rFonts w:ascii="Arial" w:eastAsia="Times New Roman" w:hAnsi="Arial" w:cs="Times New Roman"/>
      <w:sz w:val="36"/>
      <w:szCs w:val="20"/>
    </w:rPr>
  </w:style>
  <w:style w:type="character" w:customStyle="1" w:styleId="bi">
    <w:name w:val="bi"/>
    <w:rsid w:val="005F506D"/>
    <w:rPr>
      <w:b/>
      <w:i/>
      <w:color w:val="FF6600"/>
      <w:bdr w:val="none" w:sz="0" w:space="0" w:color="auto"/>
    </w:rPr>
  </w:style>
  <w:style w:type="paragraph" w:customStyle="1" w:styleId="bk">
    <w:name w:val="bk"/>
    <w:rsid w:val="005F506D"/>
    <w:pPr>
      <w:pageBreakBefore/>
      <w:spacing w:after="400" w:line="240" w:lineRule="auto"/>
      <w:jc w:val="center"/>
    </w:pPr>
    <w:rPr>
      <w:rFonts w:ascii="Arial" w:eastAsia="Times New Roman" w:hAnsi="Arial" w:cs="Times New Roman"/>
      <w:noProof/>
      <w:sz w:val="44"/>
      <w:szCs w:val="20"/>
    </w:rPr>
  </w:style>
  <w:style w:type="paragraph" w:customStyle="1" w:styleId="bk1">
    <w:name w:val="bk1"/>
    <w:basedOn w:val="bk"/>
    <w:rsid w:val="005F506D"/>
    <w:pPr>
      <w:pageBreakBefore w:val="0"/>
    </w:pPr>
    <w:rPr>
      <w:sz w:val="36"/>
    </w:rPr>
  </w:style>
  <w:style w:type="paragraph" w:customStyle="1" w:styleId="bk2">
    <w:name w:val="bk2"/>
    <w:basedOn w:val="bk1"/>
    <w:rsid w:val="005F506D"/>
    <w:rPr>
      <w:sz w:val="28"/>
    </w:rPr>
  </w:style>
  <w:style w:type="paragraph" w:customStyle="1" w:styleId="bkalt">
    <w:name w:val="bkalt"/>
    <w:basedOn w:val="bk2"/>
    <w:rsid w:val="005F506D"/>
    <w:pPr>
      <w:spacing w:after="340"/>
    </w:pPr>
    <w:rPr>
      <w:sz w:val="34"/>
    </w:rPr>
  </w:style>
  <w:style w:type="paragraph" w:customStyle="1" w:styleId="cn0">
    <w:name w:val="cn"/>
    <w:rsid w:val="005F506D"/>
    <w:pPr>
      <w:pageBreakBefore/>
      <w:widowControl w:val="0"/>
      <w:spacing w:after="0" w:line="240" w:lineRule="auto"/>
      <w:jc w:val="center"/>
      <w:outlineLvl w:val="1"/>
    </w:pPr>
    <w:rPr>
      <w:rFonts w:ascii="Times New Roman" w:eastAsia="Times New Roman" w:hAnsi="Times New Roman" w:cs="Times New Roman"/>
      <w:sz w:val="44"/>
      <w:szCs w:val="20"/>
    </w:rPr>
  </w:style>
  <w:style w:type="paragraph" w:customStyle="1" w:styleId="bkau">
    <w:name w:val="bkau"/>
    <w:basedOn w:val="cn0"/>
    <w:rsid w:val="005F506D"/>
    <w:pPr>
      <w:pageBreakBefore w:val="0"/>
      <w:outlineLvl w:val="9"/>
    </w:pPr>
  </w:style>
  <w:style w:type="paragraph" w:customStyle="1" w:styleId="bkau1">
    <w:name w:val="bkau1"/>
    <w:basedOn w:val="bkau"/>
    <w:rsid w:val="005F506D"/>
    <w:pPr>
      <w:spacing w:after="300"/>
    </w:pPr>
    <w:rPr>
      <w:sz w:val="30"/>
    </w:rPr>
  </w:style>
  <w:style w:type="paragraph" w:customStyle="1" w:styleId="bkht">
    <w:name w:val="bkht"/>
    <w:basedOn w:val="cn0"/>
    <w:rsid w:val="005F506D"/>
  </w:style>
  <w:style w:type="paragraph" w:customStyle="1" w:styleId="bkpub">
    <w:name w:val="bkpub"/>
    <w:rsid w:val="005F506D"/>
    <w:pPr>
      <w:spacing w:after="260" w:line="240" w:lineRule="auto"/>
      <w:jc w:val="center"/>
    </w:pPr>
    <w:rPr>
      <w:rFonts w:ascii="Arial" w:eastAsia="Times New Roman" w:hAnsi="Arial" w:cs="Times New Roman"/>
      <w:noProof/>
      <w:sz w:val="26"/>
      <w:szCs w:val="20"/>
    </w:rPr>
  </w:style>
  <w:style w:type="paragraph" w:customStyle="1" w:styleId="bkpub1">
    <w:name w:val="bkpub1"/>
    <w:basedOn w:val="bkpub"/>
    <w:rsid w:val="005F506D"/>
    <w:pPr>
      <w:spacing w:after="240"/>
    </w:pPr>
    <w:rPr>
      <w:sz w:val="24"/>
    </w:rPr>
  </w:style>
  <w:style w:type="paragraph" w:customStyle="1" w:styleId="bksect">
    <w:name w:val="bksect"/>
    <w:basedOn w:val="pf"/>
    <w:rsid w:val="005F506D"/>
    <w:pPr>
      <w:jc w:val="center"/>
    </w:pPr>
    <w:rPr>
      <w:sz w:val="32"/>
    </w:rPr>
  </w:style>
  <w:style w:type="paragraph" w:customStyle="1" w:styleId="ul">
    <w:name w:val="ul"/>
    <w:autoRedefine/>
    <w:rsid w:val="005F506D"/>
    <w:pPr>
      <w:spacing w:after="0" w:line="480" w:lineRule="auto"/>
      <w:ind w:left="1440" w:hanging="360"/>
    </w:pPr>
    <w:rPr>
      <w:rFonts w:ascii="Times New Roman" w:eastAsia="Times New Roman" w:hAnsi="Times New Roman" w:cs="Times New Roman"/>
      <w:sz w:val="24"/>
      <w:szCs w:val="24"/>
    </w:rPr>
  </w:style>
  <w:style w:type="paragraph" w:customStyle="1" w:styleId="bl">
    <w:name w:val="bl"/>
    <w:basedOn w:val="ul"/>
    <w:rsid w:val="005F506D"/>
  </w:style>
  <w:style w:type="paragraph" w:customStyle="1" w:styleId="nl">
    <w:name w:val="nl"/>
    <w:rsid w:val="005F506D"/>
    <w:pPr>
      <w:widowControl w:val="0"/>
      <w:spacing w:after="0" w:line="480" w:lineRule="auto"/>
      <w:ind w:left="360" w:hanging="360"/>
    </w:pPr>
    <w:rPr>
      <w:rFonts w:ascii="Times New Roman" w:eastAsia="Times New Roman" w:hAnsi="Times New Roman" w:cs="Times New Roman"/>
      <w:sz w:val="24"/>
      <w:szCs w:val="24"/>
    </w:rPr>
  </w:style>
  <w:style w:type="paragraph" w:customStyle="1" w:styleId="nl1">
    <w:name w:val="nl1"/>
    <w:basedOn w:val="nl"/>
    <w:rsid w:val="005F506D"/>
    <w:pPr>
      <w:ind w:left="720"/>
    </w:pPr>
  </w:style>
  <w:style w:type="paragraph" w:customStyle="1" w:styleId="ul1">
    <w:name w:val="ul1"/>
    <w:basedOn w:val="nl1"/>
    <w:rsid w:val="005F506D"/>
  </w:style>
  <w:style w:type="paragraph" w:customStyle="1" w:styleId="bl1">
    <w:name w:val="bl1"/>
    <w:basedOn w:val="ul1"/>
    <w:rsid w:val="005F506D"/>
    <w:pPr>
      <w:ind w:left="1800"/>
    </w:pPr>
  </w:style>
  <w:style w:type="paragraph" w:customStyle="1" w:styleId="ul1f">
    <w:name w:val="ul1f"/>
    <w:basedOn w:val="ul1"/>
    <w:next w:val="ul1"/>
    <w:rsid w:val="005F506D"/>
    <w:pPr>
      <w:spacing w:before="240"/>
      <w:ind w:left="1800"/>
    </w:pPr>
  </w:style>
  <w:style w:type="paragraph" w:customStyle="1" w:styleId="bl1f">
    <w:name w:val="bl1f"/>
    <w:basedOn w:val="ul1f"/>
    <w:next w:val="bl1"/>
    <w:rsid w:val="005F506D"/>
  </w:style>
  <w:style w:type="paragraph" w:customStyle="1" w:styleId="ul1l">
    <w:name w:val="ul1l"/>
    <w:basedOn w:val="ul1"/>
    <w:rsid w:val="005F506D"/>
    <w:pPr>
      <w:spacing w:after="240"/>
      <w:ind w:left="1800"/>
    </w:pPr>
  </w:style>
  <w:style w:type="paragraph" w:customStyle="1" w:styleId="bl1l">
    <w:name w:val="bl1l"/>
    <w:basedOn w:val="ul1l"/>
    <w:rsid w:val="005F506D"/>
  </w:style>
  <w:style w:type="paragraph" w:customStyle="1" w:styleId="bl1p">
    <w:name w:val="bl1p"/>
    <w:basedOn w:val="bl1"/>
    <w:rsid w:val="005F506D"/>
    <w:pPr>
      <w:ind w:firstLine="360"/>
    </w:pPr>
  </w:style>
  <w:style w:type="paragraph" w:customStyle="1" w:styleId="bl1pl">
    <w:name w:val="bl1pl"/>
    <w:basedOn w:val="bl1p"/>
    <w:rsid w:val="005F506D"/>
    <w:pPr>
      <w:spacing w:after="240"/>
    </w:pPr>
  </w:style>
  <w:style w:type="paragraph" w:customStyle="1" w:styleId="ul1s">
    <w:name w:val="ul1s"/>
    <w:basedOn w:val="ul1f"/>
    <w:qFormat/>
    <w:rsid w:val="005F506D"/>
    <w:pPr>
      <w:spacing w:after="240"/>
    </w:pPr>
  </w:style>
  <w:style w:type="paragraph" w:customStyle="1" w:styleId="AAHeading3">
    <w:name w:val="AAHeading 3"/>
    <w:basedOn w:val="ul1s"/>
    <w:qFormat/>
    <w:rsid w:val="00C51A40"/>
    <w:pPr>
      <w:ind w:left="0" w:firstLine="0"/>
    </w:pPr>
    <w:rPr>
      <w:rFonts w:asciiTheme="majorHAnsi" w:hAnsiTheme="majorHAnsi"/>
      <w:b/>
      <w:sz w:val="22"/>
    </w:rPr>
  </w:style>
  <w:style w:type="paragraph" w:customStyle="1" w:styleId="ulf">
    <w:name w:val="ulf"/>
    <w:basedOn w:val="ul"/>
    <w:next w:val="ul"/>
    <w:autoRedefine/>
    <w:rsid w:val="005F506D"/>
    <w:pPr>
      <w:tabs>
        <w:tab w:val="left" w:pos="216"/>
      </w:tabs>
      <w:spacing w:before="240"/>
    </w:pPr>
    <w:rPr>
      <w:noProof/>
      <w:color w:val="000000"/>
      <w:kern w:val="44"/>
      <w:szCs w:val="20"/>
    </w:rPr>
  </w:style>
  <w:style w:type="paragraph" w:customStyle="1" w:styleId="blf">
    <w:name w:val="blf"/>
    <w:basedOn w:val="ulf"/>
    <w:next w:val="bl"/>
    <w:qFormat/>
    <w:rsid w:val="005F506D"/>
  </w:style>
  <w:style w:type="paragraph" w:customStyle="1" w:styleId="blh">
    <w:name w:val="blh"/>
    <w:basedOn w:val="bl"/>
    <w:qFormat/>
    <w:rsid w:val="005F506D"/>
  </w:style>
  <w:style w:type="paragraph" w:customStyle="1" w:styleId="ull">
    <w:name w:val="ull"/>
    <w:basedOn w:val="ul"/>
    <w:autoRedefine/>
    <w:rsid w:val="005F506D"/>
    <w:pPr>
      <w:spacing w:after="240"/>
    </w:pPr>
  </w:style>
  <w:style w:type="paragraph" w:customStyle="1" w:styleId="bll">
    <w:name w:val="bll"/>
    <w:basedOn w:val="ull"/>
    <w:qFormat/>
    <w:rsid w:val="005F506D"/>
  </w:style>
  <w:style w:type="paragraph" w:styleId="BlockText">
    <w:name w:val="Block Text"/>
    <w:basedOn w:val="Normal"/>
    <w:semiHidden/>
    <w:rsid w:val="005F506D"/>
    <w:pPr>
      <w:ind w:left="288" w:right="288" w:firstLine="0"/>
    </w:pPr>
    <w:rPr>
      <w:rFonts w:ascii="Times New Roman" w:eastAsia="Times New Roman" w:hAnsi="Times New Roman" w:cs="Times New Roman"/>
      <w:sz w:val="20"/>
      <w:szCs w:val="20"/>
    </w:rPr>
  </w:style>
  <w:style w:type="paragraph" w:customStyle="1" w:styleId="uls">
    <w:name w:val="uls"/>
    <w:basedOn w:val="ul"/>
    <w:rsid w:val="005F506D"/>
    <w:pPr>
      <w:spacing w:before="240" w:after="240"/>
    </w:pPr>
  </w:style>
  <w:style w:type="paragraph" w:customStyle="1" w:styleId="blp">
    <w:name w:val="blp"/>
    <w:basedOn w:val="uls"/>
    <w:qFormat/>
    <w:rsid w:val="005F506D"/>
    <w:pPr>
      <w:spacing w:before="0" w:after="0"/>
      <w:ind w:firstLine="360"/>
    </w:pPr>
  </w:style>
  <w:style w:type="paragraph" w:customStyle="1" w:styleId="blpl">
    <w:name w:val="blpl"/>
    <w:basedOn w:val="bll"/>
    <w:qFormat/>
    <w:rsid w:val="005F506D"/>
    <w:pPr>
      <w:ind w:firstLine="720"/>
    </w:pPr>
  </w:style>
  <w:style w:type="paragraph" w:customStyle="1" w:styleId="bls">
    <w:name w:val="bls"/>
    <w:basedOn w:val="uls"/>
    <w:qFormat/>
    <w:rsid w:val="005F506D"/>
  </w:style>
  <w:style w:type="paragraph" w:styleId="BodyText">
    <w:name w:val="Body Text"/>
    <w:basedOn w:val="Normal"/>
    <w:link w:val="BodyTextChar"/>
    <w:semiHidden/>
    <w:rsid w:val="005F506D"/>
    <w:pPr>
      <w:spacing w:after="120"/>
      <w:ind w:firstLine="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F506D"/>
    <w:rPr>
      <w:rFonts w:ascii="Times New Roman" w:eastAsia="Times New Roman" w:hAnsi="Times New Roman" w:cs="Times New Roman"/>
      <w:sz w:val="20"/>
      <w:szCs w:val="20"/>
    </w:rPr>
  </w:style>
  <w:style w:type="paragraph" w:styleId="BodyText2">
    <w:name w:val="Body Text 2"/>
    <w:basedOn w:val="Normal"/>
    <w:link w:val="BodyText2Char"/>
    <w:semiHidden/>
    <w:rsid w:val="005F506D"/>
    <w:pPr>
      <w:spacing w:line="480" w:lineRule="auto"/>
      <w:ind w:firstLine="0"/>
    </w:pPr>
    <w:rPr>
      <w:rFonts w:ascii="Times New Roman" w:eastAsia="Times New Roman" w:hAnsi="Times New Roman" w:cs="Times New Roman"/>
      <w:bCs/>
      <w:sz w:val="20"/>
      <w:szCs w:val="20"/>
    </w:rPr>
  </w:style>
  <w:style w:type="character" w:customStyle="1" w:styleId="BodyText2Char">
    <w:name w:val="Body Text 2 Char"/>
    <w:basedOn w:val="DefaultParagraphFont"/>
    <w:link w:val="BodyText2"/>
    <w:semiHidden/>
    <w:rsid w:val="005F506D"/>
    <w:rPr>
      <w:rFonts w:ascii="Times New Roman" w:eastAsia="Times New Roman" w:hAnsi="Times New Roman" w:cs="Times New Roman"/>
      <w:bCs/>
      <w:sz w:val="20"/>
      <w:szCs w:val="20"/>
    </w:rPr>
  </w:style>
  <w:style w:type="paragraph" w:styleId="BodyText3">
    <w:name w:val="Body Text 3"/>
    <w:basedOn w:val="Normal"/>
    <w:link w:val="BodyText3Char"/>
    <w:semiHidden/>
    <w:rsid w:val="005F506D"/>
    <w:pPr>
      <w:spacing w:line="480" w:lineRule="auto"/>
      <w:ind w:right="432" w:firstLine="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semiHidden/>
    <w:rsid w:val="005F506D"/>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5F506D"/>
    <w:pPr>
      <w:spacing w:after="120"/>
      <w:ind w:left="360" w:firstLine="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5F506D"/>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5F506D"/>
    <w:pPr>
      <w:widowControl w:val="0"/>
      <w:autoSpaceDE w:val="0"/>
      <w:autoSpaceDN w:val="0"/>
      <w:adjustRightInd w:val="0"/>
      <w:spacing w:line="480" w:lineRule="auto"/>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5F506D"/>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5F506D"/>
    <w:pPr>
      <w:tabs>
        <w:tab w:val="left" w:pos="720"/>
      </w:tabs>
      <w:spacing w:line="480" w:lineRule="auto"/>
      <w:ind w:left="288" w:firstLine="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5F506D"/>
    <w:rPr>
      <w:rFonts w:ascii="Times New Roman" w:eastAsia="Times New Roman" w:hAnsi="Times New Roman" w:cs="Times New Roman"/>
      <w:sz w:val="20"/>
      <w:szCs w:val="20"/>
    </w:rPr>
  </w:style>
  <w:style w:type="paragraph" w:customStyle="1" w:styleId="bq">
    <w:name w:val="bq"/>
    <w:basedOn w:val="p"/>
    <w:rsid w:val="005F506D"/>
    <w:pPr>
      <w:spacing w:line="240" w:lineRule="auto"/>
      <w:ind w:left="360" w:right="360"/>
      <w:jc w:val="both"/>
    </w:pPr>
    <w:rPr>
      <w:sz w:val="22"/>
    </w:rPr>
  </w:style>
  <w:style w:type="paragraph" w:customStyle="1" w:styleId="bq1">
    <w:name w:val="bq1"/>
    <w:basedOn w:val="bq"/>
    <w:rsid w:val="005F506D"/>
    <w:pPr>
      <w:ind w:left="648" w:right="648"/>
    </w:pPr>
  </w:style>
  <w:style w:type="paragraph" w:customStyle="1" w:styleId="bq1f">
    <w:name w:val="bq1f"/>
    <w:basedOn w:val="bq1"/>
    <w:next w:val="bq1"/>
    <w:rsid w:val="005F506D"/>
    <w:pPr>
      <w:spacing w:before="100"/>
      <w:ind w:firstLine="0"/>
    </w:pPr>
  </w:style>
  <w:style w:type="paragraph" w:customStyle="1" w:styleId="bq1l">
    <w:name w:val="bq1l"/>
    <w:basedOn w:val="bq1"/>
    <w:next w:val="bq"/>
    <w:rsid w:val="005F506D"/>
    <w:pPr>
      <w:spacing w:after="100"/>
    </w:pPr>
  </w:style>
  <w:style w:type="paragraph" w:customStyle="1" w:styleId="bq1s">
    <w:name w:val="bq1s"/>
    <w:basedOn w:val="bq1"/>
    <w:rsid w:val="005F506D"/>
    <w:pPr>
      <w:spacing w:before="100" w:after="100"/>
      <w:ind w:firstLine="0"/>
    </w:pPr>
    <w:rPr>
      <w:szCs w:val="22"/>
      <w:lang w:bidi="he-IL"/>
    </w:rPr>
  </w:style>
  <w:style w:type="paragraph" w:customStyle="1" w:styleId="bqf">
    <w:name w:val="bqf"/>
    <w:basedOn w:val="bq"/>
    <w:next w:val="bq"/>
    <w:autoRedefine/>
    <w:rsid w:val="005F506D"/>
    <w:pPr>
      <w:spacing w:before="120"/>
      <w:ind w:firstLine="0"/>
    </w:pPr>
  </w:style>
  <w:style w:type="paragraph" w:customStyle="1" w:styleId="bqaft">
    <w:name w:val="bqaft"/>
    <w:basedOn w:val="bqf"/>
    <w:qFormat/>
    <w:rsid w:val="005F506D"/>
  </w:style>
  <w:style w:type="paragraph" w:customStyle="1" w:styleId="bqs">
    <w:name w:val="bqs"/>
    <w:basedOn w:val="bq"/>
    <w:rsid w:val="005F506D"/>
    <w:pPr>
      <w:spacing w:before="120" w:after="360"/>
      <w:ind w:firstLine="0"/>
    </w:pPr>
  </w:style>
  <w:style w:type="paragraph" w:customStyle="1" w:styleId="bqh">
    <w:name w:val="bqh"/>
    <w:basedOn w:val="bqs"/>
    <w:rsid w:val="005F506D"/>
    <w:pPr>
      <w:spacing w:after="120"/>
    </w:pPr>
    <w:rPr>
      <w:sz w:val="24"/>
    </w:rPr>
  </w:style>
  <w:style w:type="paragraph" w:customStyle="1" w:styleId="bql">
    <w:name w:val="bql"/>
    <w:basedOn w:val="bq"/>
    <w:next w:val="Normal"/>
    <w:autoRedefine/>
    <w:rsid w:val="005F506D"/>
    <w:pPr>
      <w:spacing w:after="360"/>
    </w:pPr>
  </w:style>
  <w:style w:type="paragraph" w:customStyle="1" w:styleId="bqnlf">
    <w:name w:val="bqnlf"/>
    <w:basedOn w:val="bqf"/>
    <w:next w:val="Normal"/>
    <w:rsid w:val="005F506D"/>
    <w:pPr>
      <w:tabs>
        <w:tab w:val="left" w:pos="360"/>
      </w:tabs>
      <w:spacing w:before="60"/>
      <w:ind w:left="1080" w:right="720" w:hanging="360"/>
    </w:pPr>
  </w:style>
  <w:style w:type="paragraph" w:customStyle="1" w:styleId="bqnl">
    <w:name w:val="bqnl"/>
    <w:basedOn w:val="bqnlf"/>
    <w:rsid w:val="005F506D"/>
    <w:pPr>
      <w:spacing w:before="0"/>
    </w:pPr>
  </w:style>
  <w:style w:type="paragraph" w:customStyle="1" w:styleId="bqnll">
    <w:name w:val="bqnll"/>
    <w:basedOn w:val="bqnlf"/>
    <w:rsid w:val="005F506D"/>
    <w:pPr>
      <w:spacing w:before="0" w:after="60"/>
    </w:pPr>
  </w:style>
  <w:style w:type="paragraph" w:customStyle="1" w:styleId="bqnls">
    <w:name w:val="bqnls"/>
    <w:basedOn w:val="bqnl"/>
    <w:rsid w:val="005F506D"/>
    <w:pPr>
      <w:spacing w:before="60" w:after="60"/>
    </w:pPr>
  </w:style>
  <w:style w:type="paragraph" w:customStyle="1" w:styleId="bqo">
    <w:name w:val="bqo"/>
    <w:qFormat/>
    <w:rsid w:val="005F506D"/>
    <w:pPr>
      <w:spacing w:before="60" w:after="360" w:line="240" w:lineRule="auto"/>
      <w:ind w:left="360" w:right="360"/>
      <w:jc w:val="both"/>
    </w:pPr>
    <w:rPr>
      <w:rFonts w:ascii="Times New Roman" w:eastAsia="Times New Roman" w:hAnsi="Times New Roman" w:cs="Times New Roman"/>
      <w:szCs w:val="24"/>
      <w:lang w:bidi="he-IL"/>
    </w:rPr>
  </w:style>
  <w:style w:type="paragraph" w:customStyle="1" w:styleId="bqsalt">
    <w:name w:val="bqsalt"/>
    <w:basedOn w:val="bqs"/>
    <w:rsid w:val="005F506D"/>
    <w:pPr>
      <w:ind w:firstLine="720"/>
    </w:pPr>
    <w:rPr>
      <w:rFonts w:eastAsia="MS Mincho"/>
    </w:rPr>
  </w:style>
  <w:style w:type="paragraph" w:customStyle="1" w:styleId="bqt">
    <w:name w:val="bqt"/>
    <w:basedOn w:val="bq"/>
    <w:qFormat/>
    <w:rsid w:val="005F506D"/>
    <w:pPr>
      <w:spacing w:after="360"/>
      <w:jc w:val="right"/>
    </w:pPr>
  </w:style>
  <w:style w:type="paragraph" w:customStyle="1" w:styleId="bqul">
    <w:name w:val="bqul"/>
    <w:basedOn w:val="bqnl"/>
    <w:rsid w:val="005F506D"/>
  </w:style>
  <w:style w:type="paragraph" w:customStyle="1" w:styleId="bqulf">
    <w:name w:val="bqulf"/>
    <w:basedOn w:val="bqf"/>
    <w:next w:val="bqul"/>
    <w:rsid w:val="005F506D"/>
    <w:pPr>
      <w:ind w:left="1080" w:right="720" w:hanging="360"/>
    </w:pPr>
  </w:style>
  <w:style w:type="paragraph" w:customStyle="1" w:styleId="bqull">
    <w:name w:val="bqull"/>
    <w:basedOn w:val="bqnl"/>
    <w:rsid w:val="005F506D"/>
  </w:style>
  <w:style w:type="paragraph" w:customStyle="1" w:styleId="bquls">
    <w:name w:val="bquls"/>
    <w:basedOn w:val="bqnls"/>
    <w:rsid w:val="005F506D"/>
    <w:rPr>
      <w:sz w:val="20"/>
      <w:szCs w:val="20"/>
    </w:rPr>
  </w:style>
  <w:style w:type="character" w:customStyle="1" w:styleId="br">
    <w:name w:val="br"/>
    <w:rsid w:val="005F506D"/>
  </w:style>
  <w:style w:type="numbering" w:customStyle="1" w:styleId="BulletList1">
    <w:name w:val="Bullet List 1"/>
    <w:rsid w:val="005F506D"/>
    <w:pPr>
      <w:numPr>
        <w:numId w:val="5"/>
      </w:numPr>
    </w:pPr>
  </w:style>
  <w:style w:type="numbering" w:customStyle="1" w:styleId="BulletList2">
    <w:name w:val="Bullet List 2"/>
    <w:rsid w:val="005F506D"/>
    <w:pPr>
      <w:numPr>
        <w:numId w:val="6"/>
      </w:numPr>
    </w:pPr>
  </w:style>
  <w:style w:type="numbering" w:customStyle="1" w:styleId="BulletList3">
    <w:name w:val="Bullet List 3"/>
    <w:rsid w:val="005F506D"/>
    <w:pPr>
      <w:numPr>
        <w:numId w:val="7"/>
      </w:numPr>
    </w:pPr>
  </w:style>
  <w:style w:type="numbering" w:customStyle="1" w:styleId="BulletList4">
    <w:name w:val="Bullet List 4"/>
    <w:rsid w:val="005F506D"/>
    <w:pPr>
      <w:numPr>
        <w:numId w:val="8"/>
      </w:numPr>
    </w:pPr>
  </w:style>
  <w:style w:type="numbering" w:customStyle="1" w:styleId="BulletList5">
    <w:name w:val="Bullet List 5"/>
    <w:rsid w:val="005F506D"/>
    <w:pPr>
      <w:numPr>
        <w:numId w:val="9"/>
      </w:numPr>
    </w:pPr>
  </w:style>
  <w:style w:type="numbering" w:customStyle="1" w:styleId="BulletList6">
    <w:name w:val="Bullet List 6"/>
    <w:rsid w:val="005F506D"/>
    <w:pPr>
      <w:numPr>
        <w:numId w:val="10"/>
      </w:numPr>
    </w:pPr>
  </w:style>
  <w:style w:type="numbering" w:customStyle="1" w:styleId="BulletList7">
    <w:name w:val="Bullet List 7"/>
    <w:rsid w:val="005F506D"/>
    <w:pPr>
      <w:numPr>
        <w:numId w:val="11"/>
      </w:numPr>
    </w:pPr>
  </w:style>
  <w:style w:type="numbering" w:customStyle="1" w:styleId="BulletList8">
    <w:name w:val="Bullet List 8"/>
    <w:rsid w:val="005F506D"/>
    <w:pPr>
      <w:numPr>
        <w:numId w:val="12"/>
      </w:numPr>
    </w:pPr>
  </w:style>
  <w:style w:type="numbering" w:customStyle="1" w:styleId="BulletList9">
    <w:name w:val="Bullet List 9"/>
    <w:rsid w:val="005F506D"/>
    <w:pPr>
      <w:numPr>
        <w:numId w:val="13"/>
      </w:numPr>
    </w:pPr>
  </w:style>
  <w:style w:type="paragraph" w:customStyle="1" w:styleId="bx">
    <w:name w:val="bx"/>
    <w:basedOn w:val="p"/>
    <w:rsid w:val="005F506D"/>
    <w:pPr>
      <w:ind w:left="720" w:right="720"/>
    </w:pPr>
    <w:rPr>
      <w:rFonts w:ascii="Arial" w:hAnsi="Arial"/>
      <w:sz w:val="20"/>
    </w:rPr>
  </w:style>
  <w:style w:type="paragraph" w:customStyle="1" w:styleId="bx1">
    <w:name w:val="bx1"/>
    <w:basedOn w:val="p"/>
    <w:rsid w:val="005F506D"/>
    <w:pPr>
      <w:ind w:left="1440" w:right="720" w:firstLine="360"/>
    </w:pPr>
    <w:rPr>
      <w:rFonts w:ascii="Arial" w:hAnsi="Arial"/>
      <w:sz w:val="20"/>
    </w:rPr>
  </w:style>
  <w:style w:type="paragraph" w:customStyle="1" w:styleId="bx1aft">
    <w:name w:val="bx1aft"/>
    <w:basedOn w:val="bx1"/>
    <w:rsid w:val="005F506D"/>
    <w:pPr>
      <w:ind w:firstLine="0"/>
    </w:pPr>
  </w:style>
  <w:style w:type="paragraph" w:customStyle="1" w:styleId="bx1h">
    <w:name w:val="bx1h"/>
    <w:basedOn w:val="p"/>
    <w:rsid w:val="005F506D"/>
    <w:pPr>
      <w:spacing w:before="100" w:after="40"/>
      <w:ind w:left="1440" w:right="720" w:firstLine="0"/>
    </w:pPr>
    <w:rPr>
      <w:rFonts w:ascii="Arial" w:hAnsi="Arial"/>
      <w:sz w:val="28"/>
    </w:rPr>
  </w:style>
  <w:style w:type="paragraph" w:customStyle="1" w:styleId="bx1ah">
    <w:name w:val="bx1ah"/>
    <w:basedOn w:val="bx1h"/>
    <w:rsid w:val="005F506D"/>
    <w:rPr>
      <w:sz w:val="24"/>
    </w:rPr>
  </w:style>
  <w:style w:type="paragraph" w:customStyle="1" w:styleId="bx1bh">
    <w:name w:val="bx1bh"/>
    <w:basedOn w:val="bx1ah"/>
    <w:rsid w:val="005F506D"/>
    <w:rPr>
      <w:sz w:val="20"/>
    </w:rPr>
  </w:style>
  <w:style w:type="paragraph" w:customStyle="1" w:styleId="bx1bqf">
    <w:name w:val="bx1bqf"/>
    <w:basedOn w:val="p"/>
    <w:next w:val="Normal"/>
    <w:rsid w:val="005F506D"/>
    <w:pPr>
      <w:spacing w:before="100" w:line="240" w:lineRule="auto"/>
      <w:ind w:left="1800" w:right="1080" w:firstLine="0"/>
      <w:jc w:val="both"/>
    </w:pPr>
    <w:rPr>
      <w:rFonts w:ascii="Arial" w:hAnsi="Arial"/>
      <w:sz w:val="18"/>
    </w:rPr>
  </w:style>
  <w:style w:type="paragraph" w:customStyle="1" w:styleId="bx1bq">
    <w:name w:val="bx1bq"/>
    <w:basedOn w:val="bx1bqf"/>
    <w:rsid w:val="005F506D"/>
    <w:pPr>
      <w:spacing w:before="0"/>
      <w:ind w:firstLine="360"/>
    </w:pPr>
  </w:style>
  <w:style w:type="paragraph" w:customStyle="1" w:styleId="bx1bql">
    <w:name w:val="bx1bql"/>
    <w:basedOn w:val="bx1bqf"/>
    <w:rsid w:val="005F506D"/>
    <w:pPr>
      <w:spacing w:before="0" w:after="300"/>
      <w:ind w:firstLine="360"/>
    </w:pPr>
  </w:style>
  <w:style w:type="paragraph" w:customStyle="1" w:styleId="bx1bqs">
    <w:name w:val="bx1bqs"/>
    <w:basedOn w:val="bx1bqf"/>
    <w:rsid w:val="005F506D"/>
    <w:pPr>
      <w:spacing w:after="300"/>
    </w:pPr>
  </w:style>
  <w:style w:type="paragraph" w:customStyle="1" w:styleId="bx1con">
    <w:name w:val="bx1con"/>
    <w:basedOn w:val="bx1aft"/>
    <w:rsid w:val="005F506D"/>
  </w:style>
  <w:style w:type="paragraph" w:customStyle="1" w:styleId="bx1f">
    <w:name w:val="bx1f"/>
    <w:basedOn w:val="p"/>
    <w:rsid w:val="005F506D"/>
    <w:pPr>
      <w:spacing w:before="100"/>
      <w:ind w:left="1440" w:right="720" w:firstLine="0"/>
    </w:pPr>
    <w:rPr>
      <w:rFonts w:ascii="Arial" w:hAnsi="Arial"/>
      <w:sz w:val="20"/>
    </w:rPr>
  </w:style>
  <w:style w:type="paragraph" w:customStyle="1" w:styleId="bx1l">
    <w:name w:val="bx1l"/>
    <w:basedOn w:val="bx1"/>
    <w:rsid w:val="005F506D"/>
    <w:pPr>
      <w:spacing w:after="100"/>
    </w:pPr>
  </w:style>
  <w:style w:type="paragraph" w:customStyle="1" w:styleId="bx1nlf">
    <w:name w:val="bx1nlf"/>
    <w:basedOn w:val="bx1"/>
    <w:next w:val="Normal"/>
    <w:rsid w:val="005F506D"/>
    <w:pPr>
      <w:spacing w:before="100"/>
      <w:ind w:left="2520" w:hanging="360"/>
    </w:pPr>
  </w:style>
  <w:style w:type="paragraph" w:customStyle="1" w:styleId="bx1nl">
    <w:name w:val="bx1nl"/>
    <w:basedOn w:val="bx1nlf"/>
    <w:rsid w:val="005F506D"/>
    <w:pPr>
      <w:spacing w:before="0"/>
    </w:pPr>
  </w:style>
  <w:style w:type="paragraph" w:customStyle="1" w:styleId="bx1nll">
    <w:name w:val="bx1nll"/>
    <w:basedOn w:val="bx1nl"/>
    <w:rsid w:val="005F506D"/>
    <w:pPr>
      <w:spacing w:after="100"/>
    </w:pPr>
  </w:style>
  <w:style w:type="paragraph" w:customStyle="1" w:styleId="bx1nlp">
    <w:name w:val="bx1nlp"/>
    <w:basedOn w:val="bx1nl"/>
    <w:rsid w:val="005F506D"/>
    <w:pPr>
      <w:ind w:firstLine="360"/>
    </w:pPr>
  </w:style>
  <w:style w:type="paragraph" w:customStyle="1" w:styleId="bx1ulf">
    <w:name w:val="bx1ulf"/>
    <w:basedOn w:val="bx1nlf"/>
    <w:next w:val="Normal"/>
    <w:rsid w:val="005F506D"/>
  </w:style>
  <w:style w:type="paragraph" w:customStyle="1" w:styleId="bx1slf">
    <w:name w:val="bx1slf"/>
    <w:basedOn w:val="bx1ulf"/>
    <w:rsid w:val="005F506D"/>
  </w:style>
  <w:style w:type="paragraph" w:customStyle="1" w:styleId="bx1sl">
    <w:name w:val="bx1sl"/>
    <w:basedOn w:val="bx1slf"/>
    <w:rsid w:val="005F506D"/>
    <w:pPr>
      <w:spacing w:before="0"/>
    </w:pPr>
  </w:style>
  <w:style w:type="paragraph" w:customStyle="1" w:styleId="bx1sll">
    <w:name w:val="bx1sll"/>
    <w:basedOn w:val="bx1nll"/>
    <w:rsid w:val="005F506D"/>
  </w:style>
  <w:style w:type="paragraph" w:customStyle="1" w:styleId="bx1t">
    <w:name w:val="bx1t"/>
    <w:basedOn w:val="p"/>
    <w:rsid w:val="005F506D"/>
    <w:pPr>
      <w:spacing w:before="200" w:after="80"/>
      <w:ind w:left="1440" w:right="1440" w:firstLine="0"/>
    </w:pPr>
    <w:rPr>
      <w:rFonts w:ascii="Arial" w:hAnsi="Arial"/>
      <w:sz w:val="32"/>
    </w:rPr>
  </w:style>
  <w:style w:type="paragraph" w:customStyle="1" w:styleId="bx1ul">
    <w:name w:val="bx1ul"/>
    <w:basedOn w:val="bx1nl"/>
    <w:rsid w:val="005F506D"/>
  </w:style>
  <w:style w:type="paragraph" w:customStyle="1" w:styleId="bx1ull">
    <w:name w:val="bx1ull"/>
    <w:basedOn w:val="bx1nll"/>
    <w:rsid w:val="005F506D"/>
  </w:style>
  <w:style w:type="paragraph" w:customStyle="1" w:styleId="bx1ulp">
    <w:name w:val="bx1ulp"/>
    <w:basedOn w:val="bx1nlp"/>
    <w:rsid w:val="005F506D"/>
  </w:style>
  <w:style w:type="paragraph" w:customStyle="1" w:styleId="bxaft">
    <w:name w:val="bxaft"/>
    <w:basedOn w:val="p"/>
    <w:rsid w:val="005F506D"/>
    <w:pPr>
      <w:ind w:left="720" w:right="720" w:firstLine="0"/>
    </w:pPr>
    <w:rPr>
      <w:rFonts w:ascii="Arial" w:hAnsi="Arial"/>
      <w:sz w:val="20"/>
    </w:rPr>
  </w:style>
  <w:style w:type="paragraph" w:customStyle="1" w:styleId="bxah">
    <w:name w:val="bxah"/>
    <w:basedOn w:val="p"/>
    <w:next w:val="bxaft"/>
    <w:rsid w:val="005F506D"/>
    <w:rPr>
      <w:rFonts w:ascii="Arial" w:hAnsi="Arial"/>
      <w:sz w:val="28"/>
    </w:rPr>
  </w:style>
  <w:style w:type="paragraph" w:customStyle="1" w:styleId="bxau">
    <w:name w:val="bxau"/>
    <w:basedOn w:val="p"/>
    <w:rsid w:val="005F506D"/>
    <w:pPr>
      <w:ind w:left="720" w:right="720" w:firstLine="0"/>
    </w:pPr>
    <w:rPr>
      <w:rFonts w:ascii="Arial" w:hAnsi="Arial"/>
      <w:sz w:val="28"/>
    </w:rPr>
  </w:style>
  <w:style w:type="paragraph" w:customStyle="1" w:styleId="bxau1">
    <w:name w:val="bxau1"/>
    <w:basedOn w:val="bxau"/>
    <w:rsid w:val="005F506D"/>
    <w:rPr>
      <w:sz w:val="20"/>
    </w:rPr>
  </w:style>
  <w:style w:type="paragraph" w:customStyle="1" w:styleId="bxbh">
    <w:name w:val="bxbh"/>
    <w:basedOn w:val="bxah"/>
    <w:next w:val="bxaft"/>
    <w:rsid w:val="005F506D"/>
    <w:rPr>
      <w:sz w:val="24"/>
    </w:rPr>
  </w:style>
  <w:style w:type="paragraph" w:customStyle="1" w:styleId="bxbqf">
    <w:name w:val="bxbqf"/>
    <w:basedOn w:val="p"/>
    <w:rsid w:val="005F506D"/>
    <w:pPr>
      <w:spacing w:before="100" w:line="240" w:lineRule="auto"/>
      <w:ind w:left="1080" w:right="1080" w:firstLine="0"/>
      <w:jc w:val="both"/>
    </w:pPr>
    <w:rPr>
      <w:rFonts w:ascii="Arial" w:hAnsi="Arial"/>
      <w:sz w:val="20"/>
    </w:rPr>
  </w:style>
  <w:style w:type="paragraph" w:customStyle="1" w:styleId="bxbq">
    <w:name w:val="bxbq"/>
    <w:basedOn w:val="bxbqf"/>
    <w:rsid w:val="005F506D"/>
    <w:pPr>
      <w:spacing w:before="0"/>
      <w:ind w:firstLine="360"/>
    </w:pPr>
  </w:style>
  <w:style w:type="paragraph" w:customStyle="1" w:styleId="bxbql">
    <w:name w:val="bxbql"/>
    <w:basedOn w:val="bxbq"/>
    <w:rsid w:val="005F506D"/>
    <w:pPr>
      <w:spacing w:after="300"/>
    </w:pPr>
  </w:style>
  <w:style w:type="paragraph" w:customStyle="1" w:styleId="bxbqs">
    <w:name w:val="bxbqs"/>
    <w:basedOn w:val="bxbqf"/>
    <w:rsid w:val="005F506D"/>
    <w:pPr>
      <w:spacing w:after="300"/>
    </w:pPr>
  </w:style>
  <w:style w:type="paragraph" w:customStyle="1" w:styleId="bxcon">
    <w:name w:val="bxcon"/>
    <w:basedOn w:val="bxaft"/>
    <w:rsid w:val="005F506D"/>
  </w:style>
  <w:style w:type="paragraph" w:customStyle="1" w:styleId="bxf">
    <w:name w:val="bxf"/>
    <w:basedOn w:val="p"/>
    <w:rsid w:val="005F506D"/>
    <w:pPr>
      <w:spacing w:before="100"/>
      <w:ind w:left="720" w:right="720" w:firstLine="0"/>
    </w:pPr>
    <w:rPr>
      <w:rFonts w:ascii="Arial" w:hAnsi="Arial"/>
      <w:sz w:val="20"/>
    </w:rPr>
  </w:style>
  <w:style w:type="paragraph" w:customStyle="1" w:styleId="bxh">
    <w:name w:val="bxh"/>
    <w:basedOn w:val="p"/>
    <w:rsid w:val="005F506D"/>
    <w:pPr>
      <w:spacing w:before="100"/>
      <w:ind w:left="720" w:firstLine="0"/>
      <w:outlineLvl w:val="8"/>
    </w:pPr>
    <w:rPr>
      <w:rFonts w:ascii="Arial" w:hAnsi="Arial"/>
      <w:sz w:val="40"/>
    </w:rPr>
  </w:style>
  <w:style w:type="paragraph" w:customStyle="1" w:styleId="bxl">
    <w:name w:val="bxl"/>
    <w:basedOn w:val="p"/>
    <w:rsid w:val="005F506D"/>
    <w:pPr>
      <w:spacing w:after="100"/>
      <w:ind w:left="720" w:right="720"/>
    </w:pPr>
    <w:rPr>
      <w:rFonts w:ascii="Arial" w:hAnsi="Arial"/>
      <w:sz w:val="20"/>
    </w:rPr>
  </w:style>
  <w:style w:type="paragraph" w:customStyle="1" w:styleId="sb">
    <w:name w:val="sb"/>
    <w:rsid w:val="005F506D"/>
    <w:pPr>
      <w:spacing w:after="0" w:line="360" w:lineRule="auto"/>
      <w:ind w:left="720" w:right="720" w:firstLine="720"/>
      <w:jc w:val="both"/>
    </w:pPr>
    <w:rPr>
      <w:rFonts w:ascii="Times New Roman" w:eastAsia="Times New Roman" w:hAnsi="Times New Roman" w:cs="Times New Roman"/>
      <w:sz w:val="20"/>
      <w:szCs w:val="20"/>
    </w:rPr>
  </w:style>
  <w:style w:type="paragraph" w:customStyle="1" w:styleId="sbulf">
    <w:name w:val="sbulf"/>
    <w:basedOn w:val="sb"/>
    <w:rsid w:val="005F506D"/>
    <w:pPr>
      <w:widowControl w:val="0"/>
      <w:spacing w:before="100"/>
      <w:ind w:left="1800" w:hanging="360"/>
    </w:pPr>
  </w:style>
  <w:style w:type="paragraph" w:customStyle="1" w:styleId="sbul">
    <w:name w:val="sbul"/>
    <w:basedOn w:val="sbulf"/>
    <w:rsid w:val="005F506D"/>
    <w:pPr>
      <w:spacing w:before="0"/>
    </w:pPr>
  </w:style>
  <w:style w:type="paragraph" w:customStyle="1" w:styleId="sbnl">
    <w:name w:val="sbnl"/>
    <w:basedOn w:val="sbul"/>
    <w:rsid w:val="005F506D"/>
  </w:style>
  <w:style w:type="paragraph" w:customStyle="1" w:styleId="bxnl">
    <w:name w:val="bxnl"/>
    <w:basedOn w:val="sbnl"/>
    <w:rsid w:val="005F506D"/>
    <w:rPr>
      <w:rFonts w:ascii="Arial" w:hAnsi="Arial"/>
      <w:sz w:val="24"/>
    </w:rPr>
  </w:style>
  <w:style w:type="paragraph" w:customStyle="1" w:styleId="sbnlf">
    <w:name w:val="sbnlf"/>
    <w:basedOn w:val="sbulf"/>
    <w:rsid w:val="005F506D"/>
  </w:style>
  <w:style w:type="paragraph" w:customStyle="1" w:styleId="bxnlf">
    <w:name w:val="bxnlf"/>
    <w:basedOn w:val="sbnlf"/>
    <w:next w:val="bxnl"/>
    <w:rsid w:val="005F506D"/>
    <w:rPr>
      <w:rFonts w:ascii="Arial" w:hAnsi="Arial"/>
      <w:sz w:val="24"/>
    </w:rPr>
  </w:style>
  <w:style w:type="paragraph" w:customStyle="1" w:styleId="sbull">
    <w:name w:val="sbull"/>
    <w:basedOn w:val="sbul"/>
    <w:rsid w:val="005F506D"/>
    <w:pPr>
      <w:spacing w:after="100"/>
    </w:pPr>
  </w:style>
  <w:style w:type="paragraph" w:customStyle="1" w:styleId="sbnll">
    <w:name w:val="sbnll"/>
    <w:basedOn w:val="sbull"/>
    <w:rsid w:val="005F506D"/>
  </w:style>
  <w:style w:type="paragraph" w:customStyle="1" w:styleId="bxnll">
    <w:name w:val="bxnll"/>
    <w:basedOn w:val="sbnll"/>
    <w:rsid w:val="005F506D"/>
    <w:rPr>
      <w:rFonts w:ascii="Arial" w:hAnsi="Arial"/>
      <w:sz w:val="24"/>
    </w:rPr>
  </w:style>
  <w:style w:type="paragraph" w:customStyle="1" w:styleId="sbnlp">
    <w:name w:val="sbnlp"/>
    <w:basedOn w:val="sbnl"/>
    <w:rsid w:val="005F506D"/>
    <w:pPr>
      <w:ind w:firstLine="360"/>
    </w:pPr>
    <w:rPr>
      <w:szCs w:val="24"/>
    </w:rPr>
  </w:style>
  <w:style w:type="paragraph" w:customStyle="1" w:styleId="bxnlp">
    <w:name w:val="bxnlp"/>
    <w:basedOn w:val="sbnlp"/>
    <w:rsid w:val="005F506D"/>
    <w:rPr>
      <w:rFonts w:ascii="Arial" w:hAnsi="Arial"/>
      <w:sz w:val="24"/>
    </w:rPr>
  </w:style>
  <w:style w:type="paragraph" w:customStyle="1" w:styleId="bxnls">
    <w:name w:val="bxnls"/>
    <w:basedOn w:val="bxnl"/>
    <w:rsid w:val="005F506D"/>
    <w:pPr>
      <w:spacing w:before="100" w:after="100"/>
    </w:pPr>
  </w:style>
  <w:style w:type="paragraph" w:customStyle="1" w:styleId="bxs">
    <w:name w:val="bxs"/>
    <w:basedOn w:val="bxf"/>
    <w:rsid w:val="005F506D"/>
    <w:pPr>
      <w:spacing w:after="100"/>
    </w:pPr>
  </w:style>
  <w:style w:type="paragraph" w:customStyle="1" w:styleId="bxo">
    <w:name w:val="bxo"/>
    <w:basedOn w:val="bxs"/>
    <w:qFormat/>
    <w:rsid w:val="005F506D"/>
  </w:style>
  <w:style w:type="paragraph" w:customStyle="1" w:styleId="bxslf">
    <w:name w:val="bxslf"/>
    <w:basedOn w:val="p"/>
    <w:next w:val="Normal"/>
    <w:rsid w:val="005F506D"/>
    <w:pPr>
      <w:spacing w:before="100"/>
      <w:ind w:left="2160" w:right="720" w:hanging="720"/>
    </w:pPr>
    <w:rPr>
      <w:rFonts w:ascii="Arial" w:hAnsi="Arial"/>
    </w:rPr>
  </w:style>
  <w:style w:type="paragraph" w:customStyle="1" w:styleId="bxsl">
    <w:name w:val="bxsl"/>
    <w:basedOn w:val="bxslf"/>
    <w:rsid w:val="005F506D"/>
    <w:pPr>
      <w:spacing w:before="0"/>
    </w:pPr>
  </w:style>
  <w:style w:type="paragraph" w:customStyle="1" w:styleId="bxsll">
    <w:name w:val="bxsll"/>
    <w:basedOn w:val="bxsl"/>
    <w:rsid w:val="005F506D"/>
    <w:pPr>
      <w:spacing w:after="100"/>
    </w:pPr>
  </w:style>
  <w:style w:type="paragraph" w:customStyle="1" w:styleId="sbh">
    <w:name w:val="sbh"/>
    <w:basedOn w:val="sb"/>
    <w:rsid w:val="005F506D"/>
    <w:pPr>
      <w:ind w:right="0" w:firstLine="0"/>
      <w:outlineLvl w:val="8"/>
    </w:pPr>
    <w:rPr>
      <w:sz w:val="40"/>
      <w:szCs w:val="24"/>
    </w:rPr>
  </w:style>
  <w:style w:type="paragraph" w:customStyle="1" w:styleId="sbt">
    <w:name w:val="sbt"/>
    <w:basedOn w:val="sbh"/>
    <w:qFormat/>
    <w:rsid w:val="005F506D"/>
  </w:style>
  <w:style w:type="paragraph" w:customStyle="1" w:styleId="bxt">
    <w:name w:val="bxt"/>
    <w:basedOn w:val="sbt"/>
    <w:rsid w:val="005F506D"/>
    <w:rPr>
      <w:rFonts w:ascii="Arial" w:hAnsi="Arial"/>
    </w:rPr>
  </w:style>
  <w:style w:type="paragraph" w:customStyle="1" w:styleId="bxul">
    <w:name w:val="bxul"/>
    <w:basedOn w:val="bxnl"/>
    <w:rsid w:val="005F506D"/>
  </w:style>
  <w:style w:type="paragraph" w:customStyle="1" w:styleId="bxulf">
    <w:name w:val="bxulf"/>
    <w:basedOn w:val="bxnlf"/>
    <w:next w:val="bxul"/>
    <w:rsid w:val="005F506D"/>
  </w:style>
  <w:style w:type="paragraph" w:customStyle="1" w:styleId="bxull">
    <w:name w:val="bxull"/>
    <w:basedOn w:val="bxnll"/>
    <w:rsid w:val="005F506D"/>
  </w:style>
  <w:style w:type="paragraph" w:customStyle="1" w:styleId="bxulp">
    <w:name w:val="bxulp"/>
    <w:basedOn w:val="bxnlp"/>
    <w:rsid w:val="005F506D"/>
  </w:style>
  <w:style w:type="paragraph" w:customStyle="1" w:styleId="bxuls">
    <w:name w:val="bxuls"/>
    <w:basedOn w:val="bxnls"/>
    <w:rsid w:val="005F506D"/>
  </w:style>
  <w:style w:type="paragraph" w:customStyle="1" w:styleId="fig">
    <w:name w:val="fig"/>
    <w:rsid w:val="005F506D"/>
    <w:pPr>
      <w:widowControl w:val="0"/>
      <w:spacing w:before="100" w:after="100" w:line="240" w:lineRule="auto"/>
    </w:pPr>
    <w:rPr>
      <w:rFonts w:ascii="Times New Roman" w:eastAsia="Times New Roman" w:hAnsi="Times New Roman" w:cs="Times New Roman"/>
      <w:sz w:val="24"/>
      <w:szCs w:val="24"/>
    </w:rPr>
  </w:style>
  <w:style w:type="paragraph" w:customStyle="1" w:styleId="figh">
    <w:name w:val="figh"/>
    <w:basedOn w:val="fig"/>
    <w:rsid w:val="005F506D"/>
    <w:pPr>
      <w:shd w:val="clear" w:color="auto" w:fill="C0C0C0"/>
      <w:spacing w:before="200" w:after="60"/>
      <w:outlineLvl w:val="8"/>
    </w:pPr>
    <w:rPr>
      <w:sz w:val="28"/>
    </w:rPr>
  </w:style>
  <w:style w:type="paragraph" w:customStyle="1" w:styleId="call">
    <w:name w:val="call"/>
    <w:basedOn w:val="figh"/>
    <w:qFormat/>
    <w:rsid w:val="005F506D"/>
  </w:style>
  <w:style w:type="character" w:customStyle="1" w:styleId="ccust1">
    <w:name w:val="ccust1"/>
    <w:qFormat/>
    <w:rsid w:val="005F506D"/>
    <w:rPr>
      <w:color w:val="31849B"/>
    </w:rPr>
  </w:style>
  <w:style w:type="character" w:customStyle="1" w:styleId="ccust2">
    <w:name w:val="ccust2"/>
    <w:qFormat/>
    <w:rsid w:val="005F506D"/>
    <w:rPr>
      <w:color w:val="5F497A"/>
    </w:rPr>
  </w:style>
  <w:style w:type="character" w:customStyle="1" w:styleId="ccust3">
    <w:name w:val="ccust3"/>
    <w:qFormat/>
    <w:rsid w:val="005F506D"/>
    <w:rPr>
      <w:color w:val="E36C0A"/>
    </w:rPr>
  </w:style>
  <w:style w:type="character" w:customStyle="1" w:styleId="cemd">
    <w:name w:val="cemd"/>
    <w:rsid w:val="005F506D"/>
    <w:rPr>
      <w:color w:val="800000"/>
    </w:rPr>
  </w:style>
  <w:style w:type="paragraph" w:customStyle="1" w:styleId="ch">
    <w:name w:val="ch"/>
    <w:next w:val="Normal"/>
    <w:rsid w:val="005F506D"/>
    <w:pPr>
      <w:spacing w:before="240" w:after="0" w:line="240" w:lineRule="auto"/>
      <w:outlineLvl w:val="4"/>
    </w:pPr>
    <w:rPr>
      <w:rFonts w:ascii="Arial" w:eastAsia="Times New Roman" w:hAnsi="Arial" w:cs="Times New Roman"/>
      <w:noProof/>
      <w:sz w:val="32"/>
      <w:szCs w:val="20"/>
    </w:rPr>
  </w:style>
  <w:style w:type="paragraph" w:customStyle="1" w:styleId="chaft">
    <w:name w:val="chaft"/>
    <w:basedOn w:val="Normal"/>
    <w:next w:val="Normal"/>
    <w:rsid w:val="005F506D"/>
    <w:pPr>
      <w:spacing w:before="100"/>
      <w:ind w:firstLine="0"/>
      <w:outlineLvl w:val="4"/>
    </w:pPr>
    <w:rPr>
      <w:rFonts w:ascii="Arial" w:eastAsia="Times New Roman" w:hAnsi="Arial" w:cs="Times New Roman"/>
      <w:color w:val="000000"/>
      <w:sz w:val="32"/>
      <w:szCs w:val="20"/>
    </w:rPr>
  </w:style>
  <w:style w:type="character" w:customStyle="1" w:styleId="chemb">
    <w:name w:val="chemb"/>
    <w:qFormat/>
    <w:rsid w:val="005F506D"/>
    <w:rPr>
      <w:color w:val="800000"/>
    </w:rPr>
  </w:style>
  <w:style w:type="paragraph" w:customStyle="1" w:styleId="chsect">
    <w:name w:val="chsect"/>
    <w:basedOn w:val="pf"/>
    <w:qFormat/>
    <w:rsid w:val="005F506D"/>
    <w:rPr>
      <w:b/>
    </w:rPr>
  </w:style>
  <w:style w:type="paragraph" w:customStyle="1" w:styleId="chsubsect">
    <w:name w:val="chsubsect"/>
    <w:basedOn w:val="pf"/>
    <w:qFormat/>
    <w:rsid w:val="005F506D"/>
  </w:style>
  <w:style w:type="paragraph" w:customStyle="1" w:styleId="cip">
    <w:name w:val="cip"/>
    <w:rsid w:val="005F506D"/>
    <w:pPr>
      <w:widowControl w:val="0"/>
      <w:spacing w:after="0" w:line="240" w:lineRule="auto"/>
    </w:pPr>
    <w:rPr>
      <w:rFonts w:ascii="Times New Roman" w:eastAsia="Times New Roman" w:hAnsi="Times New Roman" w:cs="Times New Roman"/>
      <w:sz w:val="20"/>
      <w:szCs w:val="20"/>
    </w:rPr>
  </w:style>
  <w:style w:type="paragraph" w:customStyle="1" w:styleId="cip1">
    <w:name w:val="cip1"/>
    <w:basedOn w:val="cip"/>
    <w:rsid w:val="005F506D"/>
    <w:pPr>
      <w:ind w:left="360" w:firstLine="360"/>
    </w:pPr>
  </w:style>
  <w:style w:type="paragraph" w:customStyle="1" w:styleId="cip2">
    <w:name w:val="cip2"/>
    <w:basedOn w:val="cip"/>
    <w:rsid w:val="005F506D"/>
    <w:pPr>
      <w:ind w:left="1080"/>
    </w:pPr>
  </w:style>
  <w:style w:type="paragraph" w:customStyle="1" w:styleId="cipf">
    <w:name w:val="cipf"/>
    <w:basedOn w:val="cip"/>
    <w:next w:val="cip"/>
    <w:rsid w:val="005F506D"/>
    <w:pPr>
      <w:spacing w:before="200"/>
    </w:pPr>
  </w:style>
  <w:style w:type="paragraph" w:customStyle="1" w:styleId="cipf1">
    <w:name w:val="cipf1"/>
    <w:basedOn w:val="cip"/>
    <w:rsid w:val="005F506D"/>
    <w:pPr>
      <w:spacing w:before="240"/>
      <w:ind w:left="360"/>
    </w:pPr>
  </w:style>
  <w:style w:type="paragraph" w:customStyle="1" w:styleId="cipl">
    <w:name w:val="cipl"/>
    <w:basedOn w:val="cipf1"/>
    <w:rsid w:val="005F506D"/>
    <w:pPr>
      <w:spacing w:before="0" w:after="240"/>
    </w:pPr>
  </w:style>
  <w:style w:type="paragraph" w:customStyle="1" w:styleId="sl">
    <w:name w:val="sl"/>
    <w:rsid w:val="005F506D"/>
    <w:pPr>
      <w:spacing w:after="0" w:line="360" w:lineRule="auto"/>
      <w:ind w:left="720" w:right="720"/>
    </w:pPr>
    <w:rPr>
      <w:rFonts w:ascii="Times New Roman" w:eastAsia="Times New Roman" w:hAnsi="Times New Roman" w:cs="Times New Roman"/>
      <w:noProof/>
      <w:sz w:val="20"/>
      <w:szCs w:val="20"/>
    </w:rPr>
  </w:style>
  <w:style w:type="paragraph" w:customStyle="1" w:styleId="slf">
    <w:name w:val="slf"/>
    <w:basedOn w:val="sl"/>
    <w:next w:val="sl"/>
    <w:rsid w:val="005F506D"/>
    <w:pPr>
      <w:spacing w:before="240"/>
    </w:pPr>
  </w:style>
  <w:style w:type="paragraph" w:customStyle="1" w:styleId="clf">
    <w:name w:val="clf"/>
    <w:basedOn w:val="slf"/>
    <w:next w:val="Normal"/>
    <w:qFormat/>
    <w:rsid w:val="005F506D"/>
    <w:pPr>
      <w:widowControl w:val="0"/>
      <w:autoSpaceDE w:val="0"/>
      <w:autoSpaceDN w:val="0"/>
      <w:adjustRightInd w:val="0"/>
    </w:pPr>
    <w:rPr>
      <w:rFonts w:ascii="Courier" w:eastAsia="MS Mincho" w:hAnsi="Courier" w:cs="Helvetica"/>
      <w:sz w:val="24"/>
      <w:szCs w:val="24"/>
      <w:lang w:eastAsia="ja-JP"/>
    </w:rPr>
  </w:style>
  <w:style w:type="paragraph" w:customStyle="1" w:styleId="cl">
    <w:name w:val="cl"/>
    <w:basedOn w:val="clf"/>
    <w:qFormat/>
    <w:rsid w:val="005F506D"/>
    <w:pPr>
      <w:spacing w:before="0"/>
    </w:pPr>
  </w:style>
  <w:style w:type="paragraph" w:customStyle="1" w:styleId="cl1">
    <w:name w:val="cl1"/>
    <w:basedOn w:val="cl"/>
    <w:qFormat/>
    <w:rsid w:val="005F506D"/>
    <w:pPr>
      <w:ind w:left="1080"/>
    </w:pPr>
  </w:style>
  <w:style w:type="paragraph" w:customStyle="1" w:styleId="cl1f">
    <w:name w:val="cl1f"/>
    <w:basedOn w:val="cl1"/>
    <w:next w:val="cl1"/>
    <w:qFormat/>
    <w:rsid w:val="005F506D"/>
    <w:pPr>
      <w:spacing w:before="240"/>
    </w:pPr>
  </w:style>
  <w:style w:type="paragraph" w:customStyle="1" w:styleId="cl1l">
    <w:name w:val="cl1l"/>
    <w:basedOn w:val="cl1"/>
    <w:qFormat/>
    <w:rsid w:val="005F506D"/>
    <w:pPr>
      <w:spacing w:after="240"/>
    </w:pPr>
  </w:style>
  <w:style w:type="paragraph" w:customStyle="1" w:styleId="cl1s">
    <w:name w:val="cl1s"/>
    <w:basedOn w:val="cl1"/>
    <w:qFormat/>
    <w:rsid w:val="005F506D"/>
    <w:pPr>
      <w:spacing w:before="240" w:after="240"/>
    </w:pPr>
  </w:style>
  <w:style w:type="paragraph" w:customStyle="1" w:styleId="cl2">
    <w:name w:val="cl2"/>
    <w:basedOn w:val="cl1"/>
    <w:qFormat/>
    <w:rsid w:val="005F506D"/>
    <w:pPr>
      <w:ind w:left="1440"/>
    </w:pPr>
  </w:style>
  <w:style w:type="paragraph" w:customStyle="1" w:styleId="cl2f">
    <w:name w:val="cl2f"/>
    <w:basedOn w:val="cl2"/>
    <w:next w:val="cl2"/>
    <w:qFormat/>
    <w:rsid w:val="005F506D"/>
    <w:pPr>
      <w:spacing w:before="240"/>
    </w:pPr>
  </w:style>
  <w:style w:type="paragraph" w:customStyle="1" w:styleId="cl2l">
    <w:name w:val="cl2l"/>
    <w:basedOn w:val="cl2"/>
    <w:qFormat/>
    <w:rsid w:val="005F506D"/>
    <w:pPr>
      <w:spacing w:after="240"/>
    </w:pPr>
  </w:style>
  <w:style w:type="paragraph" w:customStyle="1" w:styleId="cl2s">
    <w:name w:val="cl2s"/>
    <w:basedOn w:val="cl2l"/>
    <w:qFormat/>
    <w:rsid w:val="005F506D"/>
    <w:pPr>
      <w:spacing w:before="240"/>
    </w:pPr>
  </w:style>
  <w:style w:type="paragraph" w:customStyle="1" w:styleId="cl3">
    <w:name w:val="cl3"/>
    <w:basedOn w:val="cl"/>
    <w:qFormat/>
    <w:rsid w:val="005F506D"/>
    <w:pPr>
      <w:ind w:left="1800"/>
    </w:pPr>
  </w:style>
  <w:style w:type="paragraph" w:customStyle="1" w:styleId="cl3f">
    <w:name w:val="cl3f"/>
    <w:basedOn w:val="cl3"/>
    <w:next w:val="cl3"/>
    <w:qFormat/>
    <w:rsid w:val="005F506D"/>
    <w:pPr>
      <w:spacing w:before="240"/>
    </w:pPr>
  </w:style>
  <w:style w:type="paragraph" w:customStyle="1" w:styleId="cl3l">
    <w:name w:val="cl3l"/>
    <w:basedOn w:val="cl3"/>
    <w:qFormat/>
    <w:rsid w:val="005F506D"/>
    <w:pPr>
      <w:spacing w:after="240"/>
    </w:pPr>
  </w:style>
  <w:style w:type="paragraph" w:customStyle="1" w:styleId="cl3s">
    <w:name w:val="cl3s"/>
    <w:basedOn w:val="cl"/>
    <w:qFormat/>
    <w:rsid w:val="005F506D"/>
    <w:pPr>
      <w:spacing w:before="240" w:after="240"/>
      <w:ind w:left="1800"/>
    </w:pPr>
  </w:style>
  <w:style w:type="paragraph" w:customStyle="1" w:styleId="cll">
    <w:name w:val="cll"/>
    <w:basedOn w:val="cl"/>
    <w:qFormat/>
    <w:rsid w:val="005F506D"/>
    <w:pPr>
      <w:spacing w:after="240"/>
    </w:pPr>
  </w:style>
  <w:style w:type="paragraph" w:customStyle="1" w:styleId="cls">
    <w:name w:val="cls"/>
    <w:basedOn w:val="clf"/>
    <w:qFormat/>
    <w:rsid w:val="005F506D"/>
    <w:pPr>
      <w:spacing w:after="240"/>
    </w:pPr>
  </w:style>
  <w:style w:type="character" w:customStyle="1" w:styleId="code">
    <w:name w:val="code"/>
    <w:uiPriority w:val="1"/>
    <w:qFormat/>
    <w:rsid w:val="005F506D"/>
    <w:rPr>
      <w:rFonts w:ascii="Courier" w:eastAsia="MS Mincho" w:hAnsi="Courier"/>
      <w:lang w:eastAsia="ja-JP"/>
    </w:rPr>
  </w:style>
  <w:style w:type="character" w:customStyle="1" w:styleId="code-b">
    <w:name w:val="code-b"/>
    <w:uiPriority w:val="1"/>
    <w:qFormat/>
    <w:rsid w:val="005F506D"/>
    <w:rPr>
      <w:rFonts w:ascii="Courier" w:eastAsia="MS Mincho" w:hAnsi="Courier"/>
      <w:b/>
      <w:lang w:eastAsia="ja-JP"/>
    </w:rPr>
  </w:style>
  <w:style w:type="character" w:customStyle="1" w:styleId="code-bi">
    <w:name w:val="code-bi"/>
    <w:uiPriority w:val="1"/>
    <w:rsid w:val="005F506D"/>
    <w:rPr>
      <w:rFonts w:ascii="Courier" w:eastAsia="MS Mincho" w:hAnsi="Courier"/>
      <w:b/>
      <w:i/>
      <w:lang w:eastAsia="ja-JP"/>
    </w:rPr>
  </w:style>
  <w:style w:type="character" w:customStyle="1" w:styleId="code-i">
    <w:name w:val="code-i"/>
    <w:uiPriority w:val="1"/>
    <w:qFormat/>
    <w:rsid w:val="005F506D"/>
    <w:rPr>
      <w:rFonts w:ascii="Courier" w:eastAsia="MS Mincho" w:hAnsi="Courier"/>
      <w:i/>
      <w:lang w:eastAsia="ja-JP"/>
    </w:rPr>
  </w:style>
  <w:style w:type="paragraph" w:customStyle="1" w:styleId="ColorfulList-Accent11">
    <w:name w:val="Colorful List - Accent 11"/>
    <w:basedOn w:val="Normal"/>
    <w:uiPriority w:val="34"/>
    <w:qFormat/>
    <w:rsid w:val="005F506D"/>
    <w:pPr>
      <w:ind w:left="720" w:firstLine="0"/>
      <w:contextualSpacing/>
    </w:pPr>
    <w:rPr>
      <w:rFonts w:ascii="Times New Roman" w:eastAsia="Times New Roman" w:hAnsi="Times New Roman" w:cs="Times New Roman"/>
      <w:sz w:val="20"/>
      <w:szCs w:val="20"/>
    </w:rPr>
  </w:style>
  <w:style w:type="paragraph" w:customStyle="1" w:styleId="com">
    <w:name w:val="com"/>
    <w:basedOn w:val="pf"/>
    <w:qFormat/>
    <w:rsid w:val="005F506D"/>
  </w:style>
  <w:style w:type="paragraph" w:customStyle="1" w:styleId="Comment">
    <w:name w:val="Comment"/>
    <w:basedOn w:val="Normal"/>
    <w:rsid w:val="005F506D"/>
    <w:pPr>
      <w:ind w:firstLine="0"/>
    </w:pPr>
    <w:rPr>
      <w:rFonts w:ascii="Times New Roman" w:eastAsia="Times New Roman" w:hAnsi="Times New Roman" w:cs="Times New Roman"/>
      <w:sz w:val="20"/>
      <w:szCs w:val="20"/>
    </w:rPr>
  </w:style>
  <w:style w:type="paragraph" w:customStyle="1" w:styleId="crt">
    <w:name w:val="crt"/>
    <w:basedOn w:val="cip"/>
    <w:qFormat/>
    <w:rsid w:val="005F506D"/>
  </w:style>
  <w:style w:type="paragraph" w:customStyle="1" w:styleId="crt1">
    <w:name w:val="crt1"/>
    <w:basedOn w:val="cip1"/>
    <w:qFormat/>
    <w:rsid w:val="005F506D"/>
  </w:style>
  <w:style w:type="paragraph" w:customStyle="1" w:styleId="crt1f">
    <w:name w:val="crt1f"/>
    <w:basedOn w:val="cipf1"/>
    <w:qFormat/>
    <w:rsid w:val="005F506D"/>
  </w:style>
  <w:style w:type="paragraph" w:customStyle="1" w:styleId="crt2">
    <w:name w:val="crt2"/>
    <w:basedOn w:val="cip2"/>
    <w:qFormat/>
    <w:rsid w:val="005F506D"/>
  </w:style>
  <w:style w:type="paragraph" w:customStyle="1" w:styleId="crt3">
    <w:name w:val="crt3"/>
    <w:basedOn w:val="Normal"/>
    <w:qFormat/>
    <w:rsid w:val="005F506D"/>
    <w:pPr>
      <w:widowControl w:val="0"/>
      <w:spacing w:before="240"/>
      <w:ind w:left="1080" w:firstLine="432"/>
    </w:pPr>
    <w:rPr>
      <w:rFonts w:ascii="Times New Roman" w:eastAsia="Times New Roman" w:hAnsi="Times New Roman" w:cs="Times New Roman"/>
      <w:sz w:val="20"/>
      <w:szCs w:val="20"/>
    </w:rPr>
  </w:style>
  <w:style w:type="paragraph" w:customStyle="1" w:styleId="crtf">
    <w:name w:val="crtf"/>
    <w:basedOn w:val="cipf"/>
    <w:next w:val="crt"/>
    <w:qFormat/>
    <w:rsid w:val="005F506D"/>
  </w:style>
  <w:style w:type="paragraph" w:customStyle="1" w:styleId="cs">
    <w:name w:val="cs"/>
    <w:basedOn w:val="Normal"/>
    <w:rsid w:val="005F506D"/>
    <w:pPr>
      <w:spacing w:after="300"/>
      <w:ind w:firstLine="0"/>
      <w:jc w:val="center"/>
      <w:outlineLvl w:val="0"/>
    </w:pPr>
    <w:rPr>
      <w:rFonts w:ascii="Arial" w:eastAsia="Times New Roman" w:hAnsi="Arial" w:cs="Times New Roman"/>
      <w:sz w:val="44"/>
      <w:szCs w:val="20"/>
    </w:rPr>
  </w:style>
  <w:style w:type="paragraph" w:customStyle="1" w:styleId="ct0">
    <w:name w:val="ct"/>
    <w:link w:val="ctChar"/>
    <w:rsid w:val="005F506D"/>
    <w:pPr>
      <w:widowControl w:val="0"/>
      <w:spacing w:after="300" w:line="240" w:lineRule="auto"/>
      <w:jc w:val="center"/>
      <w:outlineLvl w:val="1"/>
    </w:pPr>
    <w:rPr>
      <w:rFonts w:ascii="Times New Roman" w:eastAsia="Times New Roman" w:hAnsi="Times New Roman" w:cs="Times New Roman"/>
      <w:noProof/>
      <w:sz w:val="60"/>
      <w:szCs w:val="20"/>
    </w:rPr>
  </w:style>
  <w:style w:type="paragraph" w:customStyle="1" w:styleId="ctbm">
    <w:name w:val="ctbm"/>
    <w:rsid w:val="005F506D"/>
    <w:pPr>
      <w:spacing w:after="0" w:line="240" w:lineRule="auto"/>
      <w:jc w:val="center"/>
      <w:outlineLvl w:val="1"/>
    </w:pPr>
    <w:rPr>
      <w:rFonts w:ascii="Times New Roman" w:eastAsia="Times New Roman" w:hAnsi="Times New Roman" w:cs="Times New Roman"/>
      <w:sz w:val="48"/>
      <w:szCs w:val="48"/>
    </w:rPr>
  </w:style>
  <w:style w:type="paragraph" w:customStyle="1" w:styleId="ctfm">
    <w:name w:val="ctfm"/>
    <w:rsid w:val="005F506D"/>
    <w:pPr>
      <w:spacing w:before="300" w:after="0" w:line="240" w:lineRule="auto"/>
      <w:jc w:val="center"/>
      <w:outlineLvl w:val="1"/>
    </w:pPr>
    <w:rPr>
      <w:rFonts w:ascii="Times New Roman" w:eastAsia="Times New Roman" w:hAnsi="Times New Roman" w:cs="Times New Roman"/>
      <w:sz w:val="48"/>
      <w:szCs w:val="48"/>
    </w:rPr>
  </w:style>
  <w:style w:type="paragraph" w:customStyle="1" w:styleId="toc">
    <w:name w:val="toc"/>
    <w:uiPriority w:val="99"/>
    <w:rsid w:val="005F506D"/>
    <w:pPr>
      <w:widowControl w:val="0"/>
      <w:tabs>
        <w:tab w:val="left" w:pos="4320"/>
      </w:tabs>
      <w:spacing w:before="200" w:after="0" w:line="240" w:lineRule="auto"/>
    </w:pPr>
    <w:rPr>
      <w:rFonts w:ascii="Times New Roman" w:eastAsia="Times New Roman" w:hAnsi="Times New Roman" w:cs="Times New Roman"/>
      <w:color w:val="000000"/>
      <w:sz w:val="24"/>
      <w:szCs w:val="20"/>
    </w:rPr>
  </w:style>
  <w:style w:type="paragraph" w:customStyle="1" w:styleId="ctoc">
    <w:name w:val="ctoc"/>
    <w:basedOn w:val="toc"/>
    <w:qFormat/>
    <w:rsid w:val="005F506D"/>
  </w:style>
  <w:style w:type="paragraph" w:customStyle="1" w:styleId="toc1">
    <w:name w:val="toc1"/>
    <w:basedOn w:val="toc"/>
    <w:rsid w:val="005F506D"/>
    <w:pPr>
      <w:tabs>
        <w:tab w:val="left" w:pos="360"/>
      </w:tabs>
      <w:ind w:left="1440" w:hanging="720"/>
    </w:pPr>
  </w:style>
  <w:style w:type="paragraph" w:customStyle="1" w:styleId="ctoc1">
    <w:name w:val="ctoc1"/>
    <w:basedOn w:val="toc1"/>
    <w:rsid w:val="005F506D"/>
    <w:rPr>
      <w:szCs w:val="24"/>
    </w:rPr>
  </w:style>
  <w:style w:type="paragraph" w:customStyle="1" w:styleId="ctoch">
    <w:name w:val="ctoch"/>
    <w:basedOn w:val="toc"/>
    <w:qFormat/>
    <w:rsid w:val="005F506D"/>
    <w:rPr>
      <w:sz w:val="32"/>
    </w:rPr>
  </w:style>
  <w:style w:type="character" w:customStyle="1" w:styleId="dcrit">
    <w:name w:val="dcrit"/>
    <w:rsid w:val="005F506D"/>
    <w:rPr>
      <w:color w:val="948A54"/>
    </w:rPr>
  </w:style>
  <w:style w:type="character" w:customStyle="1" w:styleId="dcrit-b">
    <w:name w:val="dcrit-b"/>
    <w:uiPriority w:val="1"/>
    <w:qFormat/>
    <w:rsid w:val="005F506D"/>
    <w:rPr>
      <w:rFonts w:eastAsia="MS Mincho"/>
      <w:b/>
      <w:color w:val="948A54"/>
    </w:rPr>
  </w:style>
  <w:style w:type="character" w:customStyle="1" w:styleId="dcrit-bi">
    <w:name w:val="dcrit-bi"/>
    <w:uiPriority w:val="1"/>
    <w:qFormat/>
    <w:rsid w:val="005F506D"/>
    <w:rPr>
      <w:rFonts w:eastAsia="MS Mincho"/>
      <w:b/>
      <w:i/>
      <w:color w:val="948A54"/>
    </w:rPr>
  </w:style>
  <w:style w:type="character" w:customStyle="1" w:styleId="dcrit-i">
    <w:name w:val="dcrit-i"/>
    <w:uiPriority w:val="1"/>
    <w:qFormat/>
    <w:rsid w:val="005F506D"/>
    <w:rPr>
      <w:rFonts w:eastAsia="MS Mincho"/>
      <w:i/>
      <w:color w:val="948A54"/>
    </w:rPr>
  </w:style>
  <w:style w:type="character" w:customStyle="1" w:styleId="dcrit-ob">
    <w:name w:val="dcrit-ob"/>
    <w:qFormat/>
    <w:rsid w:val="005F506D"/>
    <w:rPr>
      <w:rFonts w:ascii="Arial" w:hAnsi="Arial"/>
      <w:b w:val="0"/>
      <w:i/>
      <w:color w:val="948A54"/>
    </w:rPr>
  </w:style>
  <w:style w:type="character" w:customStyle="1" w:styleId="dcrit-red">
    <w:name w:val="dcrit-red"/>
    <w:qFormat/>
    <w:rsid w:val="005F506D"/>
    <w:rPr>
      <w:b w:val="0"/>
      <w:bCs/>
      <w:color w:val="FF0000"/>
    </w:rPr>
  </w:style>
  <w:style w:type="paragraph" w:customStyle="1" w:styleId="ded">
    <w:name w:val="ded"/>
    <w:basedOn w:val="p"/>
    <w:rsid w:val="005F506D"/>
    <w:pPr>
      <w:ind w:firstLine="0"/>
      <w:jc w:val="center"/>
    </w:pPr>
    <w:rPr>
      <w:rFonts w:ascii="Arial" w:hAnsi="Arial"/>
    </w:rPr>
  </w:style>
  <w:style w:type="paragraph" w:customStyle="1" w:styleId="dedf">
    <w:name w:val="dedf"/>
    <w:basedOn w:val="ded"/>
    <w:next w:val="ded"/>
    <w:qFormat/>
    <w:rsid w:val="005F506D"/>
    <w:pPr>
      <w:spacing w:before="240"/>
    </w:pPr>
  </w:style>
  <w:style w:type="paragraph" w:customStyle="1" w:styleId="ded1f">
    <w:name w:val="ded1f"/>
    <w:basedOn w:val="dedf"/>
    <w:next w:val="Normal"/>
    <w:qFormat/>
    <w:rsid w:val="005F506D"/>
    <w:rPr>
      <w:sz w:val="20"/>
      <w:szCs w:val="20"/>
    </w:rPr>
  </w:style>
  <w:style w:type="paragraph" w:customStyle="1" w:styleId="ded1">
    <w:name w:val="ded1"/>
    <w:basedOn w:val="ded1f"/>
    <w:qFormat/>
    <w:rsid w:val="005F506D"/>
    <w:pPr>
      <w:spacing w:before="0"/>
    </w:pPr>
  </w:style>
  <w:style w:type="paragraph" w:customStyle="1" w:styleId="Default">
    <w:name w:val="Default"/>
    <w:rsid w:val="005F506D"/>
    <w:pPr>
      <w:widowControl w:val="0"/>
      <w:autoSpaceDE w:val="0"/>
      <w:autoSpaceDN w:val="0"/>
      <w:adjustRightInd w:val="0"/>
      <w:spacing w:after="0" w:line="240" w:lineRule="auto"/>
    </w:pPr>
    <w:rPr>
      <w:rFonts w:ascii="New Century Schlbk" w:eastAsia="Times New Roman" w:hAnsi="New Century Schlbk" w:cs="Times New Roman"/>
      <w:color w:val="000000"/>
      <w:sz w:val="24"/>
      <w:szCs w:val="24"/>
    </w:rPr>
  </w:style>
  <w:style w:type="paragraph" w:customStyle="1" w:styleId="dh">
    <w:name w:val="dh"/>
    <w:basedOn w:val="ah"/>
    <w:next w:val="Normal"/>
    <w:rsid w:val="005F506D"/>
    <w:pPr>
      <w:outlineLvl w:val="5"/>
    </w:pPr>
    <w:rPr>
      <w:sz w:val="28"/>
    </w:rPr>
  </w:style>
  <w:style w:type="paragraph" w:customStyle="1" w:styleId="dhaft">
    <w:name w:val="dhaft"/>
    <w:basedOn w:val="Normal"/>
    <w:next w:val="Normal"/>
    <w:rsid w:val="005F506D"/>
    <w:pPr>
      <w:widowControl w:val="0"/>
      <w:spacing w:before="100"/>
      <w:ind w:firstLine="0"/>
      <w:outlineLvl w:val="5"/>
    </w:pPr>
    <w:rPr>
      <w:rFonts w:ascii="Arial" w:eastAsia="Times New Roman" w:hAnsi="Arial" w:cs="Times New Roman"/>
      <w:sz w:val="28"/>
      <w:szCs w:val="20"/>
    </w:rPr>
  </w:style>
  <w:style w:type="paragraph" w:customStyle="1" w:styleId="ep">
    <w:name w:val="ep"/>
    <w:next w:val="Normal"/>
    <w:rsid w:val="005F506D"/>
    <w:pPr>
      <w:widowControl w:val="0"/>
      <w:spacing w:after="0" w:line="240" w:lineRule="auto"/>
    </w:pPr>
    <w:rPr>
      <w:rFonts w:ascii="Times New Roman" w:eastAsia="Times New Roman" w:hAnsi="Times New Roman" w:cs="Times New Roman"/>
      <w:sz w:val="24"/>
      <w:szCs w:val="20"/>
    </w:rPr>
  </w:style>
  <w:style w:type="paragraph" w:customStyle="1" w:styleId="dia">
    <w:name w:val="dia"/>
    <w:basedOn w:val="ep"/>
    <w:qFormat/>
    <w:rsid w:val="005F506D"/>
  </w:style>
  <w:style w:type="paragraph" w:customStyle="1" w:styleId="diaf">
    <w:name w:val="diaf"/>
    <w:next w:val="dia"/>
    <w:rsid w:val="005F506D"/>
    <w:pPr>
      <w:spacing w:before="100" w:after="0" w:line="240" w:lineRule="auto"/>
    </w:pPr>
    <w:rPr>
      <w:rFonts w:ascii="Times New Roman" w:eastAsia="Times New Roman" w:hAnsi="Times New Roman" w:cs="Times New Roman"/>
      <w:sz w:val="24"/>
      <w:szCs w:val="24"/>
    </w:rPr>
  </w:style>
  <w:style w:type="paragraph" w:customStyle="1" w:styleId="dial">
    <w:name w:val="dial"/>
    <w:next w:val="p"/>
    <w:rsid w:val="005F506D"/>
    <w:pPr>
      <w:spacing w:after="240" w:line="240" w:lineRule="auto"/>
    </w:pPr>
    <w:rPr>
      <w:rFonts w:ascii="Times New Roman" w:eastAsia="Times New Roman" w:hAnsi="Times New Roman" w:cs="Times New Roman"/>
      <w:sz w:val="24"/>
      <w:szCs w:val="24"/>
    </w:rPr>
  </w:style>
  <w:style w:type="paragraph" w:customStyle="1" w:styleId="diap">
    <w:name w:val="diap"/>
    <w:qFormat/>
    <w:rsid w:val="005F506D"/>
    <w:pPr>
      <w:spacing w:after="0" w:line="240" w:lineRule="auto"/>
      <w:ind w:firstLine="720"/>
    </w:pPr>
    <w:rPr>
      <w:rFonts w:ascii="Times New Roman" w:eastAsia="Times New Roman" w:hAnsi="Times New Roman" w:cs="Times New Roman"/>
      <w:sz w:val="24"/>
      <w:szCs w:val="24"/>
    </w:rPr>
  </w:style>
  <w:style w:type="paragraph" w:customStyle="1" w:styleId="diapl">
    <w:name w:val="diapl"/>
    <w:basedOn w:val="dia"/>
    <w:qFormat/>
    <w:rsid w:val="005F506D"/>
    <w:pPr>
      <w:spacing w:after="240"/>
      <w:ind w:firstLine="432"/>
    </w:pPr>
  </w:style>
  <w:style w:type="paragraph" w:customStyle="1" w:styleId="dias">
    <w:name w:val="dias"/>
    <w:next w:val="p"/>
    <w:rsid w:val="005F506D"/>
    <w:pPr>
      <w:spacing w:before="100" w:after="100" w:line="480" w:lineRule="auto"/>
    </w:pPr>
    <w:rPr>
      <w:rFonts w:ascii="Times New Roman" w:eastAsia="Times New Roman" w:hAnsi="Times New Roman" w:cs="Times New Roman"/>
      <w:sz w:val="24"/>
      <w:szCs w:val="24"/>
    </w:rPr>
  </w:style>
  <w:style w:type="character" w:customStyle="1" w:styleId="dispk">
    <w:name w:val="dispk"/>
    <w:rsid w:val="005F506D"/>
    <w:rPr>
      <w:color w:val="C0504D"/>
    </w:rPr>
  </w:style>
  <w:style w:type="character" w:customStyle="1" w:styleId="dispk-i">
    <w:name w:val="dispk-i"/>
    <w:uiPriority w:val="1"/>
    <w:qFormat/>
    <w:rsid w:val="005F506D"/>
    <w:rPr>
      <w:i/>
      <w:color w:val="C0504D"/>
    </w:rPr>
  </w:style>
  <w:style w:type="paragraph" w:styleId="DocumentMap">
    <w:name w:val="Document Map"/>
    <w:basedOn w:val="Normal"/>
    <w:link w:val="DocumentMapChar"/>
    <w:uiPriority w:val="99"/>
    <w:semiHidden/>
    <w:rsid w:val="005F506D"/>
    <w:pPr>
      <w:ind w:firstLine="0"/>
    </w:pPr>
    <w:rPr>
      <w:rFonts w:ascii="Lucida Grande" w:eastAsia="Times New Roman" w:hAnsi="Lucida Grande" w:cs="Times New Roman"/>
      <w:sz w:val="24"/>
      <w:szCs w:val="24"/>
      <w:lang w:val="x-none" w:eastAsia="x-none"/>
    </w:rPr>
  </w:style>
  <w:style w:type="character" w:customStyle="1" w:styleId="DocumentMapChar">
    <w:name w:val="Document Map Char"/>
    <w:basedOn w:val="DefaultParagraphFont"/>
    <w:link w:val="DocumentMap"/>
    <w:uiPriority w:val="99"/>
    <w:semiHidden/>
    <w:rsid w:val="005F506D"/>
    <w:rPr>
      <w:rFonts w:ascii="Lucida Grande" w:eastAsia="Times New Roman" w:hAnsi="Lucida Grande" w:cs="Times New Roman"/>
      <w:sz w:val="24"/>
      <w:szCs w:val="24"/>
      <w:lang w:val="x-none" w:eastAsia="x-none"/>
    </w:rPr>
  </w:style>
  <w:style w:type="paragraph" w:customStyle="1" w:styleId="pt">
    <w:name w:val="pt"/>
    <w:basedOn w:val="Normal"/>
    <w:rsid w:val="005F506D"/>
    <w:pPr>
      <w:spacing w:line="480" w:lineRule="auto"/>
      <w:ind w:firstLine="0"/>
      <w:jc w:val="center"/>
      <w:outlineLvl w:val="0"/>
    </w:pPr>
    <w:rPr>
      <w:rFonts w:ascii="Times New Roman" w:eastAsia="Times New Roman" w:hAnsi="Times New Roman" w:cs="Times New Roman"/>
      <w:color w:val="000000"/>
      <w:sz w:val="72"/>
      <w:szCs w:val="20"/>
    </w:rPr>
  </w:style>
  <w:style w:type="paragraph" w:customStyle="1" w:styleId="dt">
    <w:name w:val="dt"/>
    <w:basedOn w:val="pt"/>
    <w:qFormat/>
    <w:rsid w:val="005F506D"/>
    <w:pPr>
      <w:outlineLvl w:val="2"/>
    </w:pPr>
  </w:style>
  <w:style w:type="paragraph" w:customStyle="1" w:styleId="ps">
    <w:name w:val="ps"/>
    <w:basedOn w:val="p"/>
    <w:rsid w:val="005F506D"/>
    <w:pPr>
      <w:ind w:firstLine="0"/>
      <w:jc w:val="center"/>
    </w:pPr>
    <w:rPr>
      <w:rFonts w:ascii="Arial" w:hAnsi="Arial"/>
      <w:sz w:val="44"/>
    </w:rPr>
  </w:style>
  <w:style w:type="paragraph" w:customStyle="1" w:styleId="dtsub">
    <w:name w:val="dtsub"/>
    <w:basedOn w:val="ps"/>
    <w:qFormat/>
    <w:rsid w:val="005F506D"/>
    <w:pPr>
      <w:outlineLvl w:val="3"/>
    </w:pPr>
  </w:style>
  <w:style w:type="paragraph" w:customStyle="1" w:styleId="eds">
    <w:name w:val="eds"/>
    <w:basedOn w:val="pf"/>
    <w:qFormat/>
    <w:rsid w:val="005F506D"/>
  </w:style>
  <w:style w:type="paragraph" w:customStyle="1" w:styleId="eh">
    <w:name w:val="eh"/>
    <w:basedOn w:val="ah"/>
    <w:next w:val="Normal"/>
    <w:qFormat/>
    <w:rsid w:val="005F506D"/>
    <w:pPr>
      <w:outlineLvl w:val="6"/>
    </w:pPr>
    <w:rPr>
      <w:sz w:val="24"/>
    </w:rPr>
  </w:style>
  <w:style w:type="paragraph" w:customStyle="1" w:styleId="ehaft">
    <w:name w:val="ehaft"/>
    <w:basedOn w:val="eh"/>
    <w:next w:val="Normal"/>
    <w:qFormat/>
    <w:rsid w:val="005F506D"/>
    <w:pPr>
      <w:spacing w:before="0"/>
    </w:pPr>
  </w:style>
  <w:style w:type="character" w:styleId="Emphasis">
    <w:name w:val="Emphasis"/>
    <w:uiPriority w:val="20"/>
    <w:qFormat/>
    <w:rsid w:val="005F506D"/>
    <w:rPr>
      <w:i/>
      <w:iCs/>
    </w:rPr>
  </w:style>
  <w:style w:type="paragraph" w:customStyle="1" w:styleId="en">
    <w:name w:val="en"/>
    <w:rsid w:val="005F506D"/>
    <w:pPr>
      <w:widowControl w:val="0"/>
      <w:spacing w:after="0" w:line="360" w:lineRule="auto"/>
      <w:ind w:left="360" w:hanging="360"/>
    </w:pPr>
    <w:rPr>
      <w:rFonts w:ascii="Times New Roman" w:eastAsia="Times New Roman" w:hAnsi="Times New Roman" w:cs="Times New Roman"/>
      <w:sz w:val="20"/>
      <w:szCs w:val="24"/>
    </w:rPr>
  </w:style>
  <w:style w:type="paragraph" w:customStyle="1" w:styleId="end">
    <w:name w:val="end"/>
    <w:qFormat/>
    <w:rsid w:val="005F506D"/>
    <w:pPr>
      <w:spacing w:before="200" w:after="0" w:line="240" w:lineRule="auto"/>
    </w:pPr>
    <w:rPr>
      <w:rFonts w:ascii="Times New Roman" w:eastAsia="Times New Roman" w:hAnsi="Times New Roman" w:cs="Times New Roman"/>
      <w:sz w:val="24"/>
      <w:szCs w:val="24"/>
    </w:rPr>
  </w:style>
  <w:style w:type="character" w:customStyle="1" w:styleId="ennum">
    <w:name w:val="ennum"/>
    <w:uiPriority w:val="1"/>
    <w:qFormat/>
    <w:rsid w:val="005F506D"/>
    <w:rPr>
      <w:rFonts w:ascii="Times New Roman" w:hAnsi="Times New Roman"/>
      <w:color w:val="0000FF"/>
      <w:vertAlign w:val="baseline"/>
    </w:rPr>
  </w:style>
  <w:style w:type="paragraph" w:customStyle="1" w:styleId="enp">
    <w:name w:val="enp"/>
    <w:basedOn w:val="en"/>
    <w:rsid w:val="005F506D"/>
    <w:pPr>
      <w:ind w:firstLine="360"/>
    </w:pPr>
  </w:style>
  <w:style w:type="character" w:customStyle="1" w:styleId="enref">
    <w:name w:val="enref"/>
    <w:rsid w:val="005F506D"/>
    <w:rPr>
      <w:color w:val="0000FF"/>
      <w:vertAlign w:val="superscript"/>
    </w:rPr>
  </w:style>
  <w:style w:type="paragraph" w:customStyle="1" w:styleId="ep1">
    <w:name w:val="ep1"/>
    <w:basedOn w:val="p"/>
    <w:rsid w:val="005F506D"/>
  </w:style>
  <w:style w:type="paragraph" w:customStyle="1" w:styleId="ep2">
    <w:name w:val="ep2"/>
    <w:basedOn w:val="p"/>
    <w:rsid w:val="005F506D"/>
    <w:pPr>
      <w:ind w:firstLine="1440"/>
    </w:pPr>
  </w:style>
  <w:style w:type="paragraph" w:customStyle="1" w:styleId="epaft">
    <w:name w:val="epaft"/>
    <w:basedOn w:val="ep"/>
    <w:rsid w:val="005F506D"/>
    <w:rPr>
      <w:kern w:val="1"/>
    </w:rPr>
  </w:style>
  <w:style w:type="paragraph" w:customStyle="1" w:styleId="epf">
    <w:name w:val="epf"/>
    <w:next w:val="ep"/>
    <w:rsid w:val="005F506D"/>
    <w:pPr>
      <w:spacing w:before="120" w:after="0" w:line="240" w:lineRule="auto"/>
    </w:pPr>
    <w:rPr>
      <w:rFonts w:ascii="Times New Roman" w:eastAsia="Times New Roman" w:hAnsi="Times New Roman" w:cs="Times New Roman"/>
      <w:sz w:val="24"/>
      <w:szCs w:val="24"/>
    </w:rPr>
  </w:style>
  <w:style w:type="paragraph" w:customStyle="1" w:styleId="epl">
    <w:name w:val="epl"/>
    <w:rsid w:val="005F506D"/>
    <w:pPr>
      <w:spacing w:after="120" w:line="240" w:lineRule="auto"/>
    </w:pPr>
    <w:rPr>
      <w:rFonts w:ascii="Times New Roman" w:eastAsia="Times New Roman" w:hAnsi="Times New Roman" w:cs="Times New Roman"/>
      <w:sz w:val="24"/>
      <w:szCs w:val="24"/>
    </w:rPr>
  </w:style>
  <w:style w:type="paragraph" w:customStyle="1" w:styleId="eps">
    <w:name w:val="eps"/>
    <w:rsid w:val="005F506D"/>
    <w:pPr>
      <w:spacing w:before="120" w:after="120" w:line="240" w:lineRule="auto"/>
    </w:pPr>
    <w:rPr>
      <w:rFonts w:ascii="Times New Roman" w:eastAsia="Times New Roman" w:hAnsi="Times New Roman" w:cs="Times New Roman"/>
      <w:sz w:val="24"/>
      <w:szCs w:val="24"/>
    </w:rPr>
  </w:style>
  <w:style w:type="paragraph" w:customStyle="1" w:styleId="epsl">
    <w:name w:val="epsl"/>
    <w:basedOn w:val="sl"/>
    <w:rsid w:val="005F506D"/>
    <w:rPr>
      <w:sz w:val="24"/>
    </w:rPr>
  </w:style>
  <w:style w:type="paragraph" w:customStyle="1" w:styleId="epsl1">
    <w:name w:val="epsl1"/>
    <w:basedOn w:val="epsl"/>
    <w:qFormat/>
    <w:rsid w:val="005F506D"/>
    <w:pPr>
      <w:ind w:firstLine="720"/>
    </w:pPr>
    <w:rPr>
      <w:rFonts w:eastAsia="MS Mincho"/>
      <w:lang w:eastAsia="ja-JP"/>
    </w:rPr>
  </w:style>
  <w:style w:type="paragraph" w:customStyle="1" w:styleId="epslf">
    <w:name w:val="epslf"/>
    <w:basedOn w:val="epsl"/>
    <w:next w:val="epsl"/>
    <w:qFormat/>
    <w:rsid w:val="005F506D"/>
    <w:pPr>
      <w:spacing w:before="200"/>
    </w:pPr>
    <w:rPr>
      <w:rFonts w:eastAsia="MS Mincho"/>
      <w:lang w:eastAsia="ja-JP"/>
    </w:rPr>
  </w:style>
  <w:style w:type="paragraph" w:customStyle="1" w:styleId="ept">
    <w:name w:val="ept"/>
    <w:rsid w:val="005F506D"/>
    <w:pPr>
      <w:widowControl w:val="0"/>
      <w:spacing w:after="100" w:line="240" w:lineRule="auto"/>
      <w:jc w:val="right"/>
    </w:pPr>
    <w:rPr>
      <w:rFonts w:ascii="Times New Roman" w:eastAsia="Times New Roman" w:hAnsi="Times New Roman" w:cs="Times New Roman"/>
      <w:sz w:val="24"/>
      <w:szCs w:val="20"/>
    </w:rPr>
  </w:style>
  <w:style w:type="paragraph" w:customStyle="1" w:styleId="ept1">
    <w:name w:val="ept1"/>
    <w:basedOn w:val="ept"/>
    <w:qFormat/>
    <w:rsid w:val="005F506D"/>
    <w:rPr>
      <w:rFonts w:eastAsia="MS Mincho"/>
      <w:sz w:val="20"/>
      <w:lang w:eastAsia="ja-JP"/>
    </w:rPr>
  </w:style>
  <w:style w:type="paragraph" w:customStyle="1" w:styleId="eq">
    <w:name w:val="eq"/>
    <w:next w:val="p"/>
    <w:rsid w:val="005F506D"/>
    <w:pPr>
      <w:widowControl w:val="0"/>
      <w:shd w:val="clear" w:color="auto" w:fill="C0C0C0"/>
      <w:spacing w:before="60" w:after="60" w:line="480" w:lineRule="auto"/>
      <w:jc w:val="center"/>
    </w:pPr>
    <w:rPr>
      <w:rFonts w:ascii="Arial" w:eastAsia="Times New Roman" w:hAnsi="Arial" w:cs="Times New Roman"/>
      <w:sz w:val="24"/>
      <w:szCs w:val="20"/>
    </w:rPr>
  </w:style>
  <w:style w:type="paragraph" w:customStyle="1" w:styleId="eqaft">
    <w:name w:val="eqaft"/>
    <w:basedOn w:val="eq"/>
    <w:qFormat/>
    <w:rsid w:val="005F506D"/>
    <w:pPr>
      <w:spacing w:before="0"/>
    </w:pPr>
    <w:rPr>
      <w:rFonts w:eastAsia="MS Mincho"/>
    </w:rPr>
  </w:style>
  <w:style w:type="paragraph" w:customStyle="1" w:styleId="sbf">
    <w:name w:val="sbf"/>
    <w:basedOn w:val="sb"/>
    <w:rsid w:val="005F506D"/>
    <w:pPr>
      <w:widowControl w:val="0"/>
      <w:spacing w:before="100"/>
      <w:ind w:firstLine="0"/>
    </w:pPr>
  </w:style>
  <w:style w:type="paragraph" w:customStyle="1" w:styleId="exf">
    <w:name w:val="exf"/>
    <w:basedOn w:val="sbf"/>
    <w:next w:val="Normal"/>
    <w:rsid w:val="005F506D"/>
    <w:rPr>
      <w:sz w:val="24"/>
      <w:szCs w:val="24"/>
    </w:rPr>
  </w:style>
  <w:style w:type="paragraph" w:customStyle="1" w:styleId="ex">
    <w:name w:val="ex"/>
    <w:basedOn w:val="exf"/>
    <w:qFormat/>
    <w:rsid w:val="005F506D"/>
    <w:pPr>
      <w:spacing w:before="0"/>
      <w:ind w:firstLine="720"/>
    </w:pPr>
  </w:style>
  <w:style w:type="paragraph" w:customStyle="1" w:styleId="paft">
    <w:name w:val="paft"/>
    <w:basedOn w:val="pf"/>
    <w:next w:val="p"/>
    <w:rsid w:val="005F506D"/>
    <w:pPr>
      <w:spacing w:before="200"/>
    </w:pPr>
  </w:style>
  <w:style w:type="paragraph" w:customStyle="1" w:styleId="exaft">
    <w:name w:val="exaft"/>
    <w:basedOn w:val="paft"/>
    <w:qFormat/>
    <w:rsid w:val="005F506D"/>
    <w:rPr>
      <w:rFonts w:eastAsia="MS Mincho"/>
    </w:rPr>
  </w:style>
  <w:style w:type="paragraph" w:customStyle="1" w:styleId="exah">
    <w:name w:val="exah"/>
    <w:next w:val="ex"/>
    <w:qFormat/>
    <w:rsid w:val="005F506D"/>
    <w:pPr>
      <w:spacing w:before="360" w:after="60" w:line="240" w:lineRule="auto"/>
    </w:pPr>
    <w:rPr>
      <w:rFonts w:ascii="Arial" w:eastAsia="Times New Roman" w:hAnsi="Arial" w:cs="Times New Roman"/>
      <w:sz w:val="28"/>
      <w:szCs w:val="24"/>
    </w:rPr>
  </w:style>
  <w:style w:type="paragraph" w:customStyle="1" w:styleId="exbh">
    <w:name w:val="exbh"/>
    <w:qFormat/>
    <w:rsid w:val="005F506D"/>
    <w:pPr>
      <w:spacing w:before="360" w:after="0" w:line="240" w:lineRule="auto"/>
    </w:pPr>
    <w:rPr>
      <w:rFonts w:ascii="Arial" w:eastAsia="Times New Roman" w:hAnsi="Arial" w:cs="Times New Roman"/>
      <w:noProof/>
      <w:sz w:val="24"/>
      <w:szCs w:val="24"/>
    </w:rPr>
  </w:style>
  <w:style w:type="paragraph" w:customStyle="1" w:styleId="exh">
    <w:name w:val="exh"/>
    <w:basedOn w:val="sbt"/>
    <w:rsid w:val="005F506D"/>
    <w:pPr>
      <w:spacing w:before="100" w:line="240" w:lineRule="auto"/>
      <w:ind w:left="0"/>
      <w:jc w:val="left"/>
    </w:pPr>
    <w:rPr>
      <w:rFonts w:ascii="Arial" w:hAnsi="Arial"/>
      <w:sz w:val="32"/>
    </w:rPr>
  </w:style>
  <w:style w:type="paragraph" w:customStyle="1" w:styleId="sbl">
    <w:name w:val="sbl"/>
    <w:basedOn w:val="sb"/>
    <w:rsid w:val="005F506D"/>
    <w:pPr>
      <w:spacing w:after="100"/>
    </w:pPr>
  </w:style>
  <w:style w:type="paragraph" w:customStyle="1" w:styleId="exl">
    <w:name w:val="exl"/>
    <w:basedOn w:val="sbl"/>
    <w:rsid w:val="005F506D"/>
    <w:rPr>
      <w:sz w:val="24"/>
      <w:szCs w:val="24"/>
    </w:rPr>
  </w:style>
  <w:style w:type="paragraph" w:customStyle="1" w:styleId="exnl">
    <w:name w:val="exnl"/>
    <w:basedOn w:val="sbnl"/>
    <w:qFormat/>
    <w:rsid w:val="005F506D"/>
    <w:pPr>
      <w:ind w:left="1080"/>
    </w:pPr>
    <w:rPr>
      <w:sz w:val="24"/>
      <w:szCs w:val="24"/>
    </w:rPr>
  </w:style>
  <w:style w:type="paragraph" w:customStyle="1" w:styleId="sbnl1">
    <w:name w:val="sbnl1"/>
    <w:basedOn w:val="sbnl"/>
    <w:qFormat/>
    <w:rsid w:val="005F506D"/>
    <w:pPr>
      <w:ind w:left="2160"/>
    </w:pPr>
  </w:style>
  <w:style w:type="paragraph" w:customStyle="1" w:styleId="exnl1">
    <w:name w:val="exnl1"/>
    <w:basedOn w:val="sbnl1"/>
    <w:qFormat/>
    <w:rsid w:val="005F506D"/>
    <w:pPr>
      <w:ind w:left="1800" w:right="1440"/>
    </w:pPr>
    <w:rPr>
      <w:sz w:val="24"/>
      <w:szCs w:val="24"/>
    </w:rPr>
  </w:style>
  <w:style w:type="paragraph" w:customStyle="1" w:styleId="sbnl1f">
    <w:name w:val="sbnl1f"/>
    <w:basedOn w:val="sbnl1"/>
    <w:qFormat/>
    <w:rsid w:val="005F506D"/>
    <w:pPr>
      <w:spacing w:before="100"/>
    </w:pPr>
  </w:style>
  <w:style w:type="paragraph" w:customStyle="1" w:styleId="exnl1f">
    <w:name w:val="exnl1f"/>
    <w:basedOn w:val="sbnl1f"/>
    <w:next w:val="exnl1"/>
    <w:qFormat/>
    <w:rsid w:val="005F506D"/>
    <w:pPr>
      <w:spacing w:before="40"/>
      <w:ind w:left="1800" w:right="1440"/>
    </w:pPr>
    <w:rPr>
      <w:sz w:val="24"/>
      <w:szCs w:val="24"/>
    </w:rPr>
  </w:style>
  <w:style w:type="paragraph" w:customStyle="1" w:styleId="sbnl1l">
    <w:name w:val="sbnl1l"/>
    <w:basedOn w:val="sbnl1"/>
    <w:qFormat/>
    <w:rsid w:val="005F506D"/>
    <w:pPr>
      <w:spacing w:after="100"/>
    </w:pPr>
  </w:style>
  <w:style w:type="paragraph" w:customStyle="1" w:styleId="exnl1l">
    <w:name w:val="exnl1l"/>
    <w:basedOn w:val="sbnl1l"/>
    <w:qFormat/>
    <w:rsid w:val="005F506D"/>
    <w:pPr>
      <w:spacing w:after="40"/>
      <w:ind w:left="1800" w:right="1440"/>
    </w:pPr>
    <w:rPr>
      <w:sz w:val="24"/>
      <w:szCs w:val="24"/>
    </w:rPr>
  </w:style>
  <w:style w:type="paragraph" w:customStyle="1" w:styleId="sbnl1p">
    <w:name w:val="sbnl1p"/>
    <w:basedOn w:val="sbnl1"/>
    <w:rsid w:val="005F506D"/>
    <w:pPr>
      <w:ind w:firstLine="360"/>
    </w:pPr>
    <w:rPr>
      <w:szCs w:val="24"/>
    </w:rPr>
  </w:style>
  <w:style w:type="paragraph" w:customStyle="1" w:styleId="exnl1p">
    <w:name w:val="exnl1p"/>
    <w:basedOn w:val="sbnl1p"/>
    <w:qFormat/>
    <w:rsid w:val="005F506D"/>
    <w:pPr>
      <w:ind w:left="1800" w:right="1440" w:firstLine="720"/>
    </w:pPr>
    <w:rPr>
      <w:color w:val="000000"/>
      <w:sz w:val="24"/>
    </w:rPr>
  </w:style>
  <w:style w:type="paragraph" w:customStyle="1" w:styleId="sbnl1s">
    <w:name w:val="sbnl1s"/>
    <w:basedOn w:val="sbnl1"/>
    <w:rsid w:val="005F506D"/>
    <w:pPr>
      <w:spacing w:before="100" w:after="100"/>
    </w:pPr>
  </w:style>
  <w:style w:type="paragraph" w:customStyle="1" w:styleId="exnl1s">
    <w:name w:val="exnl1s"/>
    <w:basedOn w:val="sbnl1s"/>
    <w:qFormat/>
    <w:rsid w:val="005F506D"/>
    <w:pPr>
      <w:ind w:left="1800" w:right="1440"/>
    </w:pPr>
  </w:style>
  <w:style w:type="paragraph" w:customStyle="1" w:styleId="exnlf">
    <w:name w:val="exnlf"/>
    <w:basedOn w:val="sbnlf"/>
    <w:next w:val="exnl"/>
    <w:qFormat/>
    <w:rsid w:val="005F506D"/>
    <w:pPr>
      <w:spacing w:before="40"/>
      <w:ind w:left="1080"/>
    </w:pPr>
    <w:rPr>
      <w:sz w:val="24"/>
      <w:szCs w:val="24"/>
    </w:rPr>
  </w:style>
  <w:style w:type="paragraph" w:customStyle="1" w:styleId="exnll">
    <w:name w:val="exnll"/>
    <w:basedOn w:val="sbnll"/>
    <w:qFormat/>
    <w:rsid w:val="005F506D"/>
    <w:pPr>
      <w:spacing w:after="40"/>
      <w:ind w:left="1080"/>
    </w:pPr>
    <w:rPr>
      <w:sz w:val="24"/>
      <w:szCs w:val="24"/>
    </w:rPr>
  </w:style>
  <w:style w:type="paragraph" w:customStyle="1" w:styleId="exnlp">
    <w:name w:val="exnlp"/>
    <w:basedOn w:val="sbnlp"/>
    <w:qFormat/>
    <w:rsid w:val="005F506D"/>
    <w:pPr>
      <w:ind w:left="1080" w:firstLine="720"/>
    </w:pPr>
    <w:rPr>
      <w:color w:val="000000"/>
      <w:sz w:val="24"/>
    </w:rPr>
  </w:style>
  <w:style w:type="paragraph" w:customStyle="1" w:styleId="sbnls">
    <w:name w:val="sbnls"/>
    <w:basedOn w:val="sbnlf"/>
    <w:qFormat/>
    <w:rsid w:val="005F506D"/>
    <w:pPr>
      <w:spacing w:after="100"/>
    </w:pPr>
  </w:style>
  <w:style w:type="paragraph" w:customStyle="1" w:styleId="exnls">
    <w:name w:val="exnls"/>
    <w:basedOn w:val="sbnls"/>
    <w:qFormat/>
    <w:rsid w:val="005F506D"/>
    <w:pPr>
      <w:ind w:left="1080"/>
    </w:pPr>
    <w:rPr>
      <w:sz w:val="24"/>
      <w:szCs w:val="24"/>
    </w:rPr>
  </w:style>
  <w:style w:type="paragraph" w:customStyle="1" w:styleId="sbs">
    <w:name w:val="sbs"/>
    <w:basedOn w:val="sb"/>
    <w:rsid w:val="005F506D"/>
    <w:pPr>
      <w:widowControl w:val="0"/>
      <w:spacing w:before="100" w:after="100"/>
    </w:pPr>
    <w:rPr>
      <w:color w:val="000000"/>
    </w:rPr>
  </w:style>
  <w:style w:type="paragraph" w:customStyle="1" w:styleId="exs">
    <w:name w:val="exs"/>
    <w:basedOn w:val="sbs"/>
    <w:rsid w:val="005F506D"/>
    <w:rPr>
      <w:sz w:val="24"/>
      <w:szCs w:val="24"/>
    </w:rPr>
  </w:style>
  <w:style w:type="paragraph" w:customStyle="1" w:styleId="exul">
    <w:name w:val="exul"/>
    <w:basedOn w:val="sbul"/>
    <w:qFormat/>
    <w:rsid w:val="005F506D"/>
    <w:pPr>
      <w:ind w:left="1440"/>
    </w:pPr>
    <w:rPr>
      <w:sz w:val="24"/>
      <w:szCs w:val="24"/>
    </w:rPr>
  </w:style>
  <w:style w:type="paragraph" w:customStyle="1" w:styleId="sbul1">
    <w:name w:val="sbul1"/>
    <w:basedOn w:val="sbul"/>
    <w:rsid w:val="005F506D"/>
    <w:pPr>
      <w:ind w:left="2160"/>
    </w:pPr>
  </w:style>
  <w:style w:type="paragraph" w:customStyle="1" w:styleId="exul1">
    <w:name w:val="exul1"/>
    <w:basedOn w:val="sbul1"/>
    <w:qFormat/>
    <w:rsid w:val="005F506D"/>
    <w:pPr>
      <w:ind w:left="1800"/>
    </w:pPr>
    <w:rPr>
      <w:sz w:val="24"/>
      <w:szCs w:val="24"/>
    </w:rPr>
  </w:style>
  <w:style w:type="paragraph" w:customStyle="1" w:styleId="sbul1f">
    <w:name w:val="sbul1f"/>
    <w:basedOn w:val="sbulf"/>
    <w:rsid w:val="005F506D"/>
    <w:pPr>
      <w:ind w:left="2160"/>
    </w:pPr>
  </w:style>
  <w:style w:type="paragraph" w:customStyle="1" w:styleId="exul1f">
    <w:name w:val="exul1f"/>
    <w:basedOn w:val="sbul1f"/>
    <w:next w:val="exul1"/>
    <w:qFormat/>
    <w:rsid w:val="005F506D"/>
    <w:pPr>
      <w:spacing w:before="240"/>
      <w:ind w:left="1800"/>
    </w:pPr>
    <w:rPr>
      <w:sz w:val="24"/>
      <w:szCs w:val="24"/>
    </w:rPr>
  </w:style>
  <w:style w:type="paragraph" w:customStyle="1" w:styleId="sbul1l">
    <w:name w:val="sbul1l"/>
    <w:basedOn w:val="sbull"/>
    <w:rsid w:val="005F506D"/>
    <w:pPr>
      <w:ind w:left="2160"/>
    </w:pPr>
  </w:style>
  <w:style w:type="paragraph" w:customStyle="1" w:styleId="exul1l">
    <w:name w:val="exul1l"/>
    <w:basedOn w:val="sbul1l"/>
    <w:qFormat/>
    <w:rsid w:val="005F506D"/>
    <w:pPr>
      <w:spacing w:after="240"/>
      <w:ind w:left="1800"/>
    </w:pPr>
    <w:rPr>
      <w:sz w:val="24"/>
      <w:szCs w:val="24"/>
    </w:rPr>
  </w:style>
  <w:style w:type="paragraph" w:customStyle="1" w:styleId="sbul1p">
    <w:name w:val="sbul1p"/>
    <w:basedOn w:val="sbul1"/>
    <w:rsid w:val="005F506D"/>
    <w:pPr>
      <w:suppressAutoHyphens/>
      <w:autoSpaceDE w:val="0"/>
      <w:autoSpaceDN w:val="0"/>
      <w:adjustRightInd w:val="0"/>
      <w:ind w:firstLine="360"/>
      <w:textAlignment w:val="center"/>
    </w:pPr>
    <w:rPr>
      <w:kern w:val="24"/>
      <w:szCs w:val="24"/>
    </w:rPr>
  </w:style>
  <w:style w:type="paragraph" w:customStyle="1" w:styleId="exul1p">
    <w:name w:val="exul1p"/>
    <w:basedOn w:val="sbul1p"/>
    <w:qFormat/>
    <w:rsid w:val="005F506D"/>
    <w:pPr>
      <w:spacing w:line="480" w:lineRule="auto"/>
      <w:ind w:left="1800"/>
    </w:pPr>
  </w:style>
  <w:style w:type="paragraph" w:customStyle="1" w:styleId="sbul1s">
    <w:name w:val="sbul1s"/>
    <w:basedOn w:val="sbul1"/>
    <w:rsid w:val="005F506D"/>
    <w:pPr>
      <w:spacing w:before="100" w:after="100"/>
    </w:pPr>
  </w:style>
  <w:style w:type="paragraph" w:customStyle="1" w:styleId="exul1s">
    <w:name w:val="exul1s"/>
    <w:basedOn w:val="sbul1s"/>
    <w:qFormat/>
    <w:rsid w:val="005F506D"/>
    <w:pPr>
      <w:spacing w:before="240" w:after="240"/>
      <w:ind w:left="1800"/>
    </w:pPr>
    <w:rPr>
      <w:sz w:val="24"/>
      <w:szCs w:val="24"/>
    </w:rPr>
  </w:style>
  <w:style w:type="paragraph" w:customStyle="1" w:styleId="exulf">
    <w:name w:val="exulf"/>
    <w:basedOn w:val="sbulf"/>
    <w:next w:val="exul"/>
    <w:qFormat/>
    <w:rsid w:val="005F506D"/>
    <w:pPr>
      <w:spacing w:before="240"/>
      <w:ind w:left="1440"/>
    </w:pPr>
    <w:rPr>
      <w:color w:val="000000"/>
      <w:kern w:val="44"/>
      <w:sz w:val="24"/>
    </w:rPr>
  </w:style>
  <w:style w:type="paragraph" w:customStyle="1" w:styleId="exull">
    <w:name w:val="exull"/>
    <w:basedOn w:val="sbull"/>
    <w:qFormat/>
    <w:rsid w:val="005F506D"/>
    <w:pPr>
      <w:spacing w:after="240"/>
      <w:ind w:left="1440"/>
    </w:pPr>
    <w:rPr>
      <w:sz w:val="24"/>
      <w:szCs w:val="24"/>
    </w:rPr>
  </w:style>
  <w:style w:type="paragraph" w:customStyle="1" w:styleId="sbulp">
    <w:name w:val="sbulp"/>
    <w:basedOn w:val="sbul"/>
    <w:rsid w:val="005F506D"/>
    <w:pPr>
      <w:ind w:left="2160" w:firstLine="0"/>
    </w:pPr>
    <w:rPr>
      <w:szCs w:val="24"/>
    </w:rPr>
  </w:style>
  <w:style w:type="paragraph" w:customStyle="1" w:styleId="exulp">
    <w:name w:val="exulp"/>
    <w:basedOn w:val="sbulp"/>
    <w:qFormat/>
    <w:rsid w:val="005F506D"/>
    <w:pPr>
      <w:ind w:left="1440" w:firstLine="360"/>
    </w:pPr>
    <w:rPr>
      <w:color w:val="000000"/>
      <w:sz w:val="24"/>
    </w:rPr>
  </w:style>
  <w:style w:type="paragraph" w:customStyle="1" w:styleId="sbuls">
    <w:name w:val="sbuls"/>
    <w:basedOn w:val="sbulf"/>
    <w:qFormat/>
    <w:rsid w:val="005F506D"/>
    <w:pPr>
      <w:spacing w:after="100"/>
    </w:pPr>
  </w:style>
  <w:style w:type="paragraph" w:customStyle="1" w:styleId="exuls">
    <w:name w:val="exuls"/>
    <w:basedOn w:val="sbuls"/>
    <w:qFormat/>
    <w:rsid w:val="005F506D"/>
    <w:pPr>
      <w:spacing w:before="240" w:after="240"/>
      <w:ind w:left="1440"/>
    </w:pPr>
    <w:rPr>
      <w:sz w:val="24"/>
      <w:szCs w:val="24"/>
    </w:rPr>
  </w:style>
  <w:style w:type="paragraph" w:customStyle="1" w:styleId="figatr">
    <w:name w:val="figatr"/>
    <w:basedOn w:val="Normal"/>
    <w:rsid w:val="005F506D"/>
    <w:pPr>
      <w:widowControl w:val="0"/>
      <w:spacing w:before="100" w:after="200"/>
      <w:ind w:firstLine="0"/>
    </w:pPr>
    <w:rPr>
      <w:rFonts w:ascii="Arial" w:eastAsia="Times New Roman" w:hAnsi="Arial" w:cs="Times New Roman"/>
      <w:sz w:val="20"/>
      <w:szCs w:val="24"/>
    </w:rPr>
  </w:style>
  <w:style w:type="paragraph" w:customStyle="1" w:styleId="figcap">
    <w:name w:val="figcap"/>
    <w:basedOn w:val="fig"/>
    <w:rsid w:val="005F506D"/>
  </w:style>
  <w:style w:type="paragraph" w:customStyle="1" w:styleId="figcap1">
    <w:name w:val="figcap1"/>
    <w:qFormat/>
    <w:rsid w:val="005F506D"/>
    <w:pPr>
      <w:spacing w:after="0" w:line="240" w:lineRule="auto"/>
    </w:pPr>
    <w:rPr>
      <w:rFonts w:ascii="Times New Roman" w:eastAsia="Times New Roman" w:hAnsi="Times New Roman" w:cs="Times New Roman"/>
      <w:sz w:val="24"/>
      <w:szCs w:val="24"/>
    </w:rPr>
  </w:style>
  <w:style w:type="paragraph" w:customStyle="1" w:styleId="figh1">
    <w:name w:val="figh1"/>
    <w:basedOn w:val="figh"/>
    <w:rsid w:val="005F506D"/>
    <w:rPr>
      <w:sz w:val="24"/>
    </w:rPr>
  </w:style>
  <w:style w:type="character" w:customStyle="1" w:styleId="fighn">
    <w:name w:val="fighn"/>
    <w:rsid w:val="005F506D"/>
    <w:rPr>
      <w:color w:val="800080"/>
    </w:rPr>
  </w:style>
  <w:style w:type="paragraph" w:customStyle="1" w:styleId="fign">
    <w:name w:val="fign"/>
    <w:basedOn w:val="fig"/>
    <w:rsid w:val="005F506D"/>
    <w:rPr>
      <w:rFonts w:ascii="Arial" w:hAnsi="Arial"/>
      <w:sz w:val="20"/>
    </w:rPr>
  </w:style>
  <w:style w:type="character" w:customStyle="1" w:styleId="first">
    <w:name w:val="first"/>
    <w:rsid w:val="005F506D"/>
  </w:style>
  <w:style w:type="character" w:customStyle="1" w:styleId="first-i">
    <w:name w:val="first-i"/>
    <w:rsid w:val="005F506D"/>
    <w:rPr>
      <w:i/>
      <w:color w:val="008000"/>
    </w:rPr>
  </w:style>
  <w:style w:type="paragraph" w:customStyle="1" w:styleId="fn">
    <w:name w:val="fn"/>
    <w:rsid w:val="005F506D"/>
    <w:pPr>
      <w:widowControl w:val="0"/>
      <w:pBdr>
        <w:top w:val="single" w:sz="8" w:space="1" w:color="auto"/>
        <w:bottom w:val="single" w:sz="8" w:space="1" w:color="auto"/>
      </w:pBdr>
      <w:spacing w:after="0" w:line="360" w:lineRule="auto"/>
      <w:ind w:left="360" w:hanging="360"/>
    </w:pPr>
    <w:rPr>
      <w:rFonts w:ascii="Times New Roman" w:eastAsia="Times New Roman" w:hAnsi="Times New Roman" w:cs="Times New Roman"/>
      <w:noProof/>
      <w:sz w:val="20"/>
      <w:szCs w:val="20"/>
    </w:rPr>
  </w:style>
  <w:style w:type="character" w:customStyle="1" w:styleId="fnnum">
    <w:name w:val="fnnum"/>
    <w:uiPriority w:val="1"/>
    <w:qFormat/>
    <w:rsid w:val="005F506D"/>
    <w:rPr>
      <w:rFonts w:ascii="Times New Roman" w:hAnsi="Times New Roman"/>
      <w:color w:val="00B050"/>
      <w:vertAlign w:val="baseline"/>
    </w:rPr>
  </w:style>
  <w:style w:type="paragraph" w:customStyle="1" w:styleId="fnp">
    <w:name w:val="fnp"/>
    <w:basedOn w:val="fn"/>
    <w:rsid w:val="005F506D"/>
    <w:pPr>
      <w:ind w:left="0" w:firstLine="720"/>
    </w:pPr>
  </w:style>
  <w:style w:type="character" w:customStyle="1" w:styleId="fnref">
    <w:name w:val="fnref"/>
    <w:uiPriority w:val="1"/>
    <w:qFormat/>
    <w:rsid w:val="005F506D"/>
    <w:rPr>
      <w:color w:val="auto"/>
      <w:vertAlign w:val="superscript"/>
    </w:rPr>
  </w:style>
  <w:style w:type="paragraph" w:customStyle="1" w:styleId="folio">
    <w:name w:val="folio"/>
    <w:basedOn w:val="pf"/>
    <w:qFormat/>
    <w:rsid w:val="005F506D"/>
  </w:style>
  <w:style w:type="character" w:styleId="FollowedHyperlink">
    <w:name w:val="FollowedHyperlink"/>
    <w:semiHidden/>
    <w:rsid w:val="005F506D"/>
    <w:rPr>
      <w:color w:val="800080"/>
      <w:u w:val="single"/>
    </w:rPr>
  </w:style>
  <w:style w:type="character" w:customStyle="1" w:styleId="frac">
    <w:name w:val="frac"/>
    <w:rsid w:val="005F506D"/>
    <w:rPr>
      <w:rFonts w:ascii="Arial" w:hAnsi="Arial"/>
      <w:color w:val="auto"/>
      <w:szCs w:val="24"/>
      <w:bdr w:val="none" w:sz="0" w:space="0" w:color="auto"/>
    </w:rPr>
  </w:style>
  <w:style w:type="character" w:customStyle="1" w:styleId="frac-b">
    <w:name w:val="frac-b"/>
    <w:uiPriority w:val="1"/>
    <w:qFormat/>
    <w:rsid w:val="005F506D"/>
    <w:rPr>
      <w:rFonts w:ascii="Arial" w:eastAsia="MS Mincho" w:hAnsi="Arial"/>
      <w:b/>
      <w:color w:val="FF00FF"/>
      <w:sz w:val="24"/>
      <w:szCs w:val="24"/>
      <w:bdr w:val="none" w:sz="0" w:space="0" w:color="auto"/>
    </w:rPr>
  </w:style>
  <w:style w:type="character" w:customStyle="1" w:styleId="frac-bi">
    <w:name w:val="frac-bi"/>
    <w:uiPriority w:val="1"/>
    <w:qFormat/>
    <w:rsid w:val="005F506D"/>
    <w:rPr>
      <w:rFonts w:ascii="Arial" w:eastAsia="MS Mincho" w:hAnsi="Arial"/>
      <w:b/>
      <w:i/>
      <w:color w:val="F79646"/>
      <w:szCs w:val="24"/>
      <w:bdr w:val="none" w:sz="0" w:space="0" w:color="auto"/>
    </w:rPr>
  </w:style>
  <w:style w:type="character" w:customStyle="1" w:styleId="frac-i">
    <w:name w:val="frac-i"/>
    <w:uiPriority w:val="1"/>
    <w:qFormat/>
    <w:rsid w:val="005F506D"/>
    <w:rPr>
      <w:rFonts w:ascii="Arial" w:eastAsia="MS Mincho" w:hAnsi="Arial"/>
      <w:b w:val="0"/>
      <w:i/>
      <w:color w:val="008000"/>
      <w:szCs w:val="24"/>
      <w:bdr w:val="none" w:sz="0" w:space="0" w:color="auto"/>
    </w:rPr>
  </w:style>
  <w:style w:type="paragraph" w:customStyle="1" w:styleId="fs">
    <w:name w:val="fs"/>
    <w:basedOn w:val="pf"/>
    <w:qFormat/>
    <w:rsid w:val="005F506D"/>
    <w:rPr>
      <w:rFonts w:ascii="Arial" w:hAnsi="Arial"/>
    </w:rPr>
  </w:style>
  <w:style w:type="paragraph" w:customStyle="1" w:styleId="glo">
    <w:name w:val="glo"/>
    <w:next w:val="Normal"/>
    <w:rsid w:val="005F506D"/>
    <w:pPr>
      <w:tabs>
        <w:tab w:val="left" w:pos="0"/>
      </w:tabs>
      <w:spacing w:after="0" w:line="480" w:lineRule="auto"/>
      <w:ind w:left="245" w:hanging="245"/>
      <w:jc w:val="both"/>
    </w:pPr>
    <w:rPr>
      <w:rFonts w:ascii="Times New Roman" w:eastAsia="Times New Roman" w:hAnsi="Times New Roman" w:cs="Times New Roman"/>
      <w:color w:val="000000"/>
      <w:sz w:val="24"/>
      <w:szCs w:val="20"/>
    </w:rPr>
  </w:style>
  <w:style w:type="paragraph" w:customStyle="1" w:styleId="glof">
    <w:name w:val="glof"/>
    <w:basedOn w:val="glo"/>
    <w:next w:val="glo"/>
    <w:qFormat/>
    <w:rsid w:val="005F506D"/>
    <w:pPr>
      <w:spacing w:before="200"/>
    </w:pPr>
  </w:style>
  <w:style w:type="character" w:customStyle="1" w:styleId="grc">
    <w:name w:val="grc"/>
    <w:rsid w:val="005F506D"/>
    <w:rPr>
      <w:color w:val="3366FF"/>
      <w:bdr w:val="none" w:sz="0" w:space="0" w:color="auto"/>
    </w:rPr>
  </w:style>
  <w:style w:type="character" w:customStyle="1" w:styleId="grc-b">
    <w:name w:val="grc-b"/>
    <w:uiPriority w:val="1"/>
    <w:qFormat/>
    <w:rsid w:val="005F506D"/>
    <w:rPr>
      <w:rFonts w:eastAsia="MS Mincho"/>
      <w:b/>
      <w:color w:val="3366FF"/>
      <w:bdr w:val="none" w:sz="0" w:space="0" w:color="auto"/>
    </w:rPr>
  </w:style>
  <w:style w:type="character" w:customStyle="1" w:styleId="grc-bi">
    <w:name w:val="grc-bi"/>
    <w:uiPriority w:val="1"/>
    <w:qFormat/>
    <w:rsid w:val="005F506D"/>
    <w:rPr>
      <w:rFonts w:eastAsia="MS Mincho"/>
      <w:b/>
      <w:i/>
      <w:color w:val="3366FF"/>
      <w:bdr w:val="none" w:sz="0" w:space="0" w:color="auto"/>
    </w:rPr>
  </w:style>
  <w:style w:type="character" w:customStyle="1" w:styleId="grc-i">
    <w:name w:val="grc-i"/>
    <w:rsid w:val="005F506D"/>
    <w:rPr>
      <w:rFonts w:ascii="Times New Roman" w:hAnsi="Times New Roman"/>
      <w:i/>
      <w:color w:val="3366FF"/>
      <w:szCs w:val="24"/>
      <w:bdr w:val="none" w:sz="0" w:space="0" w:color="auto"/>
    </w:rPr>
  </w:style>
  <w:style w:type="character" w:customStyle="1" w:styleId="grc-u">
    <w:name w:val="grc-u"/>
    <w:uiPriority w:val="1"/>
    <w:qFormat/>
    <w:rsid w:val="005F506D"/>
    <w:rPr>
      <w:rFonts w:eastAsia="MS Mincho"/>
      <w:color w:val="3366FF"/>
      <w:u w:val="single"/>
      <w:bdr w:val="none" w:sz="0" w:space="0" w:color="auto"/>
    </w:rPr>
  </w:style>
  <w:style w:type="character" w:customStyle="1" w:styleId="gt">
    <w:name w:val="gt"/>
    <w:rsid w:val="005F506D"/>
    <w:rPr>
      <w:color w:val="993300"/>
    </w:rPr>
  </w:style>
  <w:style w:type="character" w:customStyle="1" w:styleId="gt-i">
    <w:name w:val="gt-i"/>
    <w:uiPriority w:val="1"/>
    <w:qFormat/>
    <w:rsid w:val="005F506D"/>
    <w:rPr>
      <w:rFonts w:eastAsia="MS Mincho"/>
      <w:i/>
      <w:color w:val="993300"/>
    </w:rPr>
  </w:style>
  <w:style w:type="character" w:customStyle="1" w:styleId="gtref">
    <w:name w:val="gtref"/>
    <w:uiPriority w:val="1"/>
    <w:qFormat/>
    <w:rsid w:val="005F506D"/>
    <w:rPr>
      <w:rFonts w:eastAsia="MS Mincho"/>
      <w:color w:val="993300"/>
    </w:rPr>
  </w:style>
  <w:style w:type="character" w:customStyle="1" w:styleId="gtref-i">
    <w:name w:val="gtref-i"/>
    <w:uiPriority w:val="1"/>
    <w:qFormat/>
    <w:rsid w:val="005F506D"/>
    <w:rPr>
      <w:rFonts w:eastAsia="MS Mincho"/>
      <w:i/>
      <w:color w:val="993300"/>
    </w:rPr>
  </w:style>
  <w:style w:type="character" w:customStyle="1" w:styleId="gtref-sm">
    <w:name w:val="gtref-sm"/>
    <w:uiPriority w:val="1"/>
    <w:qFormat/>
    <w:rsid w:val="005F506D"/>
    <w:rPr>
      <w:rFonts w:ascii="Cambria" w:eastAsia="MS Mincho" w:hAnsi="Cambria"/>
      <w:i w:val="0"/>
      <w:caps w:val="0"/>
      <w:smallCaps/>
      <w:color w:val="993300"/>
    </w:rPr>
  </w:style>
  <w:style w:type="character" w:customStyle="1" w:styleId="gt-sm">
    <w:name w:val="gt-sm"/>
    <w:uiPriority w:val="1"/>
    <w:qFormat/>
    <w:rsid w:val="005F506D"/>
    <w:rPr>
      <w:rFonts w:ascii="Cambria" w:eastAsia="MS Mincho" w:hAnsi="Cambria"/>
      <w:i w:val="0"/>
      <w:caps w:val="0"/>
      <w:smallCaps/>
      <w:color w:val="993300"/>
    </w:rPr>
  </w:style>
  <w:style w:type="paragraph" w:customStyle="1" w:styleId="sec">
    <w:name w:val="sec"/>
    <w:basedOn w:val="Normal"/>
    <w:rsid w:val="005F506D"/>
    <w:pPr>
      <w:widowControl w:val="0"/>
      <w:suppressAutoHyphens/>
      <w:autoSpaceDE w:val="0"/>
      <w:autoSpaceDN w:val="0"/>
      <w:adjustRightInd w:val="0"/>
      <w:spacing w:line="360" w:lineRule="auto"/>
      <w:ind w:firstLine="0"/>
      <w:jc w:val="center"/>
      <w:textAlignment w:val="center"/>
    </w:pPr>
    <w:rPr>
      <w:rFonts w:ascii="Times Semibold" w:eastAsia="Times New Roman" w:hAnsi="Times Semibold" w:cs="Times New Roman"/>
      <w:color w:val="000000"/>
      <w:kern w:val="24"/>
      <w:sz w:val="24"/>
      <w:szCs w:val="24"/>
    </w:rPr>
  </w:style>
  <w:style w:type="paragraph" w:customStyle="1" w:styleId="hb">
    <w:name w:val="hb"/>
    <w:basedOn w:val="sec"/>
    <w:qFormat/>
    <w:rsid w:val="005F506D"/>
    <w:rPr>
      <w:rFonts w:ascii="Times New Roman" w:hAnsi="Times New Roman"/>
    </w:rPr>
  </w:style>
  <w:style w:type="paragraph" w:customStyle="1" w:styleId="hd">
    <w:name w:val="hd"/>
    <w:basedOn w:val="ah"/>
    <w:next w:val="paft"/>
    <w:qFormat/>
    <w:rsid w:val="005F506D"/>
    <w:pPr>
      <w:outlineLvl w:val="8"/>
    </w:pPr>
  </w:style>
  <w:style w:type="character" w:customStyle="1" w:styleId="heb">
    <w:name w:val="heb"/>
    <w:rsid w:val="005F506D"/>
    <w:rPr>
      <w:color w:val="31849B"/>
      <w:bdr w:val="none" w:sz="0" w:space="0" w:color="auto"/>
    </w:rPr>
  </w:style>
  <w:style w:type="character" w:customStyle="1" w:styleId="heb-b">
    <w:name w:val="heb-b"/>
    <w:uiPriority w:val="1"/>
    <w:qFormat/>
    <w:rsid w:val="005F506D"/>
    <w:rPr>
      <w:b/>
      <w:color w:val="31849B"/>
      <w:bdr w:val="none" w:sz="0" w:space="0" w:color="auto"/>
    </w:rPr>
  </w:style>
  <w:style w:type="character" w:customStyle="1" w:styleId="heb-bi">
    <w:name w:val="heb-bi"/>
    <w:uiPriority w:val="1"/>
    <w:qFormat/>
    <w:rsid w:val="005F506D"/>
    <w:rPr>
      <w:b/>
      <w:i/>
      <w:color w:val="31849B"/>
      <w:bdr w:val="none" w:sz="0" w:space="0" w:color="auto"/>
    </w:rPr>
  </w:style>
  <w:style w:type="character" w:customStyle="1" w:styleId="heb-i">
    <w:name w:val="heb-i"/>
    <w:uiPriority w:val="1"/>
    <w:qFormat/>
    <w:rsid w:val="005F506D"/>
    <w:rPr>
      <w:i/>
      <w:color w:val="31849B"/>
      <w:bdr w:val="none" w:sz="0" w:space="0" w:color="auto"/>
    </w:rPr>
  </w:style>
  <w:style w:type="character" w:customStyle="1" w:styleId="heb-u">
    <w:name w:val="heb-u"/>
    <w:uiPriority w:val="1"/>
    <w:qFormat/>
    <w:rsid w:val="005F506D"/>
    <w:rPr>
      <w:rFonts w:eastAsia="MS Mincho"/>
      <w:i w:val="0"/>
      <w:color w:val="31849B"/>
      <w:u w:val="single"/>
      <w:bdr w:val="none" w:sz="0" w:space="0" w:color="auto"/>
    </w:rPr>
  </w:style>
  <w:style w:type="character" w:customStyle="1" w:styleId="hemb">
    <w:name w:val="hemb"/>
    <w:qFormat/>
    <w:rsid w:val="005F506D"/>
    <w:rPr>
      <w:color w:val="FF6600"/>
    </w:rPr>
  </w:style>
  <w:style w:type="character" w:styleId="Hyperlink">
    <w:name w:val="Hyperlink"/>
    <w:semiHidden/>
    <w:rsid w:val="005F506D"/>
    <w:rPr>
      <w:color w:val="auto"/>
      <w:u w:val="single"/>
    </w:rPr>
  </w:style>
  <w:style w:type="character" w:customStyle="1" w:styleId="idx">
    <w:name w:val="idx"/>
    <w:rsid w:val="005F506D"/>
    <w:rPr>
      <w:color w:val="auto"/>
      <w:bdr w:val="none" w:sz="0" w:space="0" w:color="auto"/>
    </w:rPr>
  </w:style>
  <w:style w:type="character" w:customStyle="1" w:styleId="img">
    <w:name w:val="img"/>
    <w:rsid w:val="005F506D"/>
    <w:rPr>
      <w:rFonts w:ascii="Arial" w:hAnsi="Arial"/>
      <w:color w:val="FF0000"/>
    </w:rPr>
  </w:style>
  <w:style w:type="paragraph" w:customStyle="1" w:styleId="in">
    <w:name w:val="in"/>
    <w:rsid w:val="005F506D"/>
    <w:pPr>
      <w:widowControl w:val="0"/>
      <w:spacing w:after="0" w:line="480" w:lineRule="auto"/>
      <w:ind w:left="720" w:hanging="720"/>
    </w:pPr>
    <w:rPr>
      <w:rFonts w:ascii="Times New Roman" w:eastAsia="Times New Roman" w:hAnsi="Times New Roman" w:cs="Times New Roman"/>
      <w:noProof/>
      <w:sz w:val="24"/>
      <w:szCs w:val="24"/>
    </w:rPr>
  </w:style>
  <w:style w:type="paragraph" w:customStyle="1" w:styleId="in1">
    <w:name w:val="in1"/>
    <w:basedOn w:val="in"/>
    <w:rsid w:val="005F506D"/>
    <w:pPr>
      <w:ind w:left="1080"/>
    </w:pPr>
    <w:rPr>
      <w:sz w:val="22"/>
    </w:rPr>
  </w:style>
  <w:style w:type="paragraph" w:customStyle="1" w:styleId="in2">
    <w:name w:val="in2"/>
    <w:basedOn w:val="in"/>
    <w:rsid w:val="005F506D"/>
    <w:pPr>
      <w:ind w:left="1440"/>
    </w:pPr>
    <w:rPr>
      <w:sz w:val="20"/>
    </w:rPr>
  </w:style>
  <w:style w:type="paragraph" w:customStyle="1" w:styleId="in3">
    <w:name w:val="in3"/>
    <w:basedOn w:val="in"/>
    <w:rsid w:val="005F506D"/>
    <w:pPr>
      <w:ind w:left="1800"/>
    </w:pPr>
    <w:rPr>
      <w:sz w:val="20"/>
    </w:rPr>
  </w:style>
  <w:style w:type="paragraph" w:customStyle="1" w:styleId="IndentFirst">
    <w:name w:val="Indent First"/>
    <w:basedOn w:val="Normal"/>
    <w:uiPriority w:val="99"/>
    <w:rsid w:val="005F506D"/>
    <w:pPr>
      <w:ind w:firstLine="360"/>
    </w:pPr>
    <w:rPr>
      <w:rFonts w:ascii="Times New Roman" w:eastAsia="Times New Roman" w:hAnsi="Times New Roman" w:cs="Times New Roman"/>
      <w:sz w:val="20"/>
      <w:szCs w:val="20"/>
    </w:rPr>
  </w:style>
  <w:style w:type="paragraph" w:customStyle="1" w:styleId="Index">
    <w:name w:val="Index"/>
    <w:basedOn w:val="Normal"/>
    <w:rsid w:val="005F506D"/>
    <w:pPr>
      <w:suppressLineNumbers/>
      <w:ind w:firstLine="0"/>
    </w:pPr>
    <w:rPr>
      <w:rFonts w:ascii="Times New Roman" w:eastAsia="Times New Roman" w:hAnsi="Times New Roman" w:cs="Tahoma"/>
      <w:sz w:val="20"/>
      <w:szCs w:val="20"/>
    </w:rPr>
  </w:style>
  <w:style w:type="paragraph" w:customStyle="1" w:styleId="inf">
    <w:name w:val="inf"/>
    <w:basedOn w:val="in"/>
    <w:next w:val="in"/>
    <w:rsid w:val="005F506D"/>
    <w:pPr>
      <w:spacing w:before="600"/>
    </w:pPr>
  </w:style>
  <w:style w:type="paragraph" w:customStyle="1" w:styleId="inh">
    <w:name w:val="inh"/>
    <w:rsid w:val="005F506D"/>
    <w:pPr>
      <w:spacing w:before="200" w:after="100" w:line="480" w:lineRule="auto"/>
      <w:outlineLvl w:val="8"/>
    </w:pPr>
    <w:rPr>
      <w:rFonts w:ascii="Times New Roman" w:eastAsia="Times New Roman" w:hAnsi="Times New Roman" w:cs="Times New Roman"/>
      <w:sz w:val="32"/>
      <w:szCs w:val="20"/>
    </w:rPr>
  </w:style>
  <w:style w:type="paragraph" w:customStyle="1" w:styleId="inh1">
    <w:name w:val="inh1"/>
    <w:basedOn w:val="inh"/>
    <w:rsid w:val="005F506D"/>
    <w:rPr>
      <w:sz w:val="28"/>
    </w:rPr>
  </w:style>
  <w:style w:type="paragraph" w:customStyle="1" w:styleId="inhn">
    <w:name w:val="inhn"/>
    <w:basedOn w:val="in"/>
    <w:qFormat/>
    <w:rsid w:val="005F506D"/>
    <w:pPr>
      <w:ind w:left="0" w:firstLine="0"/>
    </w:pPr>
    <w:rPr>
      <w:sz w:val="20"/>
    </w:rPr>
  </w:style>
  <w:style w:type="character" w:customStyle="1" w:styleId="iu">
    <w:name w:val="iu"/>
    <w:rsid w:val="005F506D"/>
    <w:rPr>
      <w:i/>
      <w:color w:val="215868"/>
      <w:szCs w:val="24"/>
      <w:u w:val="single"/>
      <w:bdr w:val="none" w:sz="0" w:space="0" w:color="auto"/>
    </w:rPr>
  </w:style>
  <w:style w:type="character" w:customStyle="1" w:styleId="lang">
    <w:name w:val="lang"/>
    <w:rsid w:val="005F506D"/>
    <w:rPr>
      <w:color w:val="808080"/>
    </w:rPr>
  </w:style>
  <w:style w:type="character" w:customStyle="1" w:styleId="lang-b">
    <w:name w:val="lang-b"/>
    <w:uiPriority w:val="1"/>
    <w:qFormat/>
    <w:rsid w:val="005F506D"/>
    <w:rPr>
      <w:rFonts w:eastAsia="MS Mincho"/>
      <w:b/>
      <w:color w:val="808080"/>
    </w:rPr>
  </w:style>
  <w:style w:type="character" w:customStyle="1" w:styleId="lang-bi">
    <w:name w:val="lang-bi"/>
    <w:uiPriority w:val="1"/>
    <w:qFormat/>
    <w:rsid w:val="005F506D"/>
    <w:rPr>
      <w:rFonts w:eastAsia="MS Mincho"/>
      <w:b/>
      <w:i/>
      <w:color w:val="808080"/>
    </w:rPr>
  </w:style>
  <w:style w:type="character" w:customStyle="1" w:styleId="lang-i">
    <w:name w:val="lang-i"/>
    <w:uiPriority w:val="1"/>
    <w:qFormat/>
    <w:rsid w:val="005F506D"/>
    <w:rPr>
      <w:rFonts w:eastAsia="MS Mincho"/>
      <w:i/>
      <w:color w:val="808080"/>
    </w:rPr>
  </w:style>
  <w:style w:type="character" w:customStyle="1" w:styleId="l-chi">
    <w:name w:val="l-chi"/>
    <w:qFormat/>
    <w:rsid w:val="005F506D"/>
    <w:rPr>
      <w:rFonts w:ascii="Times" w:hAnsi="Times"/>
      <w:b w:val="0"/>
      <w:bCs w:val="0"/>
      <w:i w:val="0"/>
      <w:iCs w:val="0"/>
      <w:color w:val="4A442A"/>
    </w:rPr>
  </w:style>
  <w:style w:type="character" w:customStyle="1" w:styleId="l-chi-b">
    <w:name w:val="l-chi-b"/>
    <w:qFormat/>
    <w:rsid w:val="005F506D"/>
    <w:rPr>
      <w:rFonts w:ascii="Times New Roman" w:hAnsi="Times New Roman"/>
      <w:b/>
      <w:bCs w:val="0"/>
      <w:i w:val="0"/>
      <w:iCs w:val="0"/>
      <w:color w:val="4A442A"/>
    </w:rPr>
  </w:style>
  <w:style w:type="character" w:customStyle="1" w:styleId="l-chi-bi">
    <w:name w:val="l-chi-bi"/>
    <w:qFormat/>
    <w:rsid w:val="005F506D"/>
    <w:rPr>
      <w:rFonts w:ascii="Times New Roman" w:hAnsi="Times New Roman"/>
      <w:b/>
      <w:bCs w:val="0"/>
      <w:i/>
      <w:iCs w:val="0"/>
      <w:color w:val="4A442A"/>
    </w:rPr>
  </w:style>
  <w:style w:type="character" w:customStyle="1" w:styleId="l-chi-i">
    <w:name w:val="l-chi-i"/>
    <w:qFormat/>
    <w:rsid w:val="005F506D"/>
    <w:rPr>
      <w:rFonts w:ascii="Times New Roman" w:hAnsi="Times New Roman"/>
      <w:b w:val="0"/>
      <w:bCs w:val="0"/>
      <w:i/>
      <w:iCs w:val="0"/>
      <w:color w:val="4A442A"/>
    </w:rPr>
  </w:style>
  <w:style w:type="character" w:customStyle="1" w:styleId="l-fre">
    <w:name w:val="l-fre"/>
    <w:qFormat/>
    <w:rsid w:val="005F506D"/>
    <w:rPr>
      <w:color w:val="FF8000"/>
    </w:rPr>
  </w:style>
  <w:style w:type="character" w:customStyle="1" w:styleId="l-fre-b">
    <w:name w:val="l-fre-b"/>
    <w:qFormat/>
    <w:rsid w:val="005F506D"/>
    <w:rPr>
      <w:rFonts w:ascii="Times New Roman" w:hAnsi="Times New Roman"/>
      <w:b/>
      <w:bCs w:val="0"/>
      <w:i w:val="0"/>
      <w:iCs w:val="0"/>
      <w:color w:val="FF8000"/>
    </w:rPr>
  </w:style>
  <w:style w:type="character" w:customStyle="1" w:styleId="l-fre-bi">
    <w:name w:val="l-fre-bi"/>
    <w:qFormat/>
    <w:rsid w:val="005F506D"/>
    <w:rPr>
      <w:rFonts w:ascii="Times New Roman Bold Italic" w:hAnsi="Times New Roman Bold Italic"/>
      <w:b/>
      <w:bCs w:val="0"/>
      <w:i/>
      <w:iCs w:val="0"/>
      <w:color w:val="FF8000"/>
    </w:rPr>
  </w:style>
  <w:style w:type="character" w:customStyle="1" w:styleId="l-fre-i">
    <w:name w:val="l-fre-i"/>
    <w:qFormat/>
    <w:rsid w:val="005F506D"/>
    <w:rPr>
      <w:rFonts w:ascii="Times New Roman" w:hAnsi="Times New Roman"/>
      <w:b w:val="0"/>
      <w:bCs w:val="0"/>
      <w:i/>
      <w:iCs w:val="0"/>
      <w:color w:val="FF8000"/>
    </w:rPr>
  </w:style>
  <w:style w:type="character" w:customStyle="1" w:styleId="l-ger">
    <w:name w:val="l-ger"/>
    <w:qFormat/>
    <w:rsid w:val="005F506D"/>
    <w:rPr>
      <w:b w:val="0"/>
      <w:color w:val="0000FF"/>
    </w:rPr>
  </w:style>
  <w:style w:type="character" w:customStyle="1" w:styleId="l-ger-b">
    <w:name w:val="l-ger-b"/>
    <w:qFormat/>
    <w:rsid w:val="005F506D"/>
    <w:rPr>
      <w:rFonts w:ascii="Times New Roman" w:hAnsi="Times New Roman"/>
      <w:b/>
      <w:bCs w:val="0"/>
      <w:i w:val="0"/>
      <w:iCs w:val="0"/>
      <w:color w:val="0000FF"/>
    </w:rPr>
  </w:style>
  <w:style w:type="character" w:customStyle="1" w:styleId="l-ger-bi">
    <w:name w:val="l-ger-bi"/>
    <w:qFormat/>
    <w:rsid w:val="005F506D"/>
    <w:rPr>
      <w:rFonts w:ascii="Times New Roman" w:hAnsi="Times New Roman"/>
      <w:b/>
      <w:bCs w:val="0"/>
      <w:i/>
      <w:iCs w:val="0"/>
      <w:color w:val="0000FF"/>
    </w:rPr>
  </w:style>
  <w:style w:type="character" w:customStyle="1" w:styleId="l-ger-i">
    <w:name w:val="l-ger-i"/>
    <w:qFormat/>
    <w:rsid w:val="005F506D"/>
    <w:rPr>
      <w:rFonts w:ascii="Times New Roman" w:hAnsi="Times New Roman"/>
      <w:b w:val="0"/>
      <w:bCs w:val="0"/>
      <w:i/>
      <w:iCs w:val="0"/>
      <w:color w:val="0000FF"/>
    </w:rPr>
  </w:style>
  <w:style w:type="paragraph" w:styleId="List">
    <w:name w:val="List"/>
    <w:basedOn w:val="BodyText"/>
    <w:semiHidden/>
    <w:rsid w:val="005F506D"/>
    <w:rPr>
      <w:rFonts w:cs="Tahoma"/>
    </w:rPr>
  </w:style>
  <w:style w:type="character" w:customStyle="1" w:styleId="l-ita">
    <w:name w:val="l-ita"/>
    <w:qFormat/>
    <w:rsid w:val="005F506D"/>
    <w:rPr>
      <w:color w:val="FF00FF"/>
    </w:rPr>
  </w:style>
  <w:style w:type="character" w:customStyle="1" w:styleId="l-ita-b">
    <w:name w:val="l-ita-b"/>
    <w:qFormat/>
    <w:rsid w:val="005F506D"/>
    <w:rPr>
      <w:rFonts w:ascii="Times New Roman" w:hAnsi="Times New Roman"/>
      <w:b/>
      <w:bCs w:val="0"/>
      <w:i w:val="0"/>
      <w:iCs w:val="0"/>
      <w:color w:val="FF00FF"/>
    </w:rPr>
  </w:style>
  <w:style w:type="character" w:customStyle="1" w:styleId="l-ita-bi">
    <w:name w:val="l-ita-bi"/>
    <w:qFormat/>
    <w:rsid w:val="005F506D"/>
    <w:rPr>
      <w:rFonts w:ascii="Times New Roman" w:hAnsi="Times New Roman"/>
      <w:b/>
      <w:bCs w:val="0"/>
      <w:i/>
      <w:iCs w:val="0"/>
      <w:color w:val="FF00FF"/>
    </w:rPr>
  </w:style>
  <w:style w:type="character" w:customStyle="1" w:styleId="l-ita-i">
    <w:name w:val="l-ita-i"/>
    <w:qFormat/>
    <w:rsid w:val="005F506D"/>
    <w:rPr>
      <w:rFonts w:ascii="Times New Roman" w:hAnsi="Times New Roman"/>
      <w:b w:val="0"/>
      <w:bCs w:val="0"/>
      <w:i/>
      <w:iCs w:val="0"/>
      <w:color w:val="FF00FF"/>
    </w:rPr>
  </w:style>
  <w:style w:type="character" w:customStyle="1" w:styleId="l-jpn">
    <w:name w:val="l-jpn"/>
    <w:qFormat/>
    <w:rsid w:val="005F506D"/>
    <w:rPr>
      <w:rFonts w:ascii="Times New Roman" w:hAnsi="Times New Roman"/>
      <w:b w:val="0"/>
      <w:bCs w:val="0"/>
      <w:i w:val="0"/>
      <w:iCs w:val="0"/>
      <w:color w:val="000090"/>
    </w:rPr>
  </w:style>
  <w:style w:type="character" w:customStyle="1" w:styleId="l-jpn-b">
    <w:name w:val="l-jpn-b"/>
    <w:qFormat/>
    <w:rsid w:val="005F506D"/>
    <w:rPr>
      <w:rFonts w:ascii="Times New Roman" w:hAnsi="Times New Roman"/>
      <w:b/>
      <w:bCs w:val="0"/>
      <w:i w:val="0"/>
      <w:iCs w:val="0"/>
      <w:color w:val="000090"/>
    </w:rPr>
  </w:style>
  <w:style w:type="character" w:customStyle="1" w:styleId="l-jpn-bi">
    <w:name w:val="l-jpn-bi"/>
    <w:qFormat/>
    <w:rsid w:val="005F506D"/>
    <w:rPr>
      <w:rFonts w:ascii="Times New Roman" w:hAnsi="Times New Roman"/>
      <w:b/>
      <w:bCs w:val="0"/>
      <w:i/>
      <w:iCs w:val="0"/>
      <w:color w:val="000090"/>
    </w:rPr>
  </w:style>
  <w:style w:type="character" w:customStyle="1" w:styleId="l-jpn-i">
    <w:name w:val="l-jpn-i"/>
    <w:qFormat/>
    <w:rsid w:val="005F506D"/>
    <w:rPr>
      <w:rFonts w:ascii="Times New Roman" w:hAnsi="Times New Roman"/>
      <w:b w:val="0"/>
      <w:bCs w:val="0"/>
      <w:i/>
      <w:iCs w:val="0"/>
      <w:color w:val="000090"/>
    </w:rPr>
  </w:style>
  <w:style w:type="character" w:customStyle="1" w:styleId="l-kor">
    <w:name w:val="l-kor"/>
    <w:qFormat/>
    <w:rsid w:val="005F506D"/>
    <w:rPr>
      <w:rFonts w:ascii="Minion" w:hAnsi="Minion"/>
      <w:b w:val="0"/>
      <w:bCs w:val="0"/>
      <w:i w:val="0"/>
      <w:iCs w:val="0"/>
      <w:color w:val="5F497A"/>
      <w:sz w:val="24"/>
      <w:szCs w:val="20"/>
    </w:rPr>
  </w:style>
  <w:style w:type="character" w:customStyle="1" w:styleId="l-kor-b">
    <w:name w:val="l-kor-b"/>
    <w:qFormat/>
    <w:rsid w:val="005F506D"/>
    <w:rPr>
      <w:rFonts w:ascii="Times" w:eastAsia="AppleGothic" w:hAnsi="Times"/>
      <w:b/>
      <w:bCs/>
      <w:i w:val="0"/>
      <w:iCs w:val="0"/>
      <w:color w:val="5F497A"/>
      <w:sz w:val="24"/>
      <w:szCs w:val="24"/>
    </w:rPr>
  </w:style>
  <w:style w:type="character" w:customStyle="1" w:styleId="l-kor-bi">
    <w:name w:val="l-kor-bi"/>
    <w:qFormat/>
    <w:rsid w:val="005F506D"/>
    <w:rPr>
      <w:rFonts w:ascii="Times New Roman" w:hAnsi="Times New Roman"/>
      <w:b/>
      <w:bCs w:val="0"/>
      <w:i/>
      <w:iCs w:val="0"/>
      <w:color w:val="5F497A"/>
      <w:sz w:val="24"/>
      <w:szCs w:val="20"/>
    </w:rPr>
  </w:style>
  <w:style w:type="character" w:customStyle="1" w:styleId="l-kor-i">
    <w:name w:val="l-kor-i"/>
    <w:qFormat/>
    <w:rsid w:val="005F506D"/>
    <w:rPr>
      <w:rFonts w:ascii="Times New Roman" w:hAnsi="Times New Roman"/>
      <w:b w:val="0"/>
      <w:bCs w:val="0"/>
      <w:i/>
      <w:iCs w:val="0"/>
      <w:color w:val="5F497A"/>
      <w:sz w:val="24"/>
      <w:szCs w:val="20"/>
    </w:rPr>
  </w:style>
  <w:style w:type="character" w:customStyle="1" w:styleId="l-lat">
    <w:name w:val="l-lat"/>
    <w:qFormat/>
    <w:rsid w:val="005F506D"/>
    <w:rPr>
      <w:rFonts w:ascii="Times New Roman" w:hAnsi="Times New Roman"/>
      <w:b w:val="0"/>
      <w:bCs w:val="0"/>
      <w:i w:val="0"/>
      <w:iCs w:val="0"/>
      <w:color w:val="17365D"/>
    </w:rPr>
  </w:style>
  <w:style w:type="character" w:customStyle="1" w:styleId="l-lat-b">
    <w:name w:val="l-lat-b"/>
    <w:qFormat/>
    <w:rsid w:val="005F506D"/>
    <w:rPr>
      <w:rFonts w:ascii="Times New Roman" w:hAnsi="Times New Roman"/>
      <w:b/>
      <w:bCs w:val="0"/>
      <w:i w:val="0"/>
      <w:iCs w:val="0"/>
      <w:color w:val="17365D"/>
    </w:rPr>
  </w:style>
  <w:style w:type="character" w:customStyle="1" w:styleId="l-lat-bi">
    <w:name w:val="l-lat-bi"/>
    <w:qFormat/>
    <w:rsid w:val="005F506D"/>
    <w:rPr>
      <w:rFonts w:ascii="Times New Roman" w:hAnsi="Times New Roman"/>
      <w:b/>
      <w:bCs w:val="0"/>
      <w:i/>
      <w:iCs w:val="0"/>
      <w:color w:val="17365D"/>
    </w:rPr>
  </w:style>
  <w:style w:type="character" w:customStyle="1" w:styleId="l-lat-i">
    <w:name w:val="l-lat-i"/>
    <w:qFormat/>
    <w:rsid w:val="005F506D"/>
    <w:rPr>
      <w:rFonts w:ascii="Times New Roman" w:hAnsi="Times New Roman"/>
      <w:b w:val="0"/>
      <w:bCs w:val="0"/>
      <w:i/>
      <w:iCs w:val="0"/>
      <w:color w:val="17365D"/>
    </w:rPr>
  </w:style>
  <w:style w:type="paragraph" w:customStyle="1" w:styleId="lo">
    <w:name w:val="lo"/>
    <w:basedOn w:val="p"/>
    <w:rsid w:val="005F506D"/>
    <w:pPr>
      <w:spacing w:before="60" w:after="60"/>
      <w:ind w:firstLine="0"/>
    </w:pPr>
    <w:rPr>
      <w:rFonts w:ascii="Arial" w:hAnsi="Arial"/>
    </w:rPr>
  </w:style>
  <w:style w:type="paragraph" w:customStyle="1" w:styleId="ltc">
    <w:name w:val="ltc"/>
    <w:basedOn w:val="Normal"/>
    <w:rsid w:val="005F506D"/>
    <w:pPr>
      <w:widowControl w:val="0"/>
      <w:suppressAutoHyphens/>
      <w:autoSpaceDE w:val="0"/>
      <w:autoSpaceDN w:val="0"/>
      <w:adjustRightInd w:val="0"/>
      <w:spacing w:before="100" w:line="360" w:lineRule="auto"/>
      <w:ind w:left="4320" w:firstLine="0"/>
      <w:textAlignment w:val="center"/>
    </w:pPr>
    <w:rPr>
      <w:rFonts w:ascii="Times New Roman" w:eastAsia="Times New Roman" w:hAnsi="Times New Roman" w:cs="Times New Roman"/>
      <w:color w:val="000000"/>
      <w:kern w:val="24"/>
      <w:sz w:val="20"/>
      <w:szCs w:val="20"/>
    </w:rPr>
  </w:style>
  <w:style w:type="paragraph" w:customStyle="1" w:styleId="ltsigf">
    <w:name w:val="ltsigf"/>
    <w:basedOn w:val="ltc"/>
    <w:next w:val="Normal"/>
    <w:rsid w:val="005F506D"/>
  </w:style>
  <w:style w:type="paragraph" w:customStyle="1" w:styleId="ltsig">
    <w:name w:val="ltsig"/>
    <w:basedOn w:val="ltsigf"/>
    <w:rsid w:val="005F506D"/>
    <w:pPr>
      <w:spacing w:before="0"/>
    </w:pPr>
  </w:style>
  <w:style w:type="paragraph" w:customStyle="1" w:styleId="ltsigl">
    <w:name w:val="ltsigl"/>
    <w:basedOn w:val="ltsig"/>
    <w:qFormat/>
    <w:rsid w:val="005F506D"/>
    <w:pPr>
      <w:spacing w:after="120"/>
    </w:pPr>
  </w:style>
  <w:style w:type="paragraph" w:customStyle="1" w:styleId="lps">
    <w:name w:val="lps"/>
    <w:basedOn w:val="ltsigl"/>
    <w:qFormat/>
    <w:rsid w:val="005F506D"/>
  </w:style>
  <w:style w:type="character" w:customStyle="1" w:styleId="l-rus">
    <w:name w:val="l-rus"/>
    <w:qFormat/>
    <w:rsid w:val="005F506D"/>
    <w:rPr>
      <w:rFonts w:ascii="Times New Roman" w:hAnsi="Times New Roman"/>
      <w:b w:val="0"/>
      <w:bCs w:val="0"/>
      <w:i w:val="0"/>
      <w:iCs w:val="0"/>
      <w:color w:val="943634"/>
    </w:rPr>
  </w:style>
  <w:style w:type="character" w:customStyle="1" w:styleId="l-rus-b">
    <w:name w:val="l-rus-b"/>
    <w:qFormat/>
    <w:rsid w:val="005F506D"/>
    <w:rPr>
      <w:rFonts w:ascii="Times New Roman" w:hAnsi="Times New Roman"/>
      <w:b/>
      <w:bCs w:val="0"/>
      <w:i w:val="0"/>
      <w:iCs w:val="0"/>
      <w:color w:val="943634"/>
    </w:rPr>
  </w:style>
  <w:style w:type="character" w:customStyle="1" w:styleId="l-rus-bi">
    <w:name w:val="l-rus-bi"/>
    <w:qFormat/>
    <w:rsid w:val="005F506D"/>
    <w:rPr>
      <w:rFonts w:ascii="Times New Roman" w:hAnsi="Times New Roman"/>
      <w:b/>
      <w:bCs w:val="0"/>
      <w:i/>
      <w:iCs w:val="0"/>
      <w:color w:val="943634"/>
    </w:rPr>
  </w:style>
  <w:style w:type="character" w:customStyle="1" w:styleId="l-rus-i">
    <w:name w:val="l-rus-i"/>
    <w:qFormat/>
    <w:rsid w:val="005F506D"/>
    <w:rPr>
      <w:rFonts w:ascii="Times New Roman" w:hAnsi="Times New Roman"/>
      <w:b w:val="0"/>
      <w:bCs w:val="0"/>
      <w:i/>
      <w:iCs w:val="0"/>
      <w:color w:val="943634"/>
    </w:rPr>
  </w:style>
  <w:style w:type="character" w:customStyle="1" w:styleId="l-spa">
    <w:name w:val="l-spa"/>
    <w:qFormat/>
    <w:rsid w:val="005F506D"/>
    <w:rPr>
      <w:rFonts w:ascii="Times New Roman" w:hAnsi="Times New Roman"/>
      <w:b w:val="0"/>
      <w:bCs w:val="0"/>
      <w:i w:val="0"/>
      <w:iCs w:val="0"/>
      <w:color w:val="800080"/>
    </w:rPr>
  </w:style>
  <w:style w:type="character" w:customStyle="1" w:styleId="l-spa-b">
    <w:name w:val="l-spa-b"/>
    <w:qFormat/>
    <w:rsid w:val="005F506D"/>
    <w:rPr>
      <w:rFonts w:ascii="Times New Roman" w:hAnsi="Times New Roman"/>
      <w:b/>
      <w:bCs w:val="0"/>
      <w:i w:val="0"/>
      <w:iCs w:val="0"/>
      <w:color w:val="800080"/>
    </w:rPr>
  </w:style>
  <w:style w:type="character" w:customStyle="1" w:styleId="l-spa-bi">
    <w:name w:val="l-spa-bi"/>
    <w:qFormat/>
    <w:rsid w:val="005F506D"/>
    <w:rPr>
      <w:rFonts w:ascii="Times New Roman" w:hAnsi="Times New Roman"/>
      <w:b/>
      <w:bCs w:val="0"/>
      <w:i/>
      <w:iCs w:val="0"/>
      <w:color w:val="800080"/>
    </w:rPr>
  </w:style>
  <w:style w:type="character" w:customStyle="1" w:styleId="l-spa-i">
    <w:name w:val="l-spa-i"/>
    <w:qFormat/>
    <w:rsid w:val="005F506D"/>
    <w:rPr>
      <w:rFonts w:ascii="Times New Roman" w:hAnsi="Times New Roman"/>
      <w:b w:val="0"/>
      <w:bCs w:val="0"/>
      <w:i/>
      <w:iCs w:val="0"/>
      <w:color w:val="800080"/>
    </w:rPr>
  </w:style>
  <w:style w:type="paragraph" w:customStyle="1" w:styleId="lt">
    <w:name w:val="lt"/>
    <w:basedOn w:val="Normal"/>
    <w:rsid w:val="005F506D"/>
    <w:pPr>
      <w:widowControl w:val="0"/>
      <w:suppressAutoHyphens/>
      <w:autoSpaceDE w:val="0"/>
      <w:autoSpaceDN w:val="0"/>
      <w:adjustRightInd w:val="0"/>
      <w:spacing w:line="360" w:lineRule="auto"/>
      <w:ind w:left="720" w:right="720" w:firstLine="360"/>
      <w:textAlignment w:val="center"/>
    </w:pPr>
    <w:rPr>
      <w:rFonts w:ascii="Times New Roman" w:eastAsia="Times New Roman" w:hAnsi="Times New Roman" w:cs="Times New Roman"/>
      <w:color w:val="000000"/>
      <w:kern w:val="24"/>
      <w:sz w:val="20"/>
      <w:szCs w:val="20"/>
    </w:rPr>
  </w:style>
  <w:style w:type="paragraph" w:customStyle="1" w:styleId="ltdf">
    <w:name w:val="ltdf"/>
    <w:basedOn w:val="Normal"/>
    <w:next w:val="Normal"/>
    <w:rsid w:val="005F506D"/>
    <w:pPr>
      <w:widowControl w:val="0"/>
      <w:suppressAutoHyphens/>
      <w:autoSpaceDE w:val="0"/>
      <w:autoSpaceDN w:val="0"/>
      <w:adjustRightInd w:val="0"/>
      <w:spacing w:before="100" w:line="360" w:lineRule="auto"/>
      <w:ind w:left="720" w:right="720" w:firstLine="0"/>
      <w:textAlignment w:val="center"/>
    </w:pPr>
    <w:rPr>
      <w:rFonts w:ascii="Times New Roman" w:eastAsia="Times New Roman" w:hAnsi="Times New Roman" w:cs="Times New Roman"/>
      <w:color w:val="000000"/>
      <w:kern w:val="24"/>
      <w:sz w:val="20"/>
      <w:szCs w:val="20"/>
    </w:rPr>
  </w:style>
  <w:style w:type="paragraph" w:customStyle="1" w:styleId="ltd">
    <w:name w:val="ltd"/>
    <w:basedOn w:val="ltdf"/>
    <w:rsid w:val="005F506D"/>
    <w:pPr>
      <w:spacing w:before="0"/>
    </w:pPr>
  </w:style>
  <w:style w:type="paragraph" w:customStyle="1" w:styleId="lta">
    <w:name w:val="lta"/>
    <w:basedOn w:val="ltd"/>
    <w:rsid w:val="005F506D"/>
  </w:style>
  <w:style w:type="paragraph" w:customStyle="1" w:styleId="ltaf">
    <w:name w:val="ltaf"/>
    <w:basedOn w:val="ltdf"/>
    <w:next w:val="lta"/>
    <w:rsid w:val="005F506D"/>
  </w:style>
  <w:style w:type="paragraph" w:customStyle="1" w:styleId="ltf">
    <w:name w:val="ltf"/>
    <w:basedOn w:val="ltdf"/>
    <w:rsid w:val="005F506D"/>
  </w:style>
  <w:style w:type="paragraph" w:customStyle="1" w:styleId="ltfalt">
    <w:name w:val="ltfalt"/>
    <w:basedOn w:val="ltf"/>
    <w:qFormat/>
    <w:rsid w:val="005F506D"/>
    <w:rPr>
      <w:rFonts w:ascii="Arial" w:eastAsia="MS Mincho" w:hAnsi="Arial"/>
    </w:rPr>
  </w:style>
  <w:style w:type="paragraph" w:customStyle="1" w:styleId="ltg">
    <w:name w:val="ltg"/>
    <w:basedOn w:val="ltdf"/>
    <w:rsid w:val="005F506D"/>
  </w:style>
  <w:style w:type="paragraph" w:customStyle="1" w:styleId="ltl">
    <w:name w:val="ltl"/>
    <w:basedOn w:val="lt"/>
    <w:rsid w:val="005F506D"/>
    <w:pPr>
      <w:spacing w:after="200"/>
    </w:pPr>
  </w:style>
  <w:style w:type="paragraph" w:customStyle="1" w:styleId="lto">
    <w:name w:val="lto"/>
    <w:basedOn w:val="lt"/>
    <w:qFormat/>
    <w:rsid w:val="005F506D"/>
    <w:pPr>
      <w:spacing w:after="240"/>
      <w:ind w:firstLine="0"/>
    </w:pPr>
  </w:style>
  <w:style w:type="paragraph" w:customStyle="1" w:styleId="lts">
    <w:name w:val="lts"/>
    <w:basedOn w:val="ltf"/>
    <w:rsid w:val="005F506D"/>
    <w:pPr>
      <w:spacing w:before="160" w:after="200"/>
    </w:pPr>
  </w:style>
  <w:style w:type="paragraph" w:customStyle="1" w:styleId="nl1f">
    <w:name w:val="nl1f"/>
    <w:basedOn w:val="nl1"/>
    <w:next w:val="nl1"/>
    <w:rsid w:val="005F506D"/>
  </w:style>
  <w:style w:type="paragraph" w:customStyle="1" w:styleId="nl1l">
    <w:name w:val="nl1l"/>
    <w:basedOn w:val="nl1"/>
    <w:rsid w:val="005F506D"/>
  </w:style>
  <w:style w:type="paragraph" w:customStyle="1" w:styleId="ulp">
    <w:name w:val="ulp"/>
    <w:rsid w:val="005F506D"/>
    <w:pPr>
      <w:spacing w:after="0" w:line="480" w:lineRule="auto"/>
      <w:ind w:left="1440" w:firstLine="360"/>
    </w:pPr>
    <w:rPr>
      <w:rFonts w:ascii="Times New Roman" w:eastAsia="Times New Roman" w:hAnsi="Times New Roman" w:cs="Times New Roman"/>
      <w:color w:val="000000"/>
      <w:sz w:val="24"/>
      <w:szCs w:val="20"/>
    </w:rPr>
  </w:style>
  <w:style w:type="paragraph" w:customStyle="1" w:styleId="nlp">
    <w:name w:val="nlp"/>
    <w:basedOn w:val="ulp"/>
    <w:rsid w:val="005F506D"/>
    <w:pPr>
      <w:ind w:left="360"/>
    </w:pPr>
  </w:style>
  <w:style w:type="paragraph" w:customStyle="1" w:styleId="nl1p">
    <w:name w:val="nl1p"/>
    <w:basedOn w:val="nlp"/>
    <w:rsid w:val="005F506D"/>
    <w:pPr>
      <w:ind w:left="720"/>
    </w:pPr>
  </w:style>
  <w:style w:type="paragraph" w:customStyle="1" w:styleId="nl1pl">
    <w:name w:val="nl1pl"/>
    <w:basedOn w:val="nl1p"/>
    <w:qFormat/>
    <w:rsid w:val="005F506D"/>
    <w:pPr>
      <w:spacing w:after="240"/>
    </w:pPr>
  </w:style>
  <w:style w:type="paragraph" w:customStyle="1" w:styleId="nl1s">
    <w:name w:val="nl1s"/>
    <w:basedOn w:val="nl1f"/>
    <w:qFormat/>
    <w:rsid w:val="005F506D"/>
    <w:pPr>
      <w:spacing w:before="100" w:after="100"/>
    </w:pPr>
  </w:style>
  <w:style w:type="paragraph" w:customStyle="1" w:styleId="nl2">
    <w:name w:val="nl2"/>
    <w:basedOn w:val="nl1"/>
    <w:rsid w:val="005F506D"/>
  </w:style>
  <w:style w:type="paragraph" w:customStyle="1" w:styleId="nl2f">
    <w:name w:val="nl2f"/>
    <w:basedOn w:val="nl2"/>
    <w:next w:val="nl2"/>
    <w:rsid w:val="005F506D"/>
    <w:pPr>
      <w:spacing w:before="100"/>
      <w:ind w:left="1080"/>
    </w:pPr>
  </w:style>
  <w:style w:type="paragraph" w:customStyle="1" w:styleId="nl2l">
    <w:name w:val="nl2l"/>
    <w:basedOn w:val="nl2"/>
    <w:rsid w:val="005F506D"/>
    <w:pPr>
      <w:spacing w:after="100"/>
      <w:ind w:left="1080"/>
    </w:pPr>
  </w:style>
  <w:style w:type="paragraph" w:customStyle="1" w:styleId="nl2p">
    <w:name w:val="nl2p"/>
    <w:basedOn w:val="nl2"/>
    <w:rsid w:val="005F506D"/>
    <w:pPr>
      <w:ind w:left="1080" w:firstLine="360"/>
    </w:pPr>
  </w:style>
  <w:style w:type="paragraph" w:customStyle="1" w:styleId="nl2s">
    <w:name w:val="nl2s"/>
    <w:basedOn w:val="nl2f"/>
    <w:rsid w:val="005F506D"/>
    <w:pPr>
      <w:spacing w:after="100"/>
    </w:pPr>
  </w:style>
  <w:style w:type="paragraph" w:customStyle="1" w:styleId="nl3">
    <w:name w:val="nl3"/>
    <w:basedOn w:val="nl2"/>
    <w:rsid w:val="005F506D"/>
    <w:pPr>
      <w:ind w:left="1440"/>
    </w:pPr>
  </w:style>
  <w:style w:type="paragraph" w:customStyle="1" w:styleId="nl3f">
    <w:name w:val="nl3f"/>
    <w:basedOn w:val="nl3"/>
    <w:next w:val="nl3"/>
    <w:rsid w:val="005F506D"/>
    <w:pPr>
      <w:spacing w:before="100"/>
    </w:pPr>
  </w:style>
  <w:style w:type="paragraph" w:customStyle="1" w:styleId="nl3l">
    <w:name w:val="nl3l"/>
    <w:basedOn w:val="nl3"/>
    <w:rsid w:val="005F506D"/>
    <w:pPr>
      <w:spacing w:after="100"/>
    </w:pPr>
  </w:style>
  <w:style w:type="paragraph" w:customStyle="1" w:styleId="nl3p">
    <w:name w:val="nl3p"/>
    <w:basedOn w:val="nl3"/>
    <w:rsid w:val="005F506D"/>
    <w:pPr>
      <w:ind w:firstLine="360"/>
    </w:pPr>
  </w:style>
  <w:style w:type="paragraph" w:customStyle="1" w:styleId="nl3s">
    <w:name w:val="nl3s"/>
    <w:basedOn w:val="nl3"/>
    <w:rsid w:val="005F506D"/>
    <w:pPr>
      <w:spacing w:before="100" w:after="100"/>
    </w:pPr>
  </w:style>
  <w:style w:type="paragraph" w:customStyle="1" w:styleId="nl4">
    <w:name w:val="nl4"/>
    <w:basedOn w:val="nl3"/>
    <w:rsid w:val="005F506D"/>
    <w:pPr>
      <w:ind w:left="2160" w:hanging="720"/>
    </w:pPr>
  </w:style>
  <w:style w:type="paragraph" w:customStyle="1" w:styleId="nl4f">
    <w:name w:val="nl4f"/>
    <w:basedOn w:val="nl4"/>
    <w:next w:val="nl4"/>
    <w:rsid w:val="005F506D"/>
    <w:pPr>
      <w:spacing w:before="100"/>
    </w:pPr>
  </w:style>
  <w:style w:type="paragraph" w:customStyle="1" w:styleId="nl4l">
    <w:name w:val="nl4l"/>
    <w:basedOn w:val="nl4"/>
    <w:rsid w:val="005F506D"/>
    <w:pPr>
      <w:spacing w:after="100"/>
    </w:pPr>
  </w:style>
  <w:style w:type="paragraph" w:customStyle="1" w:styleId="nl4p">
    <w:name w:val="nl4p"/>
    <w:basedOn w:val="nlp"/>
    <w:rsid w:val="005F506D"/>
    <w:pPr>
      <w:ind w:left="1800"/>
    </w:pPr>
  </w:style>
  <w:style w:type="paragraph" w:customStyle="1" w:styleId="nl4s">
    <w:name w:val="nl4s"/>
    <w:basedOn w:val="p"/>
    <w:rsid w:val="005F506D"/>
    <w:pPr>
      <w:tabs>
        <w:tab w:val="left" w:pos="720"/>
      </w:tabs>
      <w:ind w:left="2160" w:hanging="720"/>
    </w:pPr>
  </w:style>
  <w:style w:type="paragraph" w:customStyle="1" w:styleId="nl5">
    <w:name w:val="nl5"/>
    <w:basedOn w:val="nl4"/>
    <w:rsid w:val="005F506D"/>
    <w:pPr>
      <w:ind w:left="2520"/>
    </w:pPr>
  </w:style>
  <w:style w:type="paragraph" w:customStyle="1" w:styleId="nl5f">
    <w:name w:val="nl5f"/>
    <w:basedOn w:val="nl5"/>
    <w:next w:val="nl5"/>
    <w:rsid w:val="005F506D"/>
    <w:pPr>
      <w:spacing w:before="100"/>
    </w:pPr>
  </w:style>
  <w:style w:type="paragraph" w:customStyle="1" w:styleId="nl5l">
    <w:name w:val="nl5l"/>
    <w:basedOn w:val="nl4"/>
    <w:rsid w:val="005F506D"/>
    <w:pPr>
      <w:spacing w:after="100"/>
      <w:ind w:left="2520"/>
    </w:pPr>
  </w:style>
  <w:style w:type="paragraph" w:customStyle="1" w:styleId="nl5p">
    <w:name w:val="nl5p"/>
    <w:basedOn w:val="nlp"/>
    <w:rsid w:val="005F506D"/>
    <w:pPr>
      <w:ind w:left="2160"/>
    </w:pPr>
  </w:style>
  <w:style w:type="paragraph" w:customStyle="1" w:styleId="nl5s">
    <w:name w:val="nl5s"/>
    <w:basedOn w:val="p"/>
    <w:rsid w:val="005F506D"/>
    <w:pPr>
      <w:ind w:left="2520" w:hanging="720"/>
    </w:pPr>
  </w:style>
  <w:style w:type="paragraph" w:customStyle="1" w:styleId="nlf">
    <w:name w:val="nlf"/>
    <w:basedOn w:val="nl"/>
    <w:next w:val="nl"/>
    <w:rsid w:val="005F506D"/>
    <w:pPr>
      <w:spacing w:before="100"/>
    </w:pPr>
  </w:style>
  <w:style w:type="paragraph" w:customStyle="1" w:styleId="nlh">
    <w:name w:val="nlh"/>
    <w:basedOn w:val="nl"/>
    <w:qFormat/>
    <w:rsid w:val="005F506D"/>
    <w:pPr>
      <w:spacing w:before="240" w:after="40" w:line="360" w:lineRule="auto"/>
    </w:pPr>
    <w:rPr>
      <w:sz w:val="28"/>
    </w:rPr>
  </w:style>
  <w:style w:type="paragraph" w:customStyle="1" w:styleId="nll">
    <w:name w:val="nll"/>
    <w:basedOn w:val="nl"/>
    <w:rsid w:val="005F506D"/>
    <w:pPr>
      <w:spacing w:after="100"/>
    </w:pPr>
  </w:style>
  <w:style w:type="paragraph" w:customStyle="1" w:styleId="nlpl">
    <w:name w:val="nlpl"/>
    <w:basedOn w:val="nlp"/>
    <w:qFormat/>
    <w:rsid w:val="005F506D"/>
    <w:pPr>
      <w:spacing w:after="240"/>
    </w:pPr>
  </w:style>
  <w:style w:type="paragraph" w:customStyle="1" w:styleId="nls">
    <w:name w:val="nls"/>
    <w:basedOn w:val="nlf"/>
    <w:qFormat/>
    <w:rsid w:val="005F506D"/>
    <w:pPr>
      <w:spacing w:after="100"/>
    </w:pPr>
  </w:style>
  <w:style w:type="paragraph" w:styleId="NormalWeb">
    <w:name w:val="Normal (Web)"/>
    <w:basedOn w:val="Normal"/>
    <w:uiPriority w:val="99"/>
    <w:semiHidden/>
    <w:rsid w:val="005F506D"/>
    <w:pPr>
      <w:spacing w:before="100" w:beforeAutospacing="1" w:after="100" w:afterAutospacing="1"/>
      <w:ind w:firstLine="0"/>
    </w:pPr>
    <w:rPr>
      <w:rFonts w:ascii="Times New Roman" w:eastAsia="Times New Roman" w:hAnsi="Times New Roman" w:cs="Times New Roman"/>
      <w:sz w:val="20"/>
      <w:szCs w:val="20"/>
    </w:rPr>
  </w:style>
  <w:style w:type="paragraph" w:customStyle="1" w:styleId="ntbqf">
    <w:name w:val="ntbqf"/>
    <w:basedOn w:val="bqf"/>
    <w:next w:val="Normal"/>
    <w:qFormat/>
    <w:rsid w:val="005F506D"/>
    <w:rPr>
      <w:sz w:val="20"/>
    </w:rPr>
  </w:style>
  <w:style w:type="paragraph" w:customStyle="1" w:styleId="ntbq">
    <w:name w:val="ntbq"/>
    <w:basedOn w:val="ntbqf"/>
    <w:qFormat/>
    <w:rsid w:val="005F506D"/>
    <w:pPr>
      <w:spacing w:before="0"/>
      <w:ind w:firstLine="360"/>
    </w:pPr>
  </w:style>
  <w:style w:type="paragraph" w:customStyle="1" w:styleId="ntbql">
    <w:name w:val="ntbql"/>
    <w:basedOn w:val="ntbq"/>
    <w:qFormat/>
    <w:rsid w:val="005F506D"/>
    <w:pPr>
      <w:spacing w:after="120"/>
    </w:pPr>
  </w:style>
  <w:style w:type="paragraph" w:customStyle="1" w:styleId="ntbqs">
    <w:name w:val="ntbqs"/>
    <w:basedOn w:val="ntbql"/>
    <w:qFormat/>
    <w:rsid w:val="005F506D"/>
  </w:style>
  <w:style w:type="paragraph" w:customStyle="1" w:styleId="ntcon">
    <w:name w:val="ntcon"/>
    <w:basedOn w:val="en"/>
    <w:qFormat/>
    <w:rsid w:val="005F506D"/>
    <w:pPr>
      <w:spacing w:line="240" w:lineRule="auto"/>
    </w:pPr>
  </w:style>
  <w:style w:type="paragraph" w:customStyle="1" w:styleId="nteq">
    <w:name w:val="nteq"/>
    <w:basedOn w:val="eq"/>
    <w:qFormat/>
    <w:rsid w:val="005F506D"/>
    <w:pPr>
      <w:spacing w:line="240" w:lineRule="auto"/>
    </w:pPr>
    <w:rPr>
      <w:sz w:val="20"/>
    </w:rPr>
  </w:style>
  <w:style w:type="paragraph" w:customStyle="1" w:styleId="ntnlf">
    <w:name w:val="ntnlf"/>
    <w:basedOn w:val="nlf"/>
    <w:next w:val="Normal"/>
    <w:qFormat/>
    <w:rsid w:val="005F506D"/>
    <w:pPr>
      <w:spacing w:line="240" w:lineRule="auto"/>
      <w:ind w:left="1440"/>
    </w:pPr>
    <w:rPr>
      <w:sz w:val="20"/>
    </w:rPr>
  </w:style>
  <w:style w:type="paragraph" w:customStyle="1" w:styleId="ntnl">
    <w:name w:val="ntnl"/>
    <w:basedOn w:val="ntnlf"/>
    <w:qFormat/>
    <w:rsid w:val="005F506D"/>
    <w:pPr>
      <w:spacing w:before="0"/>
    </w:pPr>
  </w:style>
  <w:style w:type="paragraph" w:customStyle="1" w:styleId="ntnll">
    <w:name w:val="ntnll"/>
    <w:basedOn w:val="ntnl"/>
    <w:qFormat/>
    <w:rsid w:val="005F506D"/>
    <w:pPr>
      <w:spacing w:after="120"/>
    </w:pPr>
  </w:style>
  <w:style w:type="paragraph" w:customStyle="1" w:styleId="ntslf">
    <w:name w:val="ntslf"/>
    <w:basedOn w:val="slf"/>
    <w:next w:val="Normal"/>
    <w:qFormat/>
    <w:rsid w:val="005F506D"/>
    <w:pPr>
      <w:spacing w:line="240" w:lineRule="auto"/>
    </w:pPr>
  </w:style>
  <w:style w:type="paragraph" w:customStyle="1" w:styleId="ntsl">
    <w:name w:val="ntsl"/>
    <w:basedOn w:val="ntslf"/>
    <w:qFormat/>
    <w:rsid w:val="005F506D"/>
  </w:style>
  <w:style w:type="paragraph" w:customStyle="1" w:styleId="ntsll">
    <w:name w:val="ntsll"/>
    <w:basedOn w:val="ntsl"/>
    <w:qFormat/>
    <w:rsid w:val="005F506D"/>
    <w:pPr>
      <w:spacing w:before="0" w:after="240"/>
    </w:pPr>
  </w:style>
  <w:style w:type="paragraph" w:customStyle="1" w:styleId="nttd">
    <w:name w:val="nttd"/>
    <w:basedOn w:val="Normal"/>
    <w:qFormat/>
    <w:rsid w:val="005F506D"/>
    <w:pPr>
      <w:widowControl w:val="0"/>
      <w:ind w:firstLine="0"/>
    </w:pPr>
    <w:rPr>
      <w:rFonts w:ascii="Times New Roman" w:eastAsia="Times New Roman" w:hAnsi="Times New Roman" w:cs="Times New Roman"/>
      <w:sz w:val="16"/>
      <w:szCs w:val="24"/>
    </w:rPr>
  </w:style>
  <w:style w:type="paragraph" w:customStyle="1" w:styleId="ntulf">
    <w:name w:val="ntulf"/>
    <w:basedOn w:val="ulf"/>
    <w:next w:val="Normal"/>
    <w:qFormat/>
    <w:rsid w:val="005F506D"/>
    <w:pPr>
      <w:spacing w:before="120" w:line="240" w:lineRule="auto"/>
    </w:pPr>
    <w:rPr>
      <w:sz w:val="20"/>
    </w:rPr>
  </w:style>
  <w:style w:type="paragraph" w:customStyle="1" w:styleId="ntul">
    <w:name w:val="ntul"/>
    <w:basedOn w:val="ntulf"/>
    <w:qFormat/>
    <w:rsid w:val="005F506D"/>
    <w:pPr>
      <w:spacing w:before="0"/>
    </w:pPr>
  </w:style>
  <w:style w:type="paragraph" w:customStyle="1" w:styleId="ntull">
    <w:name w:val="ntull"/>
    <w:basedOn w:val="ntul"/>
    <w:qFormat/>
    <w:rsid w:val="005F506D"/>
    <w:pPr>
      <w:spacing w:after="120"/>
    </w:pPr>
  </w:style>
  <w:style w:type="numbering" w:customStyle="1" w:styleId="NumberList1">
    <w:name w:val="Number List 1"/>
    <w:rsid w:val="005F506D"/>
    <w:pPr>
      <w:numPr>
        <w:numId w:val="14"/>
      </w:numPr>
    </w:pPr>
  </w:style>
  <w:style w:type="paragraph" w:customStyle="1" w:styleId="opt">
    <w:name w:val="opt"/>
    <w:basedOn w:val="pf"/>
    <w:qFormat/>
    <w:rsid w:val="005F506D"/>
    <w:pPr>
      <w:spacing w:before="0"/>
    </w:pPr>
    <w:rPr>
      <w:rFonts w:ascii="Arial" w:hAnsi="Arial"/>
      <w:sz w:val="20"/>
    </w:rPr>
  </w:style>
  <w:style w:type="paragraph" w:customStyle="1" w:styleId="page">
    <w:name w:val="page"/>
    <w:basedOn w:val="pf"/>
    <w:qFormat/>
    <w:rsid w:val="005F506D"/>
  </w:style>
  <w:style w:type="paragraph" w:customStyle="1" w:styleId="patr">
    <w:name w:val="patr"/>
    <w:basedOn w:val="p"/>
    <w:rsid w:val="005F506D"/>
    <w:pPr>
      <w:spacing w:before="100"/>
      <w:ind w:firstLine="0"/>
      <w:jc w:val="right"/>
    </w:pPr>
  </w:style>
  <w:style w:type="paragraph" w:customStyle="1" w:styleId="patr1">
    <w:name w:val="patr1"/>
    <w:basedOn w:val="p"/>
    <w:rsid w:val="005F506D"/>
    <w:pPr>
      <w:ind w:firstLine="0"/>
      <w:jc w:val="right"/>
    </w:pPr>
  </w:style>
  <w:style w:type="paragraph" w:customStyle="1" w:styleId="pcon">
    <w:name w:val="pcon"/>
    <w:basedOn w:val="Normal"/>
    <w:rsid w:val="005F506D"/>
    <w:pPr>
      <w:widowControl w:val="0"/>
      <w:spacing w:line="360" w:lineRule="auto"/>
      <w:ind w:firstLine="0"/>
    </w:pPr>
    <w:rPr>
      <w:rFonts w:ascii="Times New Roman" w:eastAsia="Times New Roman" w:hAnsi="Times New Roman" w:cs="Times New Roman"/>
      <w:sz w:val="24"/>
      <w:szCs w:val="24"/>
    </w:rPr>
  </w:style>
  <w:style w:type="paragraph" w:customStyle="1" w:styleId="pn">
    <w:name w:val="pn"/>
    <w:basedOn w:val="Normal"/>
    <w:rsid w:val="005F506D"/>
    <w:pPr>
      <w:pageBreakBefore/>
      <w:spacing w:line="480" w:lineRule="auto"/>
      <w:ind w:firstLine="0"/>
      <w:jc w:val="center"/>
      <w:outlineLvl w:val="0"/>
    </w:pPr>
    <w:rPr>
      <w:rFonts w:ascii="Times New Roman" w:eastAsia="Times New Roman" w:hAnsi="Times New Roman" w:cs="Times New Roman"/>
      <w:sz w:val="56"/>
      <w:szCs w:val="20"/>
    </w:rPr>
  </w:style>
  <w:style w:type="character" w:customStyle="1" w:styleId="pnum">
    <w:name w:val="pnum"/>
    <w:rsid w:val="005F506D"/>
    <w:rPr>
      <w:color w:val="FF6600"/>
    </w:rPr>
  </w:style>
  <w:style w:type="paragraph" w:customStyle="1" w:styleId="psec">
    <w:name w:val="psec"/>
    <w:basedOn w:val="Normal"/>
    <w:next w:val="p"/>
    <w:autoRedefine/>
    <w:rsid w:val="005F506D"/>
    <w:pPr>
      <w:widowControl w:val="0"/>
      <w:tabs>
        <w:tab w:val="left" w:pos="6660"/>
      </w:tabs>
      <w:suppressAutoHyphens/>
      <w:autoSpaceDE w:val="0"/>
      <w:autoSpaceDN w:val="0"/>
      <w:adjustRightInd w:val="0"/>
      <w:spacing w:before="600" w:line="360" w:lineRule="auto"/>
      <w:ind w:firstLine="0"/>
      <w:textAlignment w:val="center"/>
    </w:pPr>
    <w:rPr>
      <w:rFonts w:ascii="Times New Roman" w:eastAsia="MS Mincho" w:hAnsi="Times New Roman" w:cs="Times New Roman"/>
      <w:color w:val="000000"/>
      <w:kern w:val="24"/>
      <w:sz w:val="24"/>
      <w:szCs w:val="24"/>
    </w:rPr>
  </w:style>
  <w:style w:type="paragraph" w:customStyle="1" w:styleId="psec1">
    <w:name w:val="psec1"/>
    <w:basedOn w:val="psec"/>
    <w:qFormat/>
    <w:rsid w:val="005F506D"/>
    <w:pPr>
      <w:spacing w:before="800"/>
    </w:pPr>
  </w:style>
  <w:style w:type="paragraph" w:customStyle="1" w:styleId="qu">
    <w:name w:val="qu"/>
    <w:qFormat/>
    <w:rsid w:val="005F506D"/>
    <w:pPr>
      <w:spacing w:after="120" w:line="480" w:lineRule="auto"/>
    </w:pPr>
    <w:rPr>
      <w:rFonts w:ascii="Times New Roman" w:eastAsia="Times New Roman" w:hAnsi="Times New Roman" w:cs="Times New Roman"/>
      <w:sz w:val="24"/>
      <w:szCs w:val="24"/>
    </w:rPr>
  </w:style>
  <w:style w:type="paragraph" w:customStyle="1" w:styleId="quf">
    <w:name w:val="quf"/>
    <w:qFormat/>
    <w:rsid w:val="005F506D"/>
    <w:pPr>
      <w:spacing w:before="100" w:after="0" w:line="480" w:lineRule="auto"/>
    </w:pPr>
    <w:rPr>
      <w:rFonts w:ascii="Times New Roman" w:eastAsia="Times New Roman" w:hAnsi="Times New Roman" w:cs="Times New Roman"/>
      <w:sz w:val="24"/>
      <w:szCs w:val="24"/>
    </w:rPr>
  </w:style>
  <w:style w:type="paragraph" w:customStyle="1" w:styleId="quh">
    <w:name w:val="quh"/>
    <w:qFormat/>
    <w:rsid w:val="005F506D"/>
    <w:pPr>
      <w:spacing w:before="300" w:after="0" w:line="240" w:lineRule="auto"/>
      <w:outlineLvl w:val="8"/>
    </w:pPr>
    <w:rPr>
      <w:rFonts w:ascii="Times New Roman" w:eastAsia="Times New Roman" w:hAnsi="Times New Roman" w:cs="Times New Roman"/>
      <w:sz w:val="36"/>
      <w:szCs w:val="24"/>
    </w:rPr>
  </w:style>
  <w:style w:type="paragraph" w:customStyle="1" w:styleId="quot">
    <w:name w:val="quot"/>
    <w:basedOn w:val="ep"/>
    <w:qFormat/>
    <w:rsid w:val="005F506D"/>
    <w:pPr>
      <w:spacing w:line="480" w:lineRule="auto"/>
    </w:pPr>
  </w:style>
  <w:style w:type="paragraph" w:customStyle="1" w:styleId="quotf">
    <w:name w:val="quotf"/>
    <w:basedOn w:val="quot"/>
    <w:next w:val="quot"/>
    <w:qFormat/>
    <w:rsid w:val="005F506D"/>
    <w:pPr>
      <w:spacing w:before="100"/>
    </w:pPr>
  </w:style>
  <w:style w:type="paragraph" w:customStyle="1" w:styleId="quotl">
    <w:name w:val="quotl"/>
    <w:basedOn w:val="quot"/>
    <w:qFormat/>
    <w:rsid w:val="005F506D"/>
    <w:pPr>
      <w:spacing w:after="100"/>
    </w:pPr>
  </w:style>
  <w:style w:type="paragraph" w:customStyle="1" w:styleId="quots">
    <w:name w:val="quots"/>
    <w:basedOn w:val="quot"/>
    <w:qFormat/>
    <w:rsid w:val="005F506D"/>
    <w:pPr>
      <w:spacing w:before="100" w:after="100"/>
    </w:pPr>
  </w:style>
  <w:style w:type="paragraph" w:customStyle="1" w:styleId="quott">
    <w:name w:val="quott"/>
    <w:basedOn w:val="ept"/>
    <w:qFormat/>
    <w:rsid w:val="005F506D"/>
    <w:pPr>
      <w:spacing w:line="480" w:lineRule="auto"/>
    </w:pPr>
  </w:style>
  <w:style w:type="paragraph" w:customStyle="1" w:styleId="rb">
    <w:name w:val="rb"/>
    <w:basedOn w:val="pf"/>
    <w:qFormat/>
    <w:rsid w:val="005F506D"/>
    <w:pPr>
      <w:spacing w:before="0"/>
    </w:pPr>
    <w:rPr>
      <w:rFonts w:ascii="Arial" w:hAnsi="Arial"/>
    </w:rPr>
  </w:style>
  <w:style w:type="paragraph" w:customStyle="1" w:styleId="rbc">
    <w:name w:val="rbc"/>
    <w:basedOn w:val="pf"/>
    <w:qFormat/>
    <w:rsid w:val="005F506D"/>
    <w:pPr>
      <w:spacing w:before="0"/>
    </w:pPr>
    <w:rPr>
      <w:rFonts w:ascii="Arial" w:hAnsi="Arial"/>
    </w:rPr>
  </w:style>
  <w:style w:type="paragraph" w:customStyle="1" w:styleId="rbi">
    <w:name w:val="rbi"/>
    <w:basedOn w:val="pf"/>
    <w:qFormat/>
    <w:rsid w:val="005F506D"/>
    <w:pPr>
      <w:spacing w:before="0"/>
    </w:pPr>
    <w:rPr>
      <w:rFonts w:ascii="Arial" w:hAnsi="Arial"/>
    </w:rPr>
  </w:style>
  <w:style w:type="character" w:customStyle="1" w:styleId="rc">
    <w:name w:val="rc"/>
    <w:rsid w:val="005F506D"/>
  </w:style>
  <w:style w:type="character" w:customStyle="1" w:styleId="red">
    <w:name w:val="red"/>
    <w:rsid w:val="005F506D"/>
    <w:rPr>
      <w:color w:val="FF0000"/>
    </w:rPr>
  </w:style>
  <w:style w:type="character" w:customStyle="1" w:styleId="red-b">
    <w:name w:val="red-b"/>
    <w:qFormat/>
    <w:rsid w:val="005F506D"/>
    <w:rPr>
      <w:b/>
      <w:color w:val="FF0000"/>
    </w:rPr>
  </w:style>
  <w:style w:type="character" w:customStyle="1" w:styleId="red-i">
    <w:name w:val="red-i"/>
    <w:rsid w:val="005F506D"/>
    <w:rPr>
      <w:i/>
      <w:color w:val="FF0000"/>
    </w:rPr>
  </w:style>
  <w:style w:type="character" w:customStyle="1" w:styleId="red-ob">
    <w:name w:val="red-ob"/>
    <w:rsid w:val="005F506D"/>
    <w:rPr>
      <w:rFonts w:ascii="Arial" w:hAnsi="Arial"/>
      <w:i/>
      <w:iCs/>
      <w:color w:val="FF0000"/>
    </w:rPr>
  </w:style>
  <w:style w:type="character" w:customStyle="1" w:styleId="red-sm">
    <w:name w:val="red-sm"/>
    <w:rsid w:val="005F506D"/>
    <w:rPr>
      <w:caps w:val="0"/>
      <w:smallCaps/>
      <w:color w:val="FF0000"/>
    </w:rPr>
  </w:style>
  <w:style w:type="character" w:customStyle="1" w:styleId="red-sm-i">
    <w:name w:val="red-sm-i"/>
    <w:qFormat/>
    <w:rsid w:val="005F506D"/>
    <w:rPr>
      <w:rFonts w:ascii="Times New Roman" w:hAnsi="Times New Roman"/>
      <w:b w:val="0"/>
      <w:bCs w:val="0"/>
      <w:i/>
      <w:iCs w:val="0"/>
      <w:caps w:val="0"/>
      <w:smallCaps/>
      <w:color w:val="FF0000"/>
    </w:rPr>
  </w:style>
  <w:style w:type="character" w:customStyle="1" w:styleId="red-sm-ob">
    <w:name w:val="red-sm-ob"/>
    <w:qFormat/>
    <w:rsid w:val="005F506D"/>
    <w:rPr>
      <w:rFonts w:ascii="Helvetica Light Oblique" w:hAnsi="Helvetica Light Oblique"/>
      <w:b w:val="0"/>
      <w:bCs w:val="0"/>
      <w:i w:val="0"/>
      <w:iCs w:val="0"/>
      <w:caps w:val="0"/>
      <w:smallCaps/>
      <w:color w:val="FF0000"/>
    </w:rPr>
  </w:style>
  <w:style w:type="paragraph" w:customStyle="1" w:styleId="rf0">
    <w:name w:val="rf"/>
    <w:rsid w:val="005F506D"/>
    <w:pPr>
      <w:widowControl w:val="0"/>
      <w:spacing w:after="0" w:line="360" w:lineRule="auto"/>
      <w:ind w:left="720" w:hanging="720"/>
    </w:pPr>
    <w:rPr>
      <w:rFonts w:ascii="Times New Roman" w:eastAsia="Times New Roman" w:hAnsi="Times New Roman" w:cs="Times New Roman"/>
      <w:sz w:val="24"/>
      <w:szCs w:val="24"/>
    </w:rPr>
  </w:style>
  <w:style w:type="paragraph" w:customStyle="1" w:styleId="rf1">
    <w:name w:val="rf1"/>
    <w:basedOn w:val="rf0"/>
    <w:qFormat/>
    <w:rsid w:val="005F506D"/>
  </w:style>
  <w:style w:type="paragraph" w:customStyle="1" w:styleId="rf2">
    <w:name w:val="rf2"/>
    <w:basedOn w:val="rf0"/>
    <w:qFormat/>
    <w:rsid w:val="005F506D"/>
  </w:style>
  <w:style w:type="paragraph" w:customStyle="1" w:styleId="rp">
    <w:name w:val="rp"/>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1">
    <w:name w:val="rp1"/>
    <w:qFormat/>
    <w:rsid w:val="005F506D"/>
    <w:pPr>
      <w:spacing w:after="0" w:line="480" w:lineRule="auto"/>
      <w:ind w:left="720"/>
    </w:pPr>
    <w:rPr>
      <w:rFonts w:ascii="Times New Roman" w:eastAsia="Times New Roman" w:hAnsi="Times New Roman" w:cs="Times New Roman"/>
      <w:sz w:val="24"/>
      <w:szCs w:val="24"/>
    </w:rPr>
  </w:style>
  <w:style w:type="paragraph" w:customStyle="1" w:styleId="rp1f">
    <w:name w:val="rp1f"/>
    <w:next w:val="rp1"/>
    <w:qFormat/>
    <w:rsid w:val="005F506D"/>
    <w:pPr>
      <w:spacing w:before="100" w:after="0" w:line="480" w:lineRule="auto"/>
      <w:ind w:left="720"/>
    </w:pPr>
    <w:rPr>
      <w:rFonts w:ascii="Times New Roman" w:eastAsia="Times New Roman" w:hAnsi="Times New Roman" w:cs="Times New Roman"/>
      <w:sz w:val="24"/>
      <w:szCs w:val="24"/>
    </w:rPr>
  </w:style>
  <w:style w:type="paragraph" w:customStyle="1" w:styleId="rp1l">
    <w:name w:val="rp1l"/>
    <w:qFormat/>
    <w:rsid w:val="005F506D"/>
    <w:pPr>
      <w:spacing w:after="100" w:line="480" w:lineRule="auto"/>
      <w:ind w:left="720"/>
    </w:pPr>
    <w:rPr>
      <w:rFonts w:ascii="Times New Roman" w:eastAsia="Times New Roman" w:hAnsi="Times New Roman" w:cs="Times New Roman"/>
      <w:sz w:val="24"/>
      <w:szCs w:val="24"/>
    </w:rPr>
  </w:style>
  <w:style w:type="paragraph" w:customStyle="1" w:styleId="rp1y">
    <w:name w:val="rp1y"/>
    <w:qFormat/>
    <w:rsid w:val="005F506D"/>
    <w:pPr>
      <w:spacing w:after="0" w:line="480" w:lineRule="auto"/>
      <w:ind w:left="720"/>
    </w:pPr>
    <w:rPr>
      <w:rFonts w:ascii="Times New Roman" w:eastAsia="Times New Roman" w:hAnsi="Times New Roman" w:cs="Times New Roman"/>
      <w:sz w:val="24"/>
      <w:szCs w:val="24"/>
    </w:rPr>
  </w:style>
  <w:style w:type="paragraph" w:customStyle="1" w:styleId="rpah">
    <w:name w:val="rpah"/>
    <w:qFormat/>
    <w:rsid w:val="005F506D"/>
    <w:pPr>
      <w:spacing w:before="360" w:after="60" w:line="240" w:lineRule="auto"/>
    </w:pPr>
    <w:rPr>
      <w:rFonts w:ascii="Arial" w:eastAsia="Times New Roman" w:hAnsi="Arial" w:cs="Times New Roman"/>
      <w:sz w:val="40"/>
      <w:szCs w:val="20"/>
    </w:rPr>
  </w:style>
  <w:style w:type="paragraph" w:customStyle="1" w:styleId="rpbh">
    <w:name w:val="rpbh"/>
    <w:qFormat/>
    <w:rsid w:val="005F506D"/>
    <w:pPr>
      <w:spacing w:before="360" w:after="0" w:line="480" w:lineRule="auto"/>
    </w:pPr>
    <w:rPr>
      <w:rFonts w:ascii="Arial" w:eastAsia="Times New Roman" w:hAnsi="Arial" w:cs="Times New Roman"/>
      <w:sz w:val="28"/>
      <w:szCs w:val="20"/>
    </w:rPr>
  </w:style>
  <w:style w:type="paragraph" w:customStyle="1" w:styleId="rpch">
    <w:name w:val="rpch"/>
    <w:qFormat/>
    <w:rsid w:val="005F506D"/>
    <w:pPr>
      <w:spacing w:after="0" w:line="480" w:lineRule="auto"/>
    </w:pPr>
    <w:rPr>
      <w:rFonts w:ascii="Arial" w:eastAsia="Times New Roman" w:hAnsi="Arial" w:cs="Times New Roman"/>
      <w:sz w:val="24"/>
      <w:szCs w:val="20"/>
    </w:rPr>
  </w:style>
  <w:style w:type="paragraph" w:customStyle="1" w:styleId="rpf">
    <w:name w:val="rpf"/>
    <w:next w:val="rp"/>
    <w:qFormat/>
    <w:rsid w:val="005F506D"/>
    <w:pPr>
      <w:spacing w:before="200" w:after="0" w:line="480" w:lineRule="auto"/>
      <w:ind w:left="360"/>
    </w:pPr>
    <w:rPr>
      <w:rFonts w:ascii="Times New Roman" w:eastAsia="Times New Roman" w:hAnsi="Times New Roman" w:cs="Times New Roman"/>
      <w:sz w:val="24"/>
      <w:szCs w:val="24"/>
    </w:rPr>
  </w:style>
  <w:style w:type="paragraph" w:customStyle="1" w:styleId="rpg">
    <w:name w:val="rpg"/>
    <w:qFormat/>
    <w:rsid w:val="005F506D"/>
    <w:pPr>
      <w:spacing w:after="0" w:line="480" w:lineRule="auto"/>
      <w:ind w:left="360"/>
    </w:pPr>
    <w:rPr>
      <w:rFonts w:ascii="Times New Roman" w:eastAsia="Times New Roman" w:hAnsi="Times New Roman" w:cs="Times New Roman"/>
      <w:sz w:val="24"/>
      <w:szCs w:val="24"/>
    </w:rPr>
  </w:style>
  <w:style w:type="paragraph" w:customStyle="1" w:styleId="rpg1">
    <w:name w:val="rpg1"/>
    <w:qFormat/>
    <w:rsid w:val="005F506D"/>
    <w:pPr>
      <w:spacing w:after="0" w:line="480" w:lineRule="auto"/>
      <w:ind w:left="720"/>
    </w:pPr>
    <w:rPr>
      <w:rFonts w:ascii="Times New Roman" w:eastAsia="Times New Roman" w:hAnsi="Times New Roman" w:cs="Times New Roman"/>
      <w:sz w:val="24"/>
      <w:szCs w:val="24"/>
    </w:rPr>
  </w:style>
  <w:style w:type="paragraph" w:customStyle="1" w:styleId="rph">
    <w:name w:val="rph"/>
    <w:qFormat/>
    <w:rsid w:val="005F506D"/>
    <w:pPr>
      <w:spacing w:after="0" w:line="240" w:lineRule="auto"/>
      <w:outlineLvl w:val="8"/>
    </w:pPr>
    <w:rPr>
      <w:rFonts w:ascii="Times New Roman" w:eastAsia="Times New Roman" w:hAnsi="Times New Roman" w:cs="Times New Roman"/>
      <w:sz w:val="48"/>
      <w:szCs w:val="24"/>
    </w:rPr>
  </w:style>
  <w:style w:type="paragraph" w:customStyle="1" w:styleId="rph1">
    <w:name w:val="rph1"/>
    <w:qFormat/>
    <w:rsid w:val="005F506D"/>
    <w:pPr>
      <w:spacing w:before="100" w:after="0" w:line="240" w:lineRule="auto"/>
    </w:pPr>
    <w:rPr>
      <w:rFonts w:ascii="Arial" w:eastAsia="Times New Roman" w:hAnsi="Arial" w:cs="Times New Roman"/>
      <w:sz w:val="28"/>
      <w:szCs w:val="24"/>
    </w:rPr>
  </w:style>
  <w:style w:type="paragraph" w:customStyle="1" w:styleId="rphn">
    <w:name w:val="rphn"/>
    <w:qFormat/>
    <w:rsid w:val="005F506D"/>
    <w:pPr>
      <w:spacing w:after="0" w:line="240" w:lineRule="auto"/>
    </w:pPr>
    <w:rPr>
      <w:rFonts w:ascii="Times New Roman" w:eastAsia="Times New Roman" w:hAnsi="Times New Roman" w:cs="Times New Roman"/>
      <w:sz w:val="24"/>
      <w:szCs w:val="24"/>
    </w:rPr>
  </w:style>
  <w:style w:type="paragraph" w:customStyle="1" w:styleId="rpil">
    <w:name w:val="rpil"/>
    <w:qFormat/>
    <w:rsid w:val="005F506D"/>
    <w:pPr>
      <w:spacing w:after="0" w:line="480" w:lineRule="auto"/>
      <w:ind w:left="1440" w:hanging="360"/>
    </w:pPr>
    <w:rPr>
      <w:rFonts w:ascii="Times New Roman" w:eastAsia="Times New Roman" w:hAnsi="Times New Roman" w:cs="Times New Roman"/>
      <w:sz w:val="24"/>
      <w:szCs w:val="24"/>
    </w:rPr>
  </w:style>
  <w:style w:type="paragraph" w:customStyle="1" w:styleId="rpil1">
    <w:name w:val="rpil1"/>
    <w:qFormat/>
    <w:rsid w:val="005F506D"/>
    <w:pPr>
      <w:spacing w:after="0" w:line="480" w:lineRule="auto"/>
      <w:ind w:left="1800" w:hanging="360"/>
    </w:pPr>
    <w:rPr>
      <w:rFonts w:ascii="Times New Roman" w:eastAsia="Times New Roman" w:hAnsi="Times New Roman" w:cs="Times New Roman"/>
      <w:sz w:val="24"/>
      <w:szCs w:val="24"/>
    </w:rPr>
  </w:style>
  <w:style w:type="paragraph" w:customStyle="1" w:styleId="rpil1f">
    <w:name w:val="rpil1f"/>
    <w:next w:val="rpil1"/>
    <w:qFormat/>
    <w:rsid w:val="005F506D"/>
    <w:pPr>
      <w:spacing w:before="240" w:after="0" w:line="480" w:lineRule="auto"/>
      <w:ind w:left="1800" w:hanging="360"/>
    </w:pPr>
    <w:rPr>
      <w:rFonts w:ascii="Times New Roman" w:eastAsia="Times New Roman" w:hAnsi="Times New Roman" w:cs="Times New Roman"/>
      <w:sz w:val="24"/>
      <w:szCs w:val="24"/>
    </w:rPr>
  </w:style>
  <w:style w:type="paragraph" w:customStyle="1" w:styleId="rpil1l">
    <w:name w:val="rpil1l"/>
    <w:qFormat/>
    <w:rsid w:val="005F506D"/>
    <w:pPr>
      <w:spacing w:after="240" w:line="480" w:lineRule="auto"/>
      <w:ind w:left="1800" w:hanging="360"/>
    </w:pPr>
    <w:rPr>
      <w:rFonts w:ascii="Times New Roman" w:eastAsia="Times New Roman" w:hAnsi="Times New Roman" w:cs="Times New Roman"/>
      <w:sz w:val="24"/>
      <w:szCs w:val="24"/>
    </w:rPr>
  </w:style>
  <w:style w:type="paragraph" w:customStyle="1" w:styleId="rpil1s">
    <w:name w:val="rpil1s"/>
    <w:qFormat/>
    <w:rsid w:val="005F506D"/>
    <w:pPr>
      <w:spacing w:before="240" w:after="240" w:line="480" w:lineRule="auto"/>
      <w:ind w:left="1800" w:hanging="360"/>
    </w:pPr>
    <w:rPr>
      <w:rFonts w:ascii="Times New Roman" w:eastAsia="Times New Roman" w:hAnsi="Times New Roman" w:cs="Times New Roman"/>
      <w:sz w:val="24"/>
      <w:szCs w:val="24"/>
    </w:rPr>
  </w:style>
  <w:style w:type="paragraph" w:customStyle="1" w:styleId="rpilf">
    <w:name w:val="rpilf"/>
    <w:next w:val="rpil"/>
    <w:qFormat/>
    <w:rsid w:val="005F506D"/>
    <w:pPr>
      <w:spacing w:before="240" w:after="0" w:line="480" w:lineRule="auto"/>
      <w:ind w:left="1440" w:hanging="360"/>
    </w:pPr>
    <w:rPr>
      <w:rFonts w:ascii="Times New Roman" w:eastAsia="Times New Roman" w:hAnsi="Times New Roman" w:cs="Times New Roman"/>
      <w:color w:val="000000"/>
      <w:kern w:val="44"/>
      <w:sz w:val="24"/>
      <w:szCs w:val="20"/>
    </w:rPr>
  </w:style>
  <w:style w:type="paragraph" w:customStyle="1" w:styleId="rpill">
    <w:name w:val="rpill"/>
    <w:qFormat/>
    <w:rsid w:val="005F506D"/>
    <w:pPr>
      <w:spacing w:after="240" w:line="480" w:lineRule="auto"/>
      <w:ind w:left="1440" w:hanging="360"/>
    </w:pPr>
    <w:rPr>
      <w:rFonts w:ascii="Times New Roman" w:eastAsia="Times New Roman" w:hAnsi="Times New Roman" w:cs="Times New Roman"/>
      <w:sz w:val="24"/>
      <w:szCs w:val="24"/>
    </w:rPr>
  </w:style>
  <w:style w:type="paragraph" w:customStyle="1" w:styleId="rpils">
    <w:name w:val="rpils"/>
    <w:qFormat/>
    <w:rsid w:val="005F506D"/>
    <w:pPr>
      <w:spacing w:before="240" w:after="240" w:line="480" w:lineRule="auto"/>
      <w:ind w:left="1440" w:hanging="360"/>
    </w:pPr>
    <w:rPr>
      <w:rFonts w:ascii="Times New Roman" w:eastAsia="Times New Roman" w:hAnsi="Times New Roman" w:cs="Times New Roman"/>
      <w:sz w:val="24"/>
      <w:szCs w:val="24"/>
    </w:rPr>
  </w:style>
  <w:style w:type="paragraph" w:customStyle="1" w:styleId="rpl">
    <w:name w:val="rpl"/>
    <w:qFormat/>
    <w:rsid w:val="005F506D"/>
    <w:pPr>
      <w:spacing w:after="100" w:line="480" w:lineRule="auto"/>
      <w:ind w:left="360"/>
    </w:pPr>
    <w:rPr>
      <w:rFonts w:ascii="Times New Roman" w:eastAsia="Times New Roman" w:hAnsi="Times New Roman" w:cs="Times New Roman"/>
      <w:sz w:val="24"/>
      <w:szCs w:val="24"/>
    </w:rPr>
  </w:style>
  <w:style w:type="paragraph" w:customStyle="1" w:styleId="rpn">
    <w:name w:val="rpn"/>
    <w:qFormat/>
    <w:rsid w:val="005F506D"/>
    <w:pPr>
      <w:spacing w:after="0" w:line="480" w:lineRule="auto"/>
      <w:ind w:left="360"/>
    </w:pPr>
    <w:rPr>
      <w:rFonts w:ascii="Times New Roman" w:eastAsia="Times New Roman" w:hAnsi="Times New Roman" w:cs="Times New Roman"/>
      <w:sz w:val="20"/>
      <w:szCs w:val="24"/>
    </w:rPr>
  </w:style>
  <w:style w:type="paragraph" w:customStyle="1" w:styleId="rpn1">
    <w:name w:val="rpn1"/>
    <w:qFormat/>
    <w:rsid w:val="005F506D"/>
    <w:pPr>
      <w:spacing w:after="0" w:line="480" w:lineRule="auto"/>
      <w:ind w:left="720"/>
    </w:pPr>
    <w:rPr>
      <w:rFonts w:ascii="Times New Roman" w:eastAsia="Times New Roman" w:hAnsi="Times New Roman" w:cs="Times New Roman"/>
      <w:sz w:val="20"/>
      <w:szCs w:val="24"/>
    </w:rPr>
  </w:style>
  <w:style w:type="paragraph" w:customStyle="1" w:styleId="rpnut">
    <w:name w:val="rpnut"/>
    <w:qFormat/>
    <w:rsid w:val="005F506D"/>
    <w:pPr>
      <w:spacing w:after="0" w:line="480" w:lineRule="auto"/>
      <w:ind w:left="360"/>
    </w:pPr>
    <w:rPr>
      <w:rFonts w:ascii="Arial" w:eastAsia="Times New Roman" w:hAnsi="Arial" w:cs="Times New Roman"/>
      <w:sz w:val="20"/>
      <w:szCs w:val="24"/>
    </w:rPr>
  </w:style>
  <w:style w:type="paragraph" w:customStyle="1" w:styleId="rpnut1">
    <w:name w:val="rpnut1"/>
    <w:qFormat/>
    <w:rsid w:val="005F506D"/>
    <w:pPr>
      <w:spacing w:after="0" w:line="480" w:lineRule="auto"/>
      <w:ind w:left="720"/>
    </w:pPr>
    <w:rPr>
      <w:rFonts w:ascii="Arial" w:eastAsia="Times New Roman" w:hAnsi="Arial" w:cs="Times New Roman"/>
      <w:sz w:val="20"/>
      <w:szCs w:val="24"/>
    </w:rPr>
  </w:style>
  <w:style w:type="paragraph" w:customStyle="1" w:styleId="rpt">
    <w:name w:val="rpt"/>
    <w:qFormat/>
    <w:rsid w:val="005F506D"/>
    <w:pPr>
      <w:spacing w:after="100" w:line="240" w:lineRule="auto"/>
      <w:jc w:val="center"/>
      <w:outlineLvl w:val="8"/>
    </w:pPr>
    <w:rPr>
      <w:rFonts w:ascii="Times New Roman" w:eastAsia="Times New Roman" w:hAnsi="Times New Roman" w:cs="Times New Roman"/>
      <w:sz w:val="60"/>
      <w:szCs w:val="20"/>
    </w:rPr>
  </w:style>
  <w:style w:type="paragraph" w:customStyle="1" w:styleId="rpt1">
    <w:name w:val="rpt1"/>
    <w:qFormat/>
    <w:rsid w:val="005F506D"/>
    <w:pPr>
      <w:spacing w:after="0" w:line="240" w:lineRule="auto"/>
      <w:jc w:val="center"/>
    </w:pPr>
    <w:rPr>
      <w:rFonts w:ascii="Arial" w:eastAsia="Times New Roman" w:hAnsi="Arial" w:cs="Times New Roman"/>
      <w:sz w:val="32"/>
      <w:szCs w:val="24"/>
    </w:rPr>
  </w:style>
  <w:style w:type="paragraph" w:customStyle="1" w:styleId="rpv">
    <w:name w:val="rpv"/>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v1">
    <w:name w:val="rpv1"/>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v1f">
    <w:name w:val="rpv1f"/>
    <w:next w:val="rpv1"/>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v1h">
    <w:name w:val="rpv1h"/>
    <w:qFormat/>
    <w:rsid w:val="005F506D"/>
    <w:pPr>
      <w:spacing w:after="0" w:line="480" w:lineRule="auto"/>
    </w:pPr>
    <w:rPr>
      <w:rFonts w:ascii="Arial" w:eastAsia="Times New Roman" w:hAnsi="Arial" w:cs="Times New Roman"/>
      <w:sz w:val="28"/>
      <w:szCs w:val="24"/>
    </w:rPr>
  </w:style>
  <w:style w:type="paragraph" w:customStyle="1" w:styleId="rpv1l">
    <w:name w:val="rpv1l"/>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vf">
    <w:name w:val="rpvf"/>
    <w:next w:val="rpv"/>
    <w:qFormat/>
    <w:rsid w:val="005F506D"/>
    <w:pPr>
      <w:spacing w:before="200" w:after="0" w:line="480" w:lineRule="auto"/>
      <w:ind w:left="1440" w:hanging="360"/>
    </w:pPr>
    <w:rPr>
      <w:rFonts w:ascii="Times New Roman" w:eastAsia="Times New Roman" w:hAnsi="Times New Roman" w:cs="Times New Roman"/>
      <w:sz w:val="24"/>
      <w:szCs w:val="24"/>
    </w:rPr>
  </w:style>
  <w:style w:type="paragraph" w:customStyle="1" w:styleId="rpvh">
    <w:name w:val="rpvh"/>
    <w:qFormat/>
    <w:rsid w:val="005F506D"/>
    <w:pPr>
      <w:spacing w:after="0" w:line="240" w:lineRule="auto"/>
    </w:pPr>
    <w:rPr>
      <w:rFonts w:ascii="Times New Roman" w:eastAsia="Times New Roman" w:hAnsi="Times New Roman" w:cs="Times New Roman"/>
      <w:sz w:val="48"/>
      <w:szCs w:val="24"/>
    </w:rPr>
  </w:style>
  <w:style w:type="paragraph" w:customStyle="1" w:styleId="rpvl">
    <w:name w:val="rpvl"/>
    <w:basedOn w:val="rpv"/>
    <w:rsid w:val="005F506D"/>
    <w:pPr>
      <w:spacing w:after="200"/>
    </w:pPr>
  </w:style>
  <w:style w:type="paragraph" w:customStyle="1" w:styleId="rpy">
    <w:name w:val="rpy"/>
    <w:qFormat/>
    <w:rsid w:val="005F506D"/>
    <w:pPr>
      <w:spacing w:after="0" w:line="480" w:lineRule="auto"/>
      <w:ind w:left="360"/>
    </w:pPr>
    <w:rPr>
      <w:rFonts w:ascii="Times New Roman" w:eastAsia="Times New Roman" w:hAnsi="Times New Roman" w:cs="Times New Roman"/>
      <w:sz w:val="24"/>
      <w:szCs w:val="24"/>
    </w:rPr>
  </w:style>
  <w:style w:type="paragraph" w:customStyle="1" w:styleId="rv">
    <w:name w:val="rv"/>
    <w:basedOn w:val="p"/>
    <w:rsid w:val="005F506D"/>
  </w:style>
  <w:style w:type="paragraph" w:customStyle="1" w:styleId="rvd">
    <w:name w:val="rvd"/>
    <w:rsid w:val="005F506D"/>
    <w:pPr>
      <w:spacing w:after="0" w:line="240" w:lineRule="auto"/>
    </w:pPr>
    <w:rPr>
      <w:rFonts w:ascii="Times New Roman" w:eastAsia="Times New Roman" w:hAnsi="Times New Roman" w:cs="Times New Roman"/>
      <w:sz w:val="24"/>
      <w:szCs w:val="24"/>
    </w:rPr>
  </w:style>
  <w:style w:type="paragraph" w:customStyle="1" w:styleId="rvt">
    <w:name w:val="rvt"/>
    <w:basedOn w:val="p"/>
    <w:rsid w:val="005F506D"/>
    <w:pPr>
      <w:ind w:left="4320" w:firstLine="0"/>
    </w:pPr>
  </w:style>
  <w:style w:type="paragraph" w:customStyle="1" w:styleId="sb1">
    <w:name w:val="sb1"/>
    <w:basedOn w:val="sb"/>
    <w:qFormat/>
    <w:rsid w:val="005F506D"/>
    <w:pPr>
      <w:ind w:left="1440"/>
    </w:pPr>
  </w:style>
  <w:style w:type="paragraph" w:customStyle="1" w:styleId="sb1f">
    <w:name w:val="sb1f"/>
    <w:basedOn w:val="sb1"/>
    <w:next w:val="sb1"/>
    <w:qFormat/>
    <w:rsid w:val="005F506D"/>
    <w:pPr>
      <w:spacing w:before="100"/>
      <w:ind w:firstLine="0"/>
    </w:pPr>
  </w:style>
  <w:style w:type="paragraph" w:customStyle="1" w:styleId="sb1t">
    <w:name w:val="sb1t"/>
    <w:basedOn w:val="sb1f"/>
    <w:qFormat/>
    <w:rsid w:val="005F506D"/>
    <w:rPr>
      <w:rFonts w:ascii="Arial" w:eastAsia="MS Mincho" w:hAnsi="Arial"/>
      <w:sz w:val="28"/>
    </w:rPr>
  </w:style>
  <w:style w:type="paragraph" w:customStyle="1" w:styleId="sb1h">
    <w:name w:val="sb1h"/>
    <w:basedOn w:val="sb1t"/>
    <w:qFormat/>
    <w:rsid w:val="005F506D"/>
    <w:rPr>
      <w:sz w:val="20"/>
    </w:rPr>
  </w:style>
  <w:style w:type="paragraph" w:customStyle="1" w:styleId="sb1l">
    <w:name w:val="sb1l"/>
    <w:basedOn w:val="sb1"/>
    <w:qFormat/>
    <w:rsid w:val="005F506D"/>
    <w:pPr>
      <w:spacing w:after="100"/>
    </w:pPr>
  </w:style>
  <w:style w:type="paragraph" w:customStyle="1" w:styleId="sbaft">
    <w:name w:val="sbaft"/>
    <w:basedOn w:val="sbf"/>
    <w:qFormat/>
    <w:rsid w:val="005F506D"/>
  </w:style>
  <w:style w:type="paragraph" w:customStyle="1" w:styleId="sbah">
    <w:name w:val="sbah"/>
    <w:next w:val="sbaft"/>
    <w:rsid w:val="005F506D"/>
    <w:pPr>
      <w:spacing w:before="100" w:after="0" w:line="240" w:lineRule="auto"/>
      <w:ind w:left="720"/>
    </w:pPr>
    <w:rPr>
      <w:rFonts w:ascii="Arial" w:eastAsia="Times New Roman" w:hAnsi="Arial" w:cs="Times New Roman"/>
      <w:sz w:val="32"/>
      <w:szCs w:val="20"/>
    </w:rPr>
  </w:style>
  <w:style w:type="paragraph" w:customStyle="1" w:styleId="sbahaft">
    <w:name w:val="sbahaft"/>
    <w:basedOn w:val="sbah"/>
    <w:next w:val="sbah"/>
    <w:qFormat/>
    <w:rsid w:val="005F506D"/>
    <w:pPr>
      <w:spacing w:before="0"/>
    </w:pPr>
    <w:rPr>
      <w:rFonts w:eastAsia="MS Mincho"/>
    </w:rPr>
  </w:style>
  <w:style w:type="paragraph" w:customStyle="1" w:styleId="sbbh">
    <w:name w:val="sbbh"/>
    <w:basedOn w:val="sbah"/>
    <w:rsid w:val="005F506D"/>
    <w:rPr>
      <w:sz w:val="24"/>
    </w:rPr>
  </w:style>
  <w:style w:type="paragraph" w:customStyle="1" w:styleId="sbbhaft">
    <w:name w:val="sbbhaft"/>
    <w:basedOn w:val="sbbh"/>
    <w:next w:val="sbaft"/>
    <w:qFormat/>
    <w:rsid w:val="005F506D"/>
    <w:pPr>
      <w:spacing w:before="0"/>
    </w:pPr>
  </w:style>
  <w:style w:type="paragraph" w:customStyle="1" w:styleId="sbbq">
    <w:name w:val="sbbq"/>
    <w:basedOn w:val="sb"/>
    <w:qFormat/>
    <w:rsid w:val="005F506D"/>
    <w:pPr>
      <w:spacing w:line="240" w:lineRule="auto"/>
      <w:ind w:left="1080" w:right="1080"/>
    </w:pPr>
  </w:style>
  <w:style w:type="paragraph" w:customStyle="1" w:styleId="sbbqaft">
    <w:name w:val="sbbqaft"/>
    <w:basedOn w:val="sbbq"/>
    <w:qFormat/>
    <w:rsid w:val="005F506D"/>
    <w:pPr>
      <w:spacing w:line="480" w:lineRule="auto"/>
      <w:ind w:firstLine="0"/>
    </w:pPr>
  </w:style>
  <w:style w:type="paragraph" w:customStyle="1" w:styleId="sbbqf">
    <w:name w:val="sbbqf"/>
    <w:basedOn w:val="sbbq"/>
    <w:qFormat/>
    <w:rsid w:val="005F506D"/>
    <w:pPr>
      <w:spacing w:before="100"/>
    </w:pPr>
  </w:style>
  <w:style w:type="paragraph" w:customStyle="1" w:styleId="sbbql">
    <w:name w:val="sbbql"/>
    <w:basedOn w:val="sbbq"/>
    <w:qFormat/>
    <w:rsid w:val="005F506D"/>
    <w:pPr>
      <w:spacing w:after="300"/>
    </w:pPr>
  </w:style>
  <w:style w:type="paragraph" w:customStyle="1" w:styleId="sbbqs">
    <w:name w:val="sbbqs"/>
    <w:basedOn w:val="sbbq"/>
    <w:qFormat/>
    <w:rsid w:val="005F506D"/>
    <w:pPr>
      <w:spacing w:before="100" w:after="300"/>
    </w:pPr>
  </w:style>
  <w:style w:type="paragraph" w:customStyle="1" w:styleId="sbcon">
    <w:name w:val="sbcon"/>
    <w:rsid w:val="005F506D"/>
    <w:pPr>
      <w:widowControl w:val="0"/>
      <w:suppressAutoHyphens/>
      <w:autoSpaceDE w:val="0"/>
      <w:autoSpaceDN w:val="0"/>
      <w:adjustRightInd w:val="0"/>
      <w:spacing w:after="0" w:line="480" w:lineRule="auto"/>
      <w:ind w:left="720" w:right="720"/>
      <w:textAlignment w:val="center"/>
    </w:pPr>
    <w:rPr>
      <w:rFonts w:ascii="Times New Roman" w:eastAsia="Times New Roman" w:hAnsi="Times New Roman" w:cs="Times New Roman"/>
      <w:color w:val="000000"/>
      <w:kern w:val="24"/>
      <w:sz w:val="20"/>
      <w:szCs w:val="24"/>
    </w:rPr>
  </w:style>
  <w:style w:type="paragraph" w:customStyle="1" w:styleId="sbnl2">
    <w:name w:val="sbnl2"/>
    <w:basedOn w:val="sbnl1"/>
    <w:rsid w:val="005F506D"/>
    <w:pPr>
      <w:ind w:left="2520"/>
    </w:pPr>
  </w:style>
  <w:style w:type="paragraph" w:customStyle="1" w:styleId="sbnl2f">
    <w:name w:val="sbnl2f"/>
    <w:basedOn w:val="sbnl1f"/>
    <w:rsid w:val="005F506D"/>
    <w:pPr>
      <w:ind w:left="2520"/>
    </w:pPr>
  </w:style>
  <w:style w:type="paragraph" w:customStyle="1" w:styleId="sbnl2l">
    <w:name w:val="sbnl2l"/>
    <w:basedOn w:val="sbnl1l"/>
    <w:rsid w:val="005F506D"/>
    <w:pPr>
      <w:ind w:left="2520"/>
    </w:pPr>
  </w:style>
  <w:style w:type="paragraph" w:customStyle="1" w:styleId="sbnl2p">
    <w:name w:val="sbnl2p"/>
    <w:basedOn w:val="sbnl2"/>
    <w:rsid w:val="005F506D"/>
    <w:pPr>
      <w:ind w:firstLine="360"/>
    </w:pPr>
    <w:rPr>
      <w:szCs w:val="24"/>
    </w:rPr>
  </w:style>
  <w:style w:type="paragraph" w:customStyle="1" w:styleId="sbnl2s">
    <w:name w:val="sbnl2s"/>
    <w:basedOn w:val="sbnl2"/>
    <w:rsid w:val="005F506D"/>
    <w:pPr>
      <w:spacing w:before="100" w:after="100"/>
    </w:pPr>
  </w:style>
  <w:style w:type="paragraph" w:customStyle="1" w:styleId="sbnl3">
    <w:name w:val="sbnl3"/>
    <w:basedOn w:val="p"/>
    <w:rsid w:val="005F506D"/>
    <w:pPr>
      <w:ind w:left="2160"/>
    </w:pPr>
    <w:rPr>
      <w:sz w:val="20"/>
    </w:rPr>
  </w:style>
  <w:style w:type="paragraph" w:customStyle="1" w:styleId="sbnl3f">
    <w:name w:val="sbnl3f"/>
    <w:basedOn w:val="p"/>
    <w:rsid w:val="005F506D"/>
    <w:pPr>
      <w:spacing w:before="100"/>
      <w:ind w:left="2160"/>
    </w:pPr>
    <w:rPr>
      <w:sz w:val="20"/>
    </w:rPr>
  </w:style>
  <w:style w:type="paragraph" w:customStyle="1" w:styleId="sbnl3l">
    <w:name w:val="sbnl3l"/>
    <w:basedOn w:val="p"/>
    <w:rsid w:val="005F506D"/>
    <w:pPr>
      <w:spacing w:after="100"/>
      <w:ind w:left="2160"/>
    </w:pPr>
    <w:rPr>
      <w:sz w:val="20"/>
    </w:rPr>
  </w:style>
  <w:style w:type="paragraph" w:customStyle="1" w:styleId="sbnl4">
    <w:name w:val="sbnl4"/>
    <w:basedOn w:val="p"/>
    <w:rsid w:val="005F506D"/>
    <w:pPr>
      <w:ind w:left="2520" w:right="720"/>
    </w:pPr>
    <w:rPr>
      <w:sz w:val="20"/>
    </w:rPr>
  </w:style>
  <w:style w:type="paragraph" w:customStyle="1" w:styleId="sbnl4f">
    <w:name w:val="sbnl4f"/>
    <w:basedOn w:val="p"/>
    <w:rsid w:val="005F506D"/>
    <w:pPr>
      <w:spacing w:before="100"/>
      <w:ind w:left="2520" w:right="720"/>
    </w:pPr>
    <w:rPr>
      <w:sz w:val="20"/>
    </w:rPr>
  </w:style>
  <w:style w:type="paragraph" w:customStyle="1" w:styleId="sbnl4l">
    <w:name w:val="sbnl4l"/>
    <w:basedOn w:val="p"/>
    <w:rsid w:val="005F506D"/>
    <w:pPr>
      <w:spacing w:after="100"/>
      <w:ind w:left="2520" w:right="720"/>
    </w:pPr>
    <w:rPr>
      <w:sz w:val="20"/>
    </w:rPr>
  </w:style>
  <w:style w:type="paragraph" w:customStyle="1" w:styleId="sbnl5">
    <w:name w:val="sbnl5"/>
    <w:basedOn w:val="p"/>
    <w:rsid w:val="005F506D"/>
    <w:pPr>
      <w:ind w:left="2880" w:right="720"/>
    </w:pPr>
    <w:rPr>
      <w:sz w:val="20"/>
    </w:rPr>
  </w:style>
  <w:style w:type="paragraph" w:customStyle="1" w:styleId="sbnl5f">
    <w:name w:val="sbnl5f"/>
    <w:basedOn w:val="p"/>
    <w:rsid w:val="005F506D"/>
    <w:pPr>
      <w:spacing w:before="100"/>
      <w:ind w:left="2880" w:right="720"/>
    </w:pPr>
    <w:rPr>
      <w:sz w:val="20"/>
    </w:rPr>
  </w:style>
  <w:style w:type="paragraph" w:customStyle="1" w:styleId="sbnl5l">
    <w:name w:val="sbnl5l"/>
    <w:basedOn w:val="p"/>
    <w:rsid w:val="005F506D"/>
    <w:pPr>
      <w:spacing w:after="100"/>
      <w:ind w:left="2880" w:right="720"/>
    </w:pPr>
    <w:rPr>
      <w:sz w:val="20"/>
    </w:rPr>
  </w:style>
  <w:style w:type="paragraph" w:customStyle="1" w:styleId="sbo">
    <w:name w:val="sbo"/>
    <w:basedOn w:val="sbs"/>
    <w:qFormat/>
    <w:rsid w:val="005F506D"/>
    <w:pPr>
      <w:spacing w:before="0"/>
      <w:ind w:firstLine="0"/>
    </w:pPr>
  </w:style>
  <w:style w:type="paragraph" w:customStyle="1" w:styleId="sbsl">
    <w:name w:val="sbsl"/>
    <w:basedOn w:val="sbnl"/>
    <w:qFormat/>
    <w:rsid w:val="005F506D"/>
  </w:style>
  <w:style w:type="paragraph" w:customStyle="1" w:styleId="sbsl1">
    <w:name w:val="sbsl1"/>
    <w:basedOn w:val="sbsl"/>
    <w:qFormat/>
    <w:rsid w:val="005F506D"/>
    <w:pPr>
      <w:ind w:left="2160"/>
    </w:pPr>
    <w:rPr>
      <w:rFonts w:eastAsia="MS Mincho"/>
    </w:rPr>
  </w:style>
  <w:style w:type="paragraph" w:customStyle="1" w:styleId="sbslf">
    <w:name w:val="sbslf"/>
    <w:basedOn w:val="sbnlf"/>
    <w:qFormat/>
    <w:rsid w:val="005F506D"/>
  </w:style>
  <w:style w:type="paragraph" w:customStyle="1" w:styleId="sbsl1f">
    <w:name w:val="sbsl1f"/>
    <w:basedOn w:val="sbslf"/>
    <w:qFormat/>
    <w:rsid w:val="005F506D"/>
    <w:pPr>
      <w:ind w:left="2160"/>
    </w:pPr>
    <w:rPr>
      <w:rFonts w:eastAsia="MS Mincho"/>
    </w:rPr>
  </w:style>
  <w:style w:type="paragraph" w:customStyle="1" w:styleId="sbsll">
    <w:name w:val="sbsll"/>
    <w:basedOn w:val="sbnll"/>
    <w:qFormat/>
    <w:rsid w:val="005F506D"/>
  </w:style>
  <w:style w:type="paragraph" w:customStyle="1" w:styleId="sbsl1l">
    <w:name w:val="sbsl1l"/>
    <w:basedOn w:val="sbsll"/>
    <w:qFormat/>
    <w:rsid w:val="005F506D"/>
    <w:pPr>
      <w:ind w:left="2160"/>
    </w:pPr>
    <w:rPr>
      <w:rFonts w:eastAsia="MS Mincho"/>
    </w:rPr>
  </w:style>
  <w:style w:type="paragraph" w:customStyle="1" w:styleId="sbsl1s">
    <w:name w:val="sbsl1s"/>
    <w:basedOn w:val="sbsl1f"/>
    <w:qFormat/>
    <w:rsid w:val="005F506D"/>
    <w:pPr>
      <w:spacing w:after="100"/>
    </w:pPr>
  </w:style>
  <w:style w:type="paragraph" w:customStyle="1" w:styleId="sbsl2">
    <w:name w:val="sbsl2"/>
    <w:basedOn w:val="sbsl1"/>
    <w:qFormat/>
    <w:rsid w:val="005F506D"/>
    <w:pPr>
      <w:ind w:left="2520"/>
    </w:pPr>
  </w:style>
  <w:style w:type="paragraph" w:customStyle="1" w:styleId="sbsl2f">
    <w:name w:val="sbsl2f"/>
    <w:basedOn w:val="sbsl1f"/>
    <w:qFormat/>
    <w:rsid w:val="005F506D"/>
    <w:pPr>
      <w:ind w:left="2520"/>
    </w:pPr>
  </w:style>
  <w:style w:type="paragraph" w:customStyle="1" w:styleId="sbsl2l">
    <w:name w:val="sbsl2l"/>
    <w:basedOn w:val="sbsl1l"/>
    <w:qFormat/>
    <w:rsid w:val="005F506D"/>
    <w:pPr>
      <w:ind w:left="2520"/>
    </w:pPr>
  </w:style>
  <w:style w:type="paragraph" w:customStyle="1" w:styleId="sbsl2s">
    <w:name w:val="sbsl2s"/>
    <w:basedOn w:val="sbsl2f"/>
    <w:qFormat/>
    <w:rsid w:val="005F506D"/>
    <w:pPr>
      <w:spacing w:after="100"/>
    </w:pPr>
  </w:style>
  <w:style w:type="paragraph" w:customStyle="1" w:styleId="sbsl3">
    <w:name w:val="sbsl3"/>
    <w:basedOn w:val="sbsl1"/>
    <w:qFormat/>
    <w:rsid w:val="005F506D"/>
    <w:pPr>
      <w:ind w:left="2880"/>
    </w:pPr>
  </w:style>
  <w:style w:type="paragraph" w:customStyle="1" w:styleId="sbsl3f">
    <w:name w:val="sbsl3f"/>
    <w:basedOn w:val="sbsl1f"/>
    <w:qFormat/>
    <w:rsid w:val="005F506D"/>
    <w:pPr>
      <w:ind w:left="2880"/>
    </w:pPr>
  </w:style>
  <w:style w:type="paragraph" w:customStyle="1" w:styleId="sbsl3l">
    <w:name w:val="sbsl3l"/>
    <w:basedOn w:val="sbsl1l"/>
    <w:qFormat/>
    <w:rsid w:val="005F506D"/>
    <w:pPr>
      <w:ind w:left="2880"/>
    </w:pPr>
  </w:style>
  <w:style w:type="paragraph" w:customStyle="1" w:styleId="sbsl3s">
    <w:name w:val="sbsl3s"/>
    <w:basedOn w:val="sbsl3f"/>
    <w:qFormat/>
    <w:rsid w:val="005F506D"/>
    <w:pPr>
      <w:spacing w:after="100"/>
    </w:pPr>
  </w:style>
  <w:style w:type="paragraph" w:customStyle="1" w:styleId="sbslif">
    <w:name w:val="sbslif"/>
    <w:basedOn w:val="sbslf"/>
    <w:qFormat/>
    <w:rsid w:val="005F506D"/>
    <w:pPr>
      <w:ind w:left="2520"/>
    </w:pPr>
    <w:rPr>
      <w:rFonts w:eastAsia="MS Mincho"/>
    </w:rPr>
  </w:style>
  <w:style w:type="paragraph" w:customStyle="1" w:styleId="sbsli">
    <w:name w:val="sbsli"/>
    <w:basedOn w:val="sbslif"/>
    <w:qFormat/>
    <w:rsid w:val="005F506D"/>
    <w:pPr>
      <w:spacing w:before="0"/>
    </w:pPr>
  </w:style>
  <w:style w:type="paragraph" w:customStyle="1" w:styleId="sbslil">
    <w:name w:val="sbslil"/>
    <w:basedOn w:val="sbsli"/>
    <w:qFormat/>
    <w:rsid w:val="005F506D"/>
    <w:pPr>
      <w:spacing w:after="100"/>
    </w:pPr>
  </w:style>
  <w:style w:type="paragraph" w:customStyle="1" w:styleId="sbsls">
    <w:name w:val="sbsls"/>
    <w:basedOn w:val="sbsl"/>
    <w:qFormat/>
    <w:rsid w:val="005F506D"/>
    <w:pPr>
      <w:spacing w:before="100" w:after="100"/>
    </w:pPr>
    <w:rPr>
      <w:rFonts w:eastAsia="MS Mincho"/>
    </w:rPr>
  </w:style>
  <w:style w:type="paragraph" w:customStyle="1" w:styleId="sbslt">
    <w:name w:val="sbslt"/>
    <w:basedOn w:val="sbsl"/>
    <w:qFormat/>
    <w:rsid w:val="005F506D"/>
    <w:pPr>
      <w:spacing w:after="100"/>
      <w:ind w:firstLine="0"/>
      <w:jc w:val="right"/>
    </w:pPr>
    <w:rPr>
      <w:rFonts w:eastAsia="MS Mincho"/>
    </w:rPr>
  </w:style>
  <w:style w:type="paragraph" w:customStyle="1" w:styleId="sbul2">
    <w:name w:val="sbul2"/>
    <w:basedOn w:val="sbul1"/>
    <w:rsid w:val="005F506D"/>
    <w:pPr>
      <w:ind w:left="2520"/>
    </w:pPr>
  </w:style>
  <w:style w:type="paragraph" w:customStyle="1" w:styleId="sbul2f">
    <w:name w:val="sbul2f"/>
    <w:basedOn w:val="sbul1f"/>
    <w:rsid w:val="005F506D"/>
    <w:pPr>
      <w:ind w:left="2520"/>
    </w:pPr>
  </w:style>
  <w:style w:type="paragraph" w:customStyle="1" w:styleId="sbul2l">
    <w:name w:val="sbul2l"/>
    <w:basedOn w:val="sbul1l"/>
    <w:rsid w:val="005F506D"/>
    <w:pPr>
      <w:ind w:left="2520"/>
    </w:pPr>
  </w:style>
  <w:style w:type="paragraph" w:customStyle="1" w:styleId="sbul2p">
    <w:name w:val="sbul2p"/>
    <w:basedOn w:val="sbul2"/>
    <w:rsid w:val="005F506D"/>
    <w:pPr>
      <w:ind w:firstLine="360"/>
    </w:pPr>
    <w:rPr>
      <w:szCs w:val="24"/>
    </w:rPr>
  </w:style>
  <w:style w:type="paragraph" w:customStyle="1" w:styleId="sbul2s">
    <w:name w:val="sbul2s"/>
    <w:basedOn w:val="sbul2f"/>
    <w:rsid w:val="005F506D"/>
    <w:pPr>
      <w:spacing w:after="100"/>
    </w:pPr>
  </w:style>
  <w:style w:type="paragraph" w:customStyle="1" w:styleId="secbot">
    <w:name w:val="secbot"/>
    <w:qFormat/>
    <w:rsid w:val="005F506D"/>
    <w:pPr>
      <w:spacing w:after="0" w:line="480" w:lineRule="auto"/>
      <w:ind w:firstLine="360"/>
    </w:pPr>
    <w:rPr>
      <w:rFonts w:ascii="Times New Roman" w:eastAsia="Times New Roman" w:hAnsi="Times New Roman" w:cs="Times New Roman"/>
      <w:sz w:val="24"/>
      <w:szCs w:val="24"/>
    </w:rPr>
  </w:style>
  <w:style w:type="paragraph" w:customStyle="1" w:styleId="sectop">
    <w:name w:val="sectop"/>
    <w:qFormat/>
    <w:rsid w:val="005F506D"/>
    <w:pPr>
      <w:spacing w:after="0" w:line="480" w:lineRule="auto"/>
      <w:ind w:firstLine="360"/>
    </w:pPr>
    <w:rPr>
      <w:rFonts w:ascii="Times New Roman" w:eastAsia="Times New Roman" w:hAnsi="Times New Roman" w:cs="Times New Roman"/>
      <w:sz w:val="24"/>
      <w:szCs w:val="24"/>
    </w:rPr>
  </w:style>
  <w:style w:type="paragraph" w:customStyle="1" w:styleId="ser">
    <w:name w:val="ser"/>
    <w:basedOn w:val="Normal"/>
    <w:uiPriority w:val="99"/>
    <w:rsid w:val="005F506D"/>
    <w:pPr>
      <w:widowControl w:val="0"/>
      <w:suppressAutoHyphens/>
      <w:autoSpaceDE w:val="0"/>
      <w:autoSpaceDN w:val="0"/>
      <w:adjustRightInd w:val="0"/>
      <w:spacing w:line="360" w:lineRule="auto"/>
      <w:ind w:firstLine="0"/>
      <w:textAlignment w:val="center"/>
    </w:pPr>
    <w:rPr>
      <w:rFonts w:ascii="Times New Roman" w:eastAsia="Times New Roman" w:hAnsi="Times New Roman" w:cs="Times New Roman"/>
      <w:color w:val="000000"/>
      <w:kern w:val="24"/>
      <w:sz w:val="24"/>
      <w:szCs w:val="24"/>
    </w:rPr>
  </w:style>
  <w:style w:type="paragraph" w:customStyle="1" w:styleId="ser1">
    <w:name w:val="ser1"/>
    <w:basedOn w:val="p"/>
    <w:rsid w:val="005F506D"/>
  </w:style>
  <w:style w:type="paragraph" w:customStyle="1" w:styleId="ser2">
    <w:name w:val="ser2"/>
    <w:basedOn w:val="p"/>
    <w:rsid w:val="005F506D"/>
    <w:pPr>
      <w:ind w:left="720"/>
    </w:pPr>
  </w:style>
  <w:style w:type="paragraph" w:customStyle="1" w:styleId="serp">
    <w:name w:val="serp"/>
    <w:basedOn w:val="ser"/>
    <w:uiPriority w:val="99"/>
    <w:qFormat/>
    <w:rsid w:val="005F506D"/>
    <w:pPr>
      <w:ind w:firstLine="720"/>
    </w:pPr>
  </w:style>
  <w:style w:type="paragraph" w:customStyle="1" w:styleId="seraft">
    <w:name w:val="seraft"/>
    <w:basedOn w:val="serp"/>
    <w:rsid w:val="005F506D"/>
    <w:pPr>
      <w:ind w:firstLine="0"/>
    </w:pPr>
    <w:rPr>
      <w:rFonts w:eastAsia="MS Mincho"/>
    </w:rPr>
  </w:style>
  <w:style w:type="paragraph" w:customStyle="1" w:styleId="serah">
    <w:name w:val="serah"/>
    <w:basedOn w:val="Normal"/>
    <w:uiPriority w:val="99"/>
    <w:rsid w:val="005F506D"/>
    <w:pPr>
      <w:widowControl w:val="0"/>
      <w:suppressAutoHyphens/>
      <w:autoSpaceDE w:val="0"/>
      <w:autoSpaceDN w:val="0"/>
      <w:adjustRightInd w:val="0"/>
      <w:spacing w:before="100" w:line="360" w:lineRule="auto"/>
      <w:ind w:firstLine="0"/>
      <w:textAlignment w:val="center"/>
    </w:pPr>
    <w:rPr>
      <w:rFonts w:ascii="Arial" w:eastAsia="Times New Roman" w:hAnsi="Arial" w:cs="Times New Roman"/>
      <w:color w:val="000000"/>
      <w:kern w:val="24"/>
      <w:sz w:val="28"/>
      <w:szCs w:val="24"/>
    </w:rPr>
  </w:style>
  <w:style w:type="paragraph" w:customStyle="1" w:styleId="serahaft">
    <w:name w:val="serahaft"/>
    <w:basedOn w:val="serah"/>
    <w:qFormat/>
    <w:rsid w:val="005F506D"/>
    <w:pPr>
      <w:spacing w:before="0"/>
    </w:pPr>
  </w:style>
  <w:style w:type="paragraph" w:customStyle="1" w:styleId="serau">
    <w:name w:val="serau"/>
    <w:basedOn w:val="Normal"/>
    <w:rsid w:val="005F506D"/>
    <w:pPr>
      <w:widowControl w:val="0"/>
      <w:suppressAutoHyphens/>
      <w:autoSpaceDE w:val="0"/>
      <w:autoSpaceDN w:val="0"/>
      <w:adjustRightInd w:val="0"/>
      <w:spacing w:after="100" w:line="360" w:lineRule="auto"/>
      <w:ind w:firstLine="0"/>
      <w:textAlignment w:val="center"/>
    </w:pPr>
    <w:rPr>
      <w:rFonts w:ascii="Times New Roman" w:eastAsia="Times New Roman" w:hAnsi="Times New Roman" w:cs="Times New Roman"/>
      <w:color w:val="000000"/>
      <w:kern w:val="24"/>
      <w:sz w:val="24"/>
      <w:szCs w:val="24"/>
    </w:rPr>
  </w:style>
  <w:style w:type="paragraph" w:customStyle="1" w:styleId="serbh">
    <w:name w:val="serbh"/>
    <w:basedOn w:val="p"/>
    <w:uiPriority w:val="99"/>
    <w:rsid w:val="005F506D"/>
    <w:pPr>
      <w:spacing w:before="100"/>
      <w:ind w:firstLine="0"/>
    </w:pPr>
    <w:rPr>
      <w:rFonts w:ascii="Arial" w:hAnsi="Arial"/>
    </w:rPr>
  </w:style>
  <w:style w:type="paragraph" w:customStyle="1" w:styleId="serf">
    <w:name w:val="serf"/>
    <w:basedOn w:val="ser"/>
    <w:rsid w:val="005F506D"/>
    <w:pPr>
      <w:spacing w:before="240"/>
    </w:pPr>
  </w:style>
  <w:style w:type="paragraph" w:customStyle="1" w:styleId="serpf">
    <w:name w:val="serpf"/>
    <w:basedOn w:val="serp"/>
    <w:qFormat/>
    <w:rsid w:val="005F506D"/>
    <w:pPr>
      <w:spacing w:before="240"/>
      <w:ind w:firstLine="0"/>
    </w:pPr>
  </w:style>
  <w:style w:type="paragraph" w:customStyle="1" w:styleId="sers">
    <w:name w:val="sers"/>
    <w:basedOn w:val="Normal"/>
    <w:rsid w:val="005F506D"/>
    <w:pPr>
      <w:widowControl w:val="0"/>
      <w:suppressAutoHyphens/>
      <w:autoSpaceDE w:val="0"/>
      <w:autoSpaceDN w:val="0"/>
      <w:adjustRightInd w:val="0"/>
      <w:spacing w:line="360" w:lineRule="auto"/>
      <w:ind w:firstLine="0"/>
      <w:textAlignment w:val="center"/>
    </w:pPr>
    <w:rPr>
      <w:rFonts w:ascii="Times Semibold" w:eastAsia="Times New Roman" w:hAnsi="Times Semibold" w:cs="Times New Roman"/>
      <w:color w:val="000000"/>
      <w:kern w:val="24"/>
      <w:sz w:val="24"/>
      <w:szCs w:val="24"/>
    </w:rPr>
  </w:style>
  <w:style w:type="paragraph" w:customStyle="1" w:styleId="sert">
    <w:name w:val="sert"/>
    <w:basedOn w:val="Normal"/>
    <w:uiPriority w:val="99"/>
    <w:rsid w:val="005F506D"/>
    <w:pPr>
      <w:widowControl w:val="0"/>
      <w:suppressAutoHyphens/>
      <w:autoSpaceDE w:val="0"/>
      <w:autoSpaceDN w:val="0"/>
      <w:adjustRightInd w:val="0"/>
      <w:spacing w:line="360" w:lineRule="auto"/>
      <w:ind w:firstLine="0"/>
      <w:textAlignment w:val="center"/>
    </w:pPr>
    <w:rPr>
      <w:rFonts w:ascii="Times New Roman" w:eastAsia="Times New Roman" w:hAnsi="Times New Roman" w:cs="Times New Roman"/>
      <w:color w:val="000000"/>
      <w:kern w:val="24"/>
      <w:sz w:val="40"/>
      <w:szCs w:val="24"/>
    </w:rPr>
  </w:style>
  <w:style w:type="paragraph" w:customStyle="1" w:styleId="sh">
    <w:name w:val="sh"/>
    <w:basedOn w:val="pt"/>
    <w:qFormat/>
    <w:rsid w:val="005F506D"/>
    <w:pPr>
      <w:outlineLvl w:val="8"/>
    </w:pPr>
  </w:style>
  <w:style w:type="paragraph" w:customStyle="1" w:styleId="sl1">
    <w:name w:val="sl1"/>
    <w:basedOn w:val="sl"/>
    <w:qFormat/>
    <w:rsid w:val="005F506D"/>
    <w:pPr>
      <w:ind w:left="1080"/>
    </w:pPr>
  </w:style>
  <w:style w:type="paragraph" w:customStyle="1" w:styleId="sl1f">
    <w:name w:val="sl1f"/>
    <w:basedOn w:val="sl1"/>
    <w:next w:val="sl1"/>
    <w:qFormat/>
    <w:rsid w:val="005F506D"/>
    <w:pPr>
      <w:spacing w:before="100"/>
    </w:pPr>
  </w:style>
  <w:style w:type="paragraph" w:customStyle="1" w:styleId="sl1l">
    <w:name w:val="sl1l"/>
    <w:basedOn w:val="sl1f"/>
    <w:qFormat/>
    <w:rsid w:val="005F506D"/>
    <w:pPr>
      <w:spacing w:before="0" w:after="100"/>
    </w:pPr>
  </w:style>
  <w:style w:type="paragraph" w:customStyle="1" w:styleId="sl2">
    <w:name w:val="sl2"/>
    <w:basedOn w:val="sl1"/>
    <w:qFormat/>
    <w:rsid w:val="005F506D"/>
    <w:pPr>
      <w:ind w:left="1440"/>
    </w:pPr>
  </w:style>
  <w:style w:type="paragraph" w:customStyle="1" w:styleId="sl2f">
    <w:name w:val="sl2f"/>
    <w:basedOn w:val="sl2"/>
    <w:next w:val="sl2"/>
    <w:qFormat/>
    <w:rsid w:val="005F506D"/>
    <w:pPr>
      <w:spacing w:before="100"/>
    </w:pPr>
  </w:style>
  <w:style w:type="paragraph" w:customStyle="1" w:styleId="sl2l">
    <w:name w:val="sl2l"/>
    <w:basedOn w:val="sl2f"/>
    <w:qFormat/>
    <w:rsid w:val="005F506D"/>
    <w:pPr>
      <w:spacing w:before="0" w:after="100"/>
    </w:pPr>
  </w:style>
  <w:style w:type="paragraph" w:customStyle="1" w:styleId="sl3">
    <w:name w:val="sl3"/>
    <w:basedOn w:val="sl2"/>
    <w:qFormat/>
    <w:rsid w:val="005F506D"/>
    <w:pPr>
      <w:ind w:left="1800"/>
    </w:pPr>
  </w:style>
  <w:style w:type="paragraph" w:customStyle="1" w:styleId="sl3f">
    <w:name w:val="sl3f"/>
    <w:basedOn w:val="sl3"/>
    <w:next w:val="sl3"/>
    <w:qFormat/>
    <w:rsid w:val="005F506D"/>
    <w:pPr>
      <w:spacing w:before="100"/>
    </w:pPr>
  </w:style>
  <w:style w:type="paragraph" w:customStyle="1" w:styleId="sl3l">
    <w:name w:val="sl3l"/>
    <w:basedOn w:val="sl3f"/>
    <w:qFormat/>
    <w:rsid w:val="005F506D"/>
    <w:pPr>
      <w:spacing w:before="0" w:after="100"/>
    </w:pPr>
  </w:style>
  <w:style w:type="paragraph" w:customStyle="1" w:styleId="sl4">
    <w:name w:val="sl4"/>
    <w:basedOn w:val="sl1"/>
    <w:qFormat/>
    <w:rsid w:val="005F506D"/>
    <w:pPr>
      <w:ind w:left="2160" w:right="2160"/>
    </w:pPr>
    <w:rPr>
      <w:rFonts w:eastAsia="MS Mincho"/>
    </w:rPr>
  </w:style>
  <w:style w:type="paragraph" w:customStyle="1" w:styleId="sl4f">
    <w:name w:val="sl4f"/>
    <w:basedOn w:val="sl1f"/>
    <w:next w:val="sl4"/>
    <w:qFormat/>
    <w:rsid w:val="005F506D"/>
    <w:pPr>
      <w:ind w:left="2160" w:right="2160"/>
    </w:pPr>
    <w:rPr>
      <w:rFonts w:eastAsia="MS Mincho"/>
    </w:rPr>
  </w:style>
  <w:style w:type="paragraph" w:customStyle="1" w:styleId="sl4l">
    <w:name w:val="sl4l"/>
    <w:basedOn w:val="sl1l"/>
    <w:qFormat/>
    <w:rsid w:val="005F506D"/>
    <w:pPr>
      <w:ind w:left="2160" w:right="2160"/>
    </w:pPr>
    <w:rPr>
      <w:rFonts w:eastAsia="MS Mincho"/>
    </w:rPr>
  </w:style>
  <w:style w:type="paragraph" w:customStyle="1" w:styleId="sl5">
    <w:name w:val="sl5"/>
    <w:basedOn w:val="sl4"/>
    <w:qFormat/>
    <w:rsid w:val="005F506D"/>
    <w:pPr>
      <w:ind w:left="2520" w:right="2520"/>
    </w:pPr>
  </w:style>
  <w:style w:type="paragraph" w:customStyle="1" w:styleId="sl5f">
    <w:name w:val="sl5f"/>
    <w:basedOn w:val="sl4f"/>
    <w:next w:val="sl5"/>
    <w:qFormat/>
    <w:rsid w:val="005F506D"/>
    <w:pPr>
      <w:ind w:left="2520" w:right="2520"/>
    </w:pPr>
  </w:style>
  <w:style w:type="paragraph" w:customStyle="1" w:styleId="sl5l">
    <w:name w:val="sl5l"/>
    <w:basedOn w:val="sl4l"/>
    <w:qFormat/>
    <w:rsid w:val="005F506D"/>
    <w:pPr>
      <w:ind w:left="2520" w:right="2520"/>
    </w:pPr>
  </w:style>
  <w:style w:type="paragraph" w:customStyle="1" w:styleId="sl6">
    <w:name w:val="sl6"/>
    <w:basedOn w:val="sl4"/>
    <w:qFormat/>
    <w:rsid w:val="005F506D"/>
    <w:pPr>
      <w:ind w:left="2880" w:right="2880"/>
    </w:pPr>
  </w:style>
  <w:style w:type="paragraph" w:customStyle="1" w:styleId="sl6f">
    <w:name w:val="sl6f"/>
    <w:basedOn w:val="sl4f"/>
    <w:next w:val="sl6"/>
    <w:qFormat/>
    <w:rsid w:val="005F506D"/>
    <w:pPr>
      <w:ind w:left="2880" w:right="2880"/>
    </w:pPr>
  </w:style>
  <w:style w:type="paragraph" w:customStyle="1" w:styleId="sl6l">
    <w:name w:val="sl6l"/>
    <w:basedOn w:val="sl4l"/>
    <w:qFormat/>
    <w:rsid w:val="005F506D"/>
    <w:pPr>
      <w:ind w:left="2880" w:right="2880"/>
    </w:pPr>
  </w:style>
  <w:style w:type="paragraph" w:customStyle="1" w:styleId="sl7">
    <w:name w:val="sl7"/>
    <w:basedOn w:val="sl4"/>
    <w:qFormat/>
    <w:rsid w:val="005F506D"/>
    <w:pPr>
      <w:ind w:left="3240" w:right="3240"/>
    </w:pPr>
  </w:style>
  <w:style w:type="paragraph" w:customStyle="1" w:styleId="sl7f">
    <w:name w:val="sl7f"/>
    <w:basedOn w:val="sl4f"/>
    <w:next w:val="sl7"/>
    <w:qFormat/>
    <w:rsid w:val="005F506D"/>
    <w:pPr>
      <w:ind w:left="3240" w:right="3240"/>
    </w:pPr>
  </w:style>
  <w:style w:type="paragraph" w:customStyle="1" w:styleId="sl7l">
    <w:name w:val="sl7l"/>
    <w:basedOn w:val="sl4l"/>
    <w:qFormat/>
    <w:rsid w:val="005F506D"/>
    <w:pPr>
      <w:ind w:left="3240" w:right="3240"/>
    </w:pPr>
  </w:style>
  <w:style w:type="paragraph" w:customStyle="1" w:styleId="sl8">
    <w:name w:val="sl8"/>
    <w:basedOn w:val="sl4"/>
    <w:qFormat/>
    <w:rsid w:val="005F506D"/>
    <w:pPr>
      <w:ind w:left="3600" w:right="2880"/>
    </w:pPr>
  </w:style>
  <w:style w:type="paragraph" w:customStyle="1" w:styleId="sl8f">
    <w:name w:val="sl8f"/>
    <w:basedOn w:val="sl4f"/>
    <w:next w:val="sl8"/>
    <w:qFormat/>
    <w:rsid w:val="005F506D"/>
    <w:pPr>
      <w:ind w:left="3600" w:right="2880"/>
    </w:pPr>
  </w:style>
  <w:style w:type="paragraph" w:customStyle="1" w:styleId="sl8l">
    <w:name w:val="sl8l"/>
    <w:basedOn w:val="sl4l"/>
    <w:qFormat/>
    <w:rsid w:val="005F506D"/>
    <w:pPr>
      <w:ind w:left="3600" w:right="2880"/>
    </w:pPr>
  </w:style>
  <w:style w:type="paragraph" w:customStyle="1" w:styleId="sl9f">
    <w:name w:val="sl9f"/>
    <w:basedOn w:val="sl4f"/>
    <w:next w:val="Normal"/>
    <w:qFormat/>
    <w:rsid w:val="005F506D"/>
    <w:pPr>
      <w:ind w:left="3960"/>
    </w:pPr>
  </w:style>
  <w:style w:type="paragraph" w:customStyle="1" w:styleId="sl9">
    <w:name w:val="sl9"/>
    <w:basedOn w:val="sl9f"/>
    <w:qFormat/>
    <w:rsid w:val="005F506D"/>
    <w:pPr>
      <w:spacing w:before="0"/>
    </w:pPr>
  </w:style>
  <w:style w:type="paragraph" w:customStyle="1" w:styleId="sl9l">
    <w:name w:val="sl9l"/>
    <w:basedOn w:val="sl4l"/>
    <w:qFormat/>
    <w:rsid w:val="005F506D"/>
    <w:pPr>
      <w:ind w:left="3960"/>
    </w:pPr>
  </w:style>
  <w:style w:type="paragraph" w:customStyle="1" w:styleId="slh">
    <w:name w:val="slh"/>
    <w:basedOn w:val="sbh"/>
    <w:qFormat/>
    <w:rsid w:val="005F506D"/>
    <w:pPr>
      <w:spacing w:before="100" w:after="40" w:line="240" w:lineRule="auto"/>
    </w:pPr>
    <w:rPr>
      <w:sz w:val="28"/>
    </w:rPr>
  </w:style>
  <w:style w:type="paragraph" w:customStyle="1" w:styleId="slif">
    <w:name w:val="slif"/>
    <w:basedOn w:val="sl"/>
    <w:next w:val="Normal"/>
    <w:qFormat/>
    <w:rsid w:val="005F506D"/>
    <w:pPr>
      <w:spacing w:before="240"/>
      <w:ind w:left="4320" w:firstLine="720"/>
    </w:pPr>
  </w:style>
  <w:style w:type="paragraph" w:customStyle="1" w:styleId="sli">
    <w:name w:val="sli"/>
    <w:basedOn w:val="slif"/>
    <w:qFormat/>
    <w:rsid w:val="005F506D"/>
    <w:pPr>
      <w:spacing w:before="0"/>
    </w:pPr>
    <w:rPr>
      <w:rFonts w:eastAsia="MS Mincho"/>
    </w:rPr>
  </w:style>
  <w:style w:type="paragraph" w:customStyle="1" w:styleId="slil">
    <w:name w:val="slil"/>
    <w:basedOn w:val="slif"/>
    <w:qFormat/>
    <w:rsid w:val="005F506D"/>
    <w:pPr>
      <w:spacing w:before="0" w:after="240"/>
    </w:pPr>
    <w:rPr>
      <w:rFonts w:eastAsia="MS Mincho"/>
    </w:rPr>
  </w:style>
  <w:style w:type="paragraph" w:customStyle="1" w:styleId="sll">
    <w:name w:val="sll"/>
    <w:basedOn w:val="sl"/>
    <w:rsid w:val="005F506D"/>
    <w:pPr>
      <w:spacing w:after="240"/>
    </w:pPr>
  </w:style>
  <w:style w:type="paragraph" w:customStyle="1" w:styleId="sls">
    <w:name w:val="sls"/>
    <w:basedOn w:val="sl"/>
    <w:rsid w:val="005F506D"/>
    <w:pPr>
      <w:spacing w:before="100" w:after="100"/>
    </w:pPr>
  </w:style>
  <w:style w:type="paragraph" w:customStyle="1" w:styleId="slt">
    <w:name w:val="slt"/>
    <w:basedOn w:val="ept"/>
    <w:qFormat/>
    <w:rsid w:val="005F506D"/>
    <w:rPr>
      <w:sz w:val="20"/>
    </w:rPr>
  </w:style>
  <w:style w:type="character" w:customStyle="1" w:styleId="sm">
    <w:name w:val="sm"/>
    <w:rsid w:val="005F506D"/>
    <w:rPr>
      <w:rFonts w:ascii="Times New Roman" w:hAnsi="Times New Roman"/>
      <w:caps w:val="0"/>
      <w:smallCaps/>
      <w:color w:val="800000"/>
      <w:sz w:val="24"/>
      <w:szCs w:val="24"/>
      <w:bdr w:val="none" w:sz="0" w:space="0" w:color="auto"/>
    </w:rPr>
  </w:style>
  <w:style w:type="character" w:customStyle="1" w:styleId="SmallCaps">
    <w:name w:val="Small Caps"/>
    <w:rsid w:val="005F506D"/>
    <w:rPr>
      <w:smallCaps/>
    </w:rPr>
  </w:style>
  <w:style w:type="character" w:customStyle="1" w:styleId="sm-b">
    <w:name w:val="sm-b"/>
    <w:rsid w:val="005F506D"/>
    <w:rPr>
      <w:b/>
      <w:smallCaps/>
      <w:color w:val="800000"/>
    </w:rPr>
  </w:style>
  <w:style w:type="character" w:customStyle="1" w:styleId="sm-bi">
    <w:name w:val="sm-bi"/>
    <w:rsid w:val="005F506D"/>
    <w:rPr>
      <w:b/>
      <w:i/>
      <w:smallCaps/>
      <w:color w:val="800000"/>
      <w:u w:val="none"/>
    </w:rPr>
  </w:style>
  <w:style w:type="character" w:customStyle="1" w:styleId="sm-i">
    <w:name w:val="sm-i"/>
    <w:rsid w:val="005F506D"/>
    <w:rPr>
      <w:rFonts w:ascii="Times New Roman" w:hAnsi="Times New Roman"/>
      <w:i/>
      <w:caps w:val="0"/>
      <w:smallCaps/>
      <w:color w:val="800000"/>
      <w:sz w:val="24"/>
      <w:szCs w:val="20"/>
      <w:bdr w:val="none" w:sz="0" w:space="0" w:color="auto"/>
    </w:rPr>
  </w:style>
  <w:style w:type="character" w:customStyle="1" w:styleId="sm-ob">
    <w:name w:val="sm-ob"/>
    <w:uiPriority w:val="1"/>
    <w:qFormat/>
    <w:rsid w:val="005F506D"/>
    <w:rPr>
      <w:rFonts w:ascii="Arial" w:hAnsi="Arial"/>
      <w:i/>
      <w:iCs/>
      <w:caps w:val="0"/>
      <w:smallCaps/>
      <w:color w:val="800000"/>
      <w:sz w:val="20"/>
      <w:szCs w:val="20"/>
      <w:bdr w:val="none" w:sz="0" w:space="0" w:color="auto"/>
    </w:rPr>
  </w:style>
  <w:style w:type="character" w:customStyle="1" w:styleId="smver">
    <w:name w:val="smver"/>
    <w:uiPriority w:val="1"/>
    <w:qFormat/>
    <w:rsid w:val="005F506D"/>
    <w:rPr>
      <w:rFonts w:ascii="Times New Roman" w:hAnsi="Times New Roman"/>
      <w:caps/>
      <w:smallCaps w:val="0"/>
      <w:color w:val="800000"/>
      <w:sz w:val="24"/>
      <w:szCs w:val="24"/>
      <w:bdr w:val="none" w:sz="0" w:space="0" w:color="auto"/>
      <w:vertAlign w:val="superscript"/>
    </w:rPr>
  </w:style>
  <w:style w:type="character" w:customStyle="1" w:styleId="speaker">
    <w:name w:val="speaker"/>
    <w:uiPriority w:val="1"/>
    <w:qFormat/>
    <w:rsid w:val="005F506D"/>
    <w:rPr>
      <w:rFonts w:ascii="Arial" w:eastAsia="MS Mincho" w:hAnsi="Arial"/>
      <w:color w:val="C0504D"/>
    </w:rPr>
  </w:style>
  <w:style w:type="character" w:customStyle="1" w:styleId="speaker-i">
    <w:name w:val="speaker-i"/>
    <w:uiPriority w:val="1"/>
    <w:qFormat/>
    <w:rsid w:val="005F506D"/>
    <w:rPr>
      <w:rFonts w:ascii="Arial" w:eastAsia="MS Mincho" w:hAnsi="Arial"/>
      <w:i/>
      <w:color w:val="C0504D"/>
    </w:rPr>
  </w:style>
  <w:style w:type="paragraph" w:customStyle="1" w:styleId="st">
    <w:name w:val="st"/>
    <w:qFormat/>
    <w:rsid w:val="005F506D"/>
    <w:pPr>
      <w:spacing w:after="0" w:line="480" w:lineRule="auto"/>
      <w:ind w:firstLine="720"/>
    </w:pPr>
    <w:rPr>
      <w:rFonts w:ascii="Times New Roman" w:eastAsia="Times New Roman" w:hAnsi="Times New Roman" w:cs="Times New Roman"/>
      <w:sz w:val="24"/>
      <w:szCs w:val="24"/>
    </w:rPr>
  </w:style>
  <w:style w:type="paragraph" w:customStyle="1" w:styleId="stf">
    <w:name w:val="stf"/>
    <w:qFormat/>
    <w:rsid w:val="005F506D"/>
    <w:pPr>
      <w:spacing w:before="100" w:after="0" w:line="480" w:lineRule="auto"/>
      <w:ind w:left="720" w:right="720"/>
    </w:pPr>
    <w:rPr>
      <w:rFonts w:ascii="Times New Roman" w:eastAsia="Times New Roman" w:hAnsi="Times New Roman" w:cs="Times New Roman"/>
      <w:sz w:val="24"/>
      <w:szCs w:val="24"/>
    </w:rPr>
  </w:style>
  <w:style w:type="paragraph" w:customStyle="1" w:styleId="sth">
    <w:name w:val="sth"/>
    <w:qFormat/>
    <w:rsid w:val="005F506D"/>
    <w:pPr>
      <w:spacing w:after="0" w:line="480" w:lineRule="auto"/>
      <w:jc w:val="center"/>
      <w:outlineLvl w:val="8"/>
    </w:pPr>
    <w:rPr>
      <w:rFonts w:ascii="Times New Roman" w:eastAsia="Times New Roman" w:hAnsi="Times New Roman" w:cs="Times New Roman"/>
      <w:sz w:val="40"/>
      <w:szCs w:val="24"/>
    </w:rPr>
  </w:style>
  <w:style w:type="paragraph" w:customStyle="1" w:styleId="sth1">
    <w:name w:val="sth1"/>
    <w:basedOn w:val="sth"/>
    <w:qFormat/>
    <w:rsid w:val="005F506D"/>
    <w:rPr>
      <w:rFonts w:eastAsia="MS Mincho"/>
      <w:sz w:val="32"/>
    </w:rPr>
  </w:style>
  <w:style w:type="paragraph" w:customStyle="1" w:styleId="sth2">
    <w:name w:val="sth2"/>
    <w:basedOn w:val="sth1"/>
    <w:qFormat/>
    <w:rsid w:val="005F506D"/>
    <w:rPr>
      <w:sz w:val="28"/>
    </w:rPr>
  </w:style>
  <w:style w:type="paragraph" w:customStyle="1" w:styleId="stl">
    <w:name w:val="stl"/>
    <w:qFormat/>
    <w:rsid w:val="005F506D"/>
    <w:pPr>
      <w:spacing w:after="100" w:line="480" w:lineRule="auto"/>
      <w:ind w:left="720" w:right="720"/>
    </w:pPr>
    <w:rPr>
      <w:rFonts w:ascii="Times New Roman" w:eastAsia="Times New Roman" w:hAnsi="Times New Roman" w:cs="Times New Roman"/>
      <w:sz w:val="24"/>
      <w:szCs w:val="24"/>
    </w:rPr>
  </w:style>
  <w:style w:type="character" w:customStyle="1" w:styleId="strk">
    <w:name w:val="strk"/>
    <w:rsid w:val="005F506D"/>
    <w:rPr>
      <w:strike/>
      <w:dstrike w:val="0"/>
    </w:rPr>
  </w:style>
  <w:style w:type="paragraph" w:customStyle="1" w:styleId="structure">
    <w:name w:val="structure"/>
    <w:basedOn w:val="ah"/>
    <w:qFormat/>
    <w:rsid w:val="005F506D"/>
    <w:rPr>
      <w:rFonts w:eastAsia="MS Mincho"/>
      <w:color w:val="BFBFBF"/>
      <w:sz w:val="24"/>
    </w:rPr>
  </w:style>
  <w:style w:type="paragraph" w:customStyle="1" w:styleId="sts">
    <w:name w:val="sts"/>
    <w:qFormat/>
    <w:rsid w:val="005F506D"/>
    <w:pPr>
      <w:spacing w:before="100" w:after="100" w:line="480" w:lineRule="auto"/>
      <w:ind w:left="720" w:right="720"/>
    </w:pPr>
    <w:rPr>
      <w:rFonts w:ascii="Times New Roman" w:eastAsia="Times New Roman" w:hAnsi="Times New Roman" w:cs="Times New Roman"/>
      <w:sz w:val="24"/>
      <w:szCs w:val="24"/>
    </w:rPr>
  </w:style>
  <w:style w:type="character" w:customStyle="1" w:styleId="sub">
    <w:name w:val="sub"/>
    <w:rsid w:val="005F506D"/>
    <w:rPr>
      <w:color w:val="800080"/>
      <w:sz w:val="24"/>
      <w:szCs w:val="24"/>
      <w:bdr w:val="none" w:sz="0" w:space="0" w:color="auto"/>
      <w:vertAlign w:val="subscript"/>
    </w:rPr>
  </w:style>
  <w:style w:type="character" w:customStyle="1" w:styleId="sub-b">
    <w:name w:val="sub-b"/>
    <w:rsid w:val="005F506D"/>
    <w:rPr>
      <w:b/>
      <w:color w:val="FF00FF"/>
      <w:sz w:val="24"/>
      <w:szCs w:val="24"/>
      <w:bdr w:val="none" w:sz="0" w:space="0" w:color="auto"/>
      <w:vertAlign w:val="subscript"/>
    </w:rPr>
  </w:style>
  <w:style w:type="character" w:customStyle="1" w:styleId="sub-bi">
    <w:name w:val="sub-bi"/>
    <w:qFormat/>
    <w:rsid w:val="005F506D"/>
    <w:rPr>
      <w:b/>
      <w:i/>
      <w:color w:val="F79646"/>
      <w:sz w:val="24"/>
      <w:szCs w:val="24"/>
      <w:bdr w:val="none" w:sz="0" w:space="0" w:color="auto"/>
      <w:vertAlign w:val="subscript"/>
    </w:rPr>
  </w:style>
  <w:style w:type="character" w:customStyle="1" w:styleId="sub-i">
    <w:name w:val="sub-i"/>
    <w:rsid w:val="005F506D"/>
    <w:rPr>
      <w:i/>
      <w:color w:val="008000"/>
      <w:sz w:val="24"/>
      <w:szCs w:val="24"/>
      <w:bdr w:val="none" w:sz="0" w:space="0" w:color="auto"/>
      <w:vertAlign w:val="subscript"/>
    </w:rPr>
  </w:style>
  <w:style w:type="character" w:customStyle="1" w:styleId="sub-u">
    <w:name w:val="sub-u"/>
    <w:uiPriority w:val="1"/>
    <w:qFormat/>
    <w:rsid w:val="005F506D"/>
    <w:rPr>
      <w:rFonts w:ascii="Times New Roman" w:hAnsi="Times New Roman"/>
      <w:color w:val="4BACC6"/>
      <w:u w:val="single"/>
      <w:vertAlign w:val="subscript"/>
    </w:rPr>
  </w:style>
  <w:style w:type="character" w:customStyle="1" w:styleId="sup">
    <w:name w:val="sup"/>
    <w:rsid w:val="005F506D"/>
    <w:rPr>
      <w:color w:val="800080"/>
      <w:sz w:val="24"/>
      <w:szCs w:val="24"/>
      <w:bdr w:val="none" w:sz="0" w:space="0" w:color="auto"/>
      <w:vertAlign w:val="superscript"/>
    </w:rPr>
  </w:style>
  <w:style w:type="character" w:customStyle="1" w:styleId="sup-b">
    <w:name w:val="sup-b"/>
    <w:rsid w:val="005F506D"/>
    <w:rPr>
      <w:b/>
      <w:color w:val="FF00FF"/>
      <w:sz w:val="24"/>
      <w:szCs w:val="24"/>
      <w:bdr w:val="none" w:sz="0" w:space="0" w:color="auto"/>
      <w:vertAlign w:val="superscript"/>
    </w:rPr>
  </w:style>
  <w:style w:type="character" w:customStyle="1" w:styleId="sup-bi">
    <w:name w:val="sup-bi"/>
    <w:qFormat/>
    <w:rsid w:val="005F506D"/>
    <w:rPr>
      <w:b/>
      <w:bCs/>
      <w:i/>
      <w:color w:val="F79646"/>
      <w:sz w:val="24"/>
      <w:szCs w:val="24"/>
      <w:bdr w:val="none" w:sz="0" w:space="0" w:color="auto"/>
      <w:vertAlign w:val="superscript"/>
    </w:rPr>
  </w:style>
  <w:style w:type="character" w:customStyle="1" w:styleId="sup-i">
    <w:name w:val="sup-i"/>
    <w:rsid w:val="005F506D"/>
    <w:rPr>
      <w:i/>
      <w:color w:val="008000"/>
      <w:sz w:val="24"/>
      <w:szCs w:val="24"/>
      <w:bdr w:val="none" w:sz="0" w:space="0" w:color="auto"/>
      <w:vertAlign w:val="superscript"/>
    </w:rPr>
  </w:style>
  <w:style w:type="character" w:customStyle="1" w:styleId="sup-u">
    <w:name w:val="sup-u"/>
    <w:uiPriority w:val="1"/>
    <w:qFormat/>
    <w:rsid w:val="005F506D"/>
    <w:rPr>
      <w:rFonts w:ascii="Times New Roman" w:hAnsi="Times New Roman"/>
      <w:color w:val="4BACC6"/>
      <w:u w:val="single"/>
      <w:vertAlign w:val="superscript"/>
    </w:rPr>
  </w:style>
  <w:style w:type="character" w:customStyle="1" w:styleId="symb">
    <w:name w:val="symb"/>
    <w:rsid w:val="005F506D"/>
    <w:rPr>
      <w:rFonts w:ascii="Symbol" w:hAnsi="Symbol"/>
      <w:color w:val="auto"/>
      <w:bdr w:val="none" w:sz="0" w:space="0" w:color="auto"/>
    </w:rPr>
  </w:style>
  <w:style w:type="character" w:customStyle="1" w:styleId="symb-b">
    <w:name w:val="symb-b"/>
    <w:rsid w:val="005F506D"/>
    <w:rPr>
      <w:rFonts w:ascii="Symbol" w:hAnsi="Symbol"/>
      <w:b/>
      <w:color w:val="FF00FF"/>
      <w:bdr w:val="none" w:sz="0" w:space="0" w:color="auto"/>
    </w:rPr>
  </w:style>
  <w:style w:type="character" w:customStyle="1" w:styleId="symb-i">
    <w:name w:val="symb-i"/>
    <w:rsid w:val="005F506D"/>
    <w:rPr>
      <w:rFonts w:ascii="Symbol" w:hAnsi="Symbol"/>
      <w:i/>
      <w:color w:val="008000"/>
      <w:bdr w:val="none" w:sz="0" w:space="0" w:color="auto"/>
    </w:rPr>
  </w:style>
  <w:style w:type="character" w:customStyle="1" w:styleId="symb-sub">
    <w:name w:val="symb-sub"/>
    <w:rsid w:val="005F506D"/>
    <w:rPr>
      <w:rFonts w:ascii="Symbol" w:hAnsi="Symbol"/>
      <w:color w:val="auto"/>
      <w:szCs w:val="24"/>
      <w:bdr w:val="none" w:sz="0" w:space="0" w:color="auto"/>
      <w:vertAlign w:val="subscript"/>
    </w:rPr>
  </w:style>
  <w:style w:type="character" w:customStyle="1" w:styleId="symb-sub-b">
    <w:name w:val="symb-sub-b"/>
    <w:uiPriority w:val="1"/>
    <w:qFormat/>
    <w:rsid w:val="005F506D"/>
    <w:rPr>
      <w:rFonts w:ascii="Symbol" w:hAnsi="Symbol"/>
      <w:b/>
      <w:bCs/>
      <w:color w:val="FF00FF"/>
      <w:bdr w:val="none" w:sz="0" w:space="0" w:color="auto"/>
      <w:vertAlign w:val="subscript"/>
    </w:rPr>
  </w:style>
  <w:style w:type="character" w:customStyle="1" w:styleId="symb-sub-bi">
    <w:name w:val="symb-sub-bi"/>
    <w:uiPriority w:val="1"/>
    <w:qFormat/>
    <w:rsid w:val="005F506D"/>
    <w:rPr>
      <w:rFonts w:ascii="Symbol" w:eastAsia="MS Mincho" w:hAnsi="Symbol"/>
      <w:b/>
      <w:bCs/>
      <w:i/>
      <w:color w:val="FF00FF"/>
      <w:bdr w:val="none" w:sz="0" w:space="0" w:color="auto"/>
      <w:vertAlign w:val="subscript"/>
    </w:rPr>
  </w:style>
  <w:style w:type="character" w:customStyle="1" w:styleId="symb-sub-i">
    <w:name w:val="symb-sub-i"/>
    <w:rsid w:val="005F506D"/>
    <w:rPr>
      <w:rFonts w:ascii="Symbol" w:hAnsi="Symbol"/>
      <w:i/>
      <w:color w:val="008000"/>
      <w:bdr w:val="none" w:sz="0" w:space="0" w:color="auto"/>
      <w:vertAlign w:val="subscript"/>
    </w:rPr>
  </w:style>
  <w:style w:type="character" w:customStyle="1" w:styleId="symb-sup">
    <w:name w:val="symb-sup"/>
    <w:rsid w:val="005F506D"/>
    <w:rPr>
      <w:rFonts w:ascii="Symbol" w:hAnsi="Symbol"/>
      <w:color w:val="auto"/>
      <w:bdr w:val="none" w:sz="0" w:space="0" w:color="auto"/>
      <w:vertAlign w:val="superscript"/>
    </w:rPr>
  </w:style>
  <w:style w:type="character" w:customStyle="1" w:styleId="symb-sup-b">
    <w:name w:val="symb-sup-b"/>
    <w:uiPriority w:val="1"/>
    <w:qFormat/>
    <w:rsid w:val="005F506D"/>
    <w:rPr>
      <w:rFonts w:ascii="Symbol" w:hAnsi="Symbol"/>
      <w:b/>
      <w:bCs/>
      <w:color w:val="FF00FF"/>
      <w:bdr w:val="none" w:sz="0" w:space="0" w:color="auto"/>
      <w:vertAlign w:val="superscript"/>
    </w:rPr>
  </w:style>
  <w:style w:type="character" w:customStyle="1" w:styleId="symb-sup-bi">
    <w:name w:val="symb-sup-bi"/>
    <w:uiPriority w:val="1"/>
    <w:qFormat/>
    <w:rsid w:val="005F506D"/>
    <w:rPr>
      <w:rFonts w:ascii="Symbol" w:eastAsia="MS Mincho" w:hAnsi="Symbol"/>
      <w:b/>
      <w:bCs/>
      <w:i/>
      <w:iCs/>
      <w:color w:val="FF00FF"/>
      <w:bdr w:val="none" w:sz="0" w:space="0" w:color="auto"/>
      <w:vertAlign w:val="superscript"/>
    </w:rPr>
  </w:style>
  <w:style w:type="character" w:customStyle="1" w:styleId="symb-sup-i">
    <w:name w:val="symb-sup-i"/>
    <w:rsid w:val="005F506D"/>
    <w:rPr>
      <w:rFonts w:ascii="Symbol" w:hAnsi="Symbol"/>
      <w:i/>
      <w:color w:val="008000"/>
      <w:bdr w:val="none" w:sz="0" w:space="0" w:color="auto"/>
      <w:vertAlign w:val="superscript"/>
    </w:rPr>
  </w:style>
  <w:style w:type="character" w:customStyle="1" w:styleId="SYSHYPERTEXT">
    <w:name w:val="SYS_HYPERTEXT"/>
    <w:rsid w:val="005F506D"/>
    <w:rPr>
      <w:color w:val="0000FF"/>
      <w:u w:val="single"/>
    </w:rPr>
  </w:style>
  <w:style w:type="paragraph" w:customStyle="1" w:styleId="TableCell">
    <w:name w:val="Table Cell"/>
    <w:basedOn w:val="Normal"/>
    <w:rsid w:val="005F506D"/>
    <w:pPr>
      <w:ind w:firstLine="0"/>
    </w:pPr>
    <w:rPr>
      <w:rFonts w:ascii="Times New Roman" w:eastAsia="Times New Roman" w:hAnsi="Times New Roman" w:cs="Times New Roman"/>
      <w:sz w:val="20"/>
      <w:szCs w:val="20"/>
    </w:rPr>
  </w:style>
  <w:style w:type="table" w:styleId="TableGrid">
    <w:name w:val="Table Grid"/>
    <w:basedOn w:val="TableNormal"/>
    <w:uiPriority w:val="59"/>
    <w:rsid w:val="005F506D"/>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tr">
    <w:name w:val="tatr"/>
    <w:basedOn w:val="Normal"/>
    <w:rsid w:val="005F506D"/>
    <w:pPr>
      <w:spacing w:line="480" w:lineRule="auto"/>
      <w:ind w:firstLine="0"/>
    </w:pPr>
    <w:rPr>
      <w:rFonts w:ascii="Times New Roman" w:eastAsia="Times New Roman" w:hAnsi="Times New Roman" w:cs="Times New Roman"/>
      <w:sz w:val="20"/>
      <w:szCs w:val="24"/>
    </w:rPr>
  </w:style>
  <w:style w:type="character" w:customStyle="1" w:styleId="taxclass">
    <w:name w:val="taxclass"/>
    <w:uiPriority w:val="1"/>
    <w:qFormat/>
    <w:rsid w:val="005F506D"/>
    <w:rPr>
      <w:rFonts w:ascii="Arial" w:eastAsia="MS Mincho" w:hAnsi="Arial"/>
      <w:color w:val="93A03C"/>
    </w:rPr>
  </w:style>
  <w:style w:type="character" w:customStyle="1" w:styleId="taxfamily">
    <w:name w:val="taxfamily"/>
    <w:uiPriority w:val="1"/>
    <w:qFormat/>
    <w:rsid w:val="005F506D"/>
    <w:rPr>
      <w:rFonts w:ascii="Arial" w:eastAsia="MS Mincho" w:hAnsi="Arial"/>
      <w:color w:val="CBBE4B"/>
    </w:rPr>
  </w:style>
  <w:style w:type="character" w:customStyle="1" w:styleId="taxgenus">
    <w:name w:val="taxgenus"/>
    <w:uiPriority w:val="1"/>
    <w:qFormat/>
    <w:rsid w:val="005F506D"/>
    <w:rPr>
      <w:rFonts w:ascii="Arial" w:eastAsia="MS Mincho" w:hAnsi="Arial"/>
      <w:color w:val="CEA451"/>
    </w:rPr>
  </w:style>
  <w:style w:type="character" w:customStyle="1" w:styleId="taxkingdom">
    <w:name w:val="taxkingdom"/>
    <w:uiPriority w:val="1"/>
    <w:qFormat/>
    <w:rsid w:val="005F506D"/>
    <w:rPr>
      <w:rFonts w:ascii="Arial" w:eastAsia="MS Mincho" w:hAnsi="Arial"/>
      <w:color w:val="4F6228"/>
    </w:rPr>
  </w:style>
  <w:style w:type="character" w:customStyle="1" w:styleId="taxorder">
    <w:name w:val="taxorder"/>
    <w:uiPriority w:val="1"/>
    <w:qFormat/>
    <w:rsid w:val="005F506D"/>
    <w:rPr>
      <w:rFonts w:ascii="Arial" w:eastAsia="MS Mincho" w:hAnsi="Arial"/>
      <w:color w:val="D1D55D"/>
    </w:rPr>
  </w:style>
  <w:style w:type="character" w:customStyle="1" w:styleId="taxphylum">
    <w:name w:val="taxphylum"/>
    <w:uiPriority w:val="1"/>
    <w:qFormat/>
    <w:rsid w:val="005F506D"/>
    <w:rPr>
      <w:rFonts w:ascii="Arial" w:eastAsia="MS Mincho" w:hAnsi="Arial"/>
      <w:color w:val="76923C"/>
    </w:rPr>
  </w:style>
  <w:style w:type="character" w:customStyle="1" w:styleId="taxspecies">
    <w:name w:val="taxspecies"/>
    <w:uiPriority w:val="1"/>
    <w:qFormat/>
    <w:rsid w:val="005F506D"/>
    <w:rPr>
      <w:rFonts w:ascii="Arial" w:eastAsia="MS Mincho" w:hAnsi="Arial"/>
      <w:color w:val="BA7336"/>
    </w:rPr>
  </w:style>
  <w:style w:type="paragraph" w:customStyle="1" w:styleId="td">
    <w:name w:val="td"/>
    <w:rsid w:val="005F506D"/>
    <w:pPr>
      <w:widowControl w:val="0"/>
      <w:spacing w:after="0" w:line="240" w:lineRule="auto"/>
    </w:pPr>
    <w:rPr>
      <w:rFonts w:ascii="Times New Roman" w:eastAsia="Times New Roman" w:hAnsi="Times New Roman" w:cs="Times New Roman"/>
      <w:sz w:val="20"/>
      <w:szCs w:val="24"/>
    </w:rPr>
  </w:style>
  <w:style w:type="paragraph" w:customStyle="1" w:styleId="tdf">
    <w:name w:val="tdf"/>
    <w:basedOn w:val="td"/>
    <w:next w:val="td"/>
    <w:rsid w:val="005F506D"/>
    <w:pPr>
      <w:spacing w:before="100"/>
    </w:pPr>
  </w:style>
  <w:style w:type="paragraph" w:customStyle="1" w:styleId="tch">
    <w:name w:val="tch"/>
    <w:basedOn w:val="tdf"/>
    <w:qFormat/>
    <w:rsid w:val="005F506D"/>
    <w:rPr>
      <w:rFonts w:eastAsia="MS Mincho"/>
    </w:rPr>
  </w:style>
  <w:style w:type="paragraph" w:customStyle="1" w:styleId="tch1">
    <w:name w:val="tch1"/>
    <w:basedOn w:val="tdf"/>
    <w:qFormat/>
    <w:rsid w:val="005F506D"/>
    <w:rPr>
      <w:rFonts w:ascii="Arial" w:eastAsia="MS Mincho" w:hAnsi="Arial"/>
      <w:sz w:val="16"/>
    </w:rPr>
  </w:style>
  <w:style w:type="paragraph" w:customStyle="1" w:styleId="tch2">
    <w:name w:val="tch2"/>
    <w:basedOn w:val="tdf"/>
    <w:qFormat/>
    <w:rsid w:val="005F506D"/>
    <w:rPr>
      <w:rFonts w:eastAsia="MS Mincho"/>
      <w:sz w:val="18"/>
    </w:rPr>
  </w:style>
  <w:style w:type="paragraph" w:customStyle="1" w:styleId="tdl">
    <w:name w:val="tdl"/>
    <w:basedOn w:val="td"/>
    <w:rsid w:val="005F506D"/>
    <w:pPr>
      <w:spacing w:after="100"/>
    </w:pPr>
  </w:style>
  <w:style w:type="paragraph" w:customStyle="1" w:styleId="tdnl">
    <w:name w:val="tdnl"/>
    <w:basedOn w:val="nl"/>
    <w:qFormat/>
    <w:rsid w:val="005F506D"/>
    <w:pPr>
      <w:spacing w:line="240" w:lineRule="auto"/>
    </w:pPr>
    <w:rPr>
      <w:rFonts w:eastAsia="MS Mincho"/>
      <w:sz w:val="20"/>
    </w:rPr>
  </w:style>
  <w:style w:type="paragraph" w:customStyle="1" w:styleId="tdp">
    <w:name w:val="tdp"/>
    <w:basedOn w:val="td"/>
    <w:qFormat/>
    <w:rsid w:val="005F506D"/>
    <w:pPr>
      <w:ind w:firstLine="360"/>
    </w:pPr>
    <w:rPr>
      <w:rFonts w:eastAsia="MS Mincho"/>
    </w:rPr>
  </w:style>
  <w:style w:type="paragraph" w:customStyle="1" w:styleId="tdul">
    <w:name w:val="tdul"/>
    <w:basedOn w:val="ul"/>
    <w:qFormat/>
    <w:rsid w:val="005F506D"/>
    <w:pPr>
      <w:spacing w:line="240" w:lineRule="auto"/>
      <w:ind w:left="360"/>
    </w:pPr>
    <w:rPr>
      <w:rFonts w:eastAsia="MS Mincho"/>
      <w:sz w:val="20"/>
    </w:rPr>
  </w:style>
  <w:style w:type="character" w:customStyle="1" w:styleId="tel">
    <w:name w:val="tel"/>
    <w:qFormat/>
    <w:rsid w:val="005F506D"/>
    <w:rPr>
      <w:rFonts w:ascii="Courier New" w:hAnsi="Courier New"/>
      <w:b/>
      <w:bCs/>
      <w:i w:val="0"/>
      <w:iCs w:val="0"/>
      <w:color w:val="E36C0A"/>
    </w:rPr>
  </w:style>
  <w:style w:type="character" w:customStyle="1" w:styleId="tetr">
    <w:name w:val="tetr"/>
    <w:uiPriority w:val="1"/>
    <w:qFormat/>
    <w:rsid w:val="005F506D"/>
    <w:rPr>
      <w:rFonts w:ascii="Times" w:hAnsi="Times"/>
      <w:caps w:val="0"/>
      <w:smallCaps/>
      <w:color w:val="auto"/>
      <w:sz w:val="20"/>
      <w:szCs w:val="20"/>
      <w:bdr w:val="none" w:sz="0" w:space="0" w:color="auto"/>
    </w:rPr>
  </w:style>
  <w:style w:type="character" w:customStyle="1" w:styleId="tetr-b">
    <w:name w:val="tetr-b"/>
    <w:uiPriority w:val="1"/>
    <w:qFormat/>
    <w:rsid w:val="005F506D"/>
    <w:rPr>
      <w:rFonts w:ascii="Times" w:eastAsia="MS Mincho" w:hAnsi="Times"/>
      <w:b/>
      <w:caps w:val="0"/>
      <w:smallCaps/>
      <w:color w:val="auto"/>
      <w:sz w:val="20"/>
      <w:szCs w:val="20"/>
      <w:bdr w:val="none" w:sz="0" w:space="0" w:color="auto"/>
    </w:rPr>
  </w:style>
  <w:style w:type="character" w:customStyle="1" w:styleId="tetr-i">
    <w:name w:val="tetr-i"/>
    <w:uiPriority w:val="1"/>
    <w:qFormat/>
    <w:rsid w:val="005F506D"/>
    <w:rPr>
      <w:rFonts w:ascii="Times" w:eastAsia="MS Mincho" w:hAnsi="Times"/>
      <w:i/>
      <w:caps w:val="0"/>
      <w:smallCaps/>
      <w:color w:val="auto"/>
      <w:sz w:val="20"/>
      <w:szCs w:val="20"/>
      <w:bdr w:val="none" w:sz="0" w:space="0" w:color="auto"/>
    </w:rPr>
  </w:style>
  <w:style w:type="character" w:customStyle="1" w:styleId="tetr-red">
    <w:name w:val="tetr-red"/>
    <w:uiPriority w:val="1"/>
    <w:rsid w:val="005F506D"/>
    <w:rPr>
      <w:rFonts w:ascii="Times" w:hAnsi="Times"/>
      <w:caps w:val="0"/>
      <w:smallCaps/>
      <w:color w:val="FF0000"/>
      <w:sz w:val="20"/>
      <w:szCs w:val="20"/>
      <w:bdr w:val="none" w:sz="0" w:space="0" w:color="auto"/>
    </w:rPr>
  </w:style>
  <w:style w:type="character" w:customStyle="1" w:styleId="tetr-red-i">
    <w:name w:val="tetr-red-i"/>
    <w:uiPriority w:val="1"/>
    <w:qFormat/>
    <w:rsid w:val="005F506D"/>
    <w:rPr>
      <w:rFonts w:ascii="Times" w:eastAsia="MS Mincho" w:hAnsi="Times"/>
      <w:i/>
      <w:caps w:val="0"/>
      <w:smallCaps/>
      <w:color w:val="FF0000"/>
      <w:sz w:val="20"/>
      <w:szCs w:val="20"/>
      <w:bdr w:val="none" w:sz="0" w:space="0" w:color="auto"/>
    </w:rPr>
  </w:style>
  <w:style w:type="character" w:customStyle="1" w:styleId="tetr-red-ob">
    <w:name w:val="tetr-red-ob"/>
    <w:uiPriority w:val="1"/>
    <w:qFormat/>
    <w:rsid w:val="005F506D"/>
    <w:rPr>
      <w:rFonts w:ascii="Arial" w:eastAsia="MS Mincho" w:hAnsi="Arial"/>
      <w:i/>
      <w:caps w:val="0"/>
      <w:smallCaps/>
      <w:color w:val="FF0000"/>
      <w:sz w:val="20"/>
      <w:szCs w:val="20"/>
      <w:bdr w:val="none" w:sz="0" w:space="0" w:color="auto"/>
    </w:rPr>
  </w:style>
  <w:style w:type="character" w:customStyle="1" w:styleId="tgrc">
    <w:name w:val="tgrc"/>
    <w:rsid w:val="005F506D"/>
    <w:rPr>
      <w:color w:val="FFCC00"/>
      <w:sz w:val="24"/>
      <w:szCs w:val="24"/>
      <w:bdr w:val="none" w:sz="0" w:space="0" w:color="auto"/>
    </w:rPr>
  </w:style>
  <w:style w:type="character" w:customStyle="1" w:styleId="tgrc-b">
    <w:name w:val="tgrc-b"/>
    <w:uiPriority w:val="1"/>
    <w:qFormat/>
    <w:rsid w:val="005F506D"/>
    <w:rPr>
      <w:rFonts w:eastAsia="MS Mincho"/>
      <w:b/>
      <w:color w:val="FFCC00"/>
      <w:sz w:val="24"/>
      <w:szCs w:val="24"/>
      <w:bdr w:val="none" w:sz="0" w:space="0" w:color="auto"/>
    </w:rPr>
  </w:style>
  <w:style w:type="character" w:customStyle="1" w:styleId="tgrc-bi">
    <w:name w:val="tgrc-bi"/>
    <w:uiPriority w:val="1"/>
    <w:qFormat/>
    <w:rsid w:val="005F506D"/>
    <w:rPr>
      <w:rFonts w:eastAsia="MS Mincho"/>
      <w:b/>
      <w:i/>
      <w:color w:val="FFCC00"/>
      <w:sz w:val="24"/>
      <w:szCs w:val="24"/>
      <w:bdr w:val="none" w:sz="0" w:space="0" w:color="auto"/>
    </w:rPr>
  </w:style>
  <w:style w:type="character" w:customStyle="1" w:styleId="tgrc-i">
    <w:name w:val="tgrc-i"/>
    <w:uiPriority w:val="1"/>
    <w:qFormat/>
    <w:rsid w:val="005F506D"/>
    <w:rPr>
      <w:rFonts w:eastAsia="MS Mincho"/>
      <w:b w:val="0"/>
      <w:i/>
      <w:color w:val="FFCC00"/>
      <w:sz w:val="24"/>
      <w:szCs w:val="24"/>
      <w:bdr w:val="none" w:sz="0" w:space="0" w:color="auto"/>
    </w:rPr>
  </w:style>
  <w:style w:type="paragraph" w:customStyle="1" w:styleId="th">
    <w:name w:val="th"/>
    <w:rsid w:val="005F506D"/>
    <w:pPr>
      <w:widowControl w:val="0"/>
      <w:pBdr>
        <w:top w:val="single" w:sz="8" w:space="1" w:color="auto"/>
        <w:bottom w:val="single" w:sz="8" w:space="1" w:color="auto"/>
      </w:pBdr>
      <w:spacing w:before="100" w:after="0" w:line="240" w:lineRule="auto"/>
      <w:outlineLvl w:val="8"/>
    </w:pPr>
    <w:rPr>
      <w:rFonts w:ascii="Arial" w:eastAsia="Times New Roman" w:hAnsi="Arial" w:cs="Times New Roman"/>
      <w:noProof/>
      <w:sz w:val="32"/>
      <w:szCs w:val="20"/>
    </w:rPr>
  </w:style>
  <w:style w:type="paragraph" w:customStyle="1" w:styleId="th1">
    <w:name w:val="th1"/>
    <w:rsid w:val="005F506D"/>
    <w:pPr>
      <w:widowControl w:val="0"/>
      <w:pBdr>
        <w:bottom w:val="single" w:sz="8" w:space="1" w:color="auto"/>
      </w:pBdr>
      <w:spacing w:after="0" w:line="240" w:lineRule="auto"/>
    </w:pPr>
    <w:rPr>
      <w:rFonts w:ascii="Arial" w:eastAsia="Times New Roman" w:hAnsi="Arial" w:cs="Times New Roman"/>
      <w:sz w:val="24"/>
      <w:szCs w:val="20"/>
    </w:rPr>
  </w:style>
  <w:style w:type="paragraph" w:customStyle="1" w:styleId="th2">
    <w:name w:val="th2"/>
    <w:qFormat/>
    <w:rsid w:val="005F506D"/>
    <w:pPr>
      <w:spacing w:after="0" w:line="240" w:lineRule="auto"/>
    </w:pPr>
    <w:rPr>
      <w:rFonts w:ascii="Arial" w:eastAsia="Times New Roman" w:hAnsi="Arial" w:cs="Times New Roman"/>
      <w:sz w:val="24"/>
      <w:szCs w:val="20"/>
    </w:rPr>
  </w:style>
  <w:style w:type="character" w:customStyle="1" w:styleId="theb">
    <w:name w:val="theb"/>
    <w:rsid w:val="005F506D"/>
    <w:rPr>
      <w:color w:val="993366"/>
      <w:bdr w:val="none" w:sz="0" w:space="0" w:color="auto"/>
    </w:rPr>
  </w:style>
  <w:style w:type="character" w:customStyle="1" w:styleId="theb-i">
    <w:name w:val="theb-i"/>
    <w:uiPriority w:val="1"/>
    <w:qFormat/>
    <w:rsid w:val="005F506D"/>
    <w:rPr>
      <w:rFonts w:eastAsia="MS Mincho"/>
      <w:i/>
      <w:color w:val="993366"/>
      <w:bdr w:val="none" w:sz="0" w:space="0" w:color="auto"/>
    </w:rPr>
  </w:style>
  <w:style w:type="character" w:customStyle="1" w:styleId="thn">
    <w:name w:val="thn"/>
    <w:rsid w:val="005F506D"/>
    <w:rPr>
      <w:color w:val="800080"/>
    </w:rPr>
  </w:style>
  <w:style w:type="paragraph" w:customStyle="1" w:styleId="tn">
    <w:name w:val="tn"/>
    <w:rsid w:val="005F506D"/>
    <w:pPr>
      <w:widowControl w:val="0"/>
      <w:pBdr>
        <w:top w:val="single" w:sz="8" w:space="1" w:color="auto"/>
      </w:pBdr>
      <w:spacing w:after="100" w:line="480" w:lineRule="auto"/>
    </w:pPr>
    <w:rPr>
      <w:rFonts w:ascii="Times New Roman" w:eastAsia="Times New Roman" w:hAnsi="Times New Roman" w:cs="Times New Roman"/>
      <w:sz w:val="20"/>
      <w:szCs w:val="20"/>
    </w:rPr>
  </w:style>
  <w:style w:type="paragraph" w:styleId="TOC10">
    <w:name w:val="toc 1"/>
    <w:basedOn w:val="Normal"/>
    <w:next w:val="Normal"/>
    <w:autoRedefine/>
    <w:semiHidden/>
    <w:rsid w:val="005F506D"/>
    <w:pPr>
      <w:ind w:firstLine="0"/>
    </w:pPr>
    <w:rPr>
      <w:rFonts w:ascii="Times New Roman" w:eastAsia="Times New Roman" w:hAnsi="Times New Roman" w:cs="Times New Roman"/>
      <w:sz w:val="20"/>
      <w:szCs w:val="20"/>
    </w:rPr>
  </w:style>
  <w:style w:type="paragraph" w:styleId="TOC2">
    <w:name w:val="toc 2"/>
    <w:basedOn w:val="Normal"/>
    <w:next w:val="Normal"/>
    <w:autoRedefine/>
    <w:semiHidden/>
    <w:rsid w:val="005F506D"/>
    <w:pPr>
      <w:ind w:left="200" w:firstLine="0"/>
    </w:pPr>
    <w:rPr>
      <w:rFonts w:ascii="Times New Roman" w:eastAsia="Times New Roman" w:hAnsi="Times New Roman" w:cs="Times New Roman"/>
      <w:sz w:val="20"/>
      <w:szCs w:val="20"/>
    </w:rPr>
  </w:style>
  <w:style w:type="paragraph" w:styleId="TOC3">
    <w:name w:val="toc 3"/>
    <w:basedOn w:val="Normal"/>
    <w:next w:val="Normal"/>
    <w:autoRedefine/>
    <w:semiHidden/>
    <w:rsid w:val="005F506D"/>
    <w:pPr>
      <w:ind w:left="400" w:firstLine="0"/>
    </w:pPr>
    <w:rPr>
      <w:rFonts w:ascii="Times New Roman" w:eastAsia="Times New Roman" w:hAnsi="Times New Roman" w:cs="Times New Roman"/>
      <w:sz w:val="20"/>
      <w:szCs w:val="20"/>
    </w:rPr>
  </w:style>
  <w:style w:type="paragraph" w:styleId="TOC4">
    <w:name w:val="toc 4"/>
    <w:basedOn w:val="Normal"/>
    <w:next w:val="Normal"/>
    <w:autoRedefine/>
    <w:semiHidden/>
    <w:rsid w:val="005F506D"/>
    <w:pPr>
      <w:ind w:left="600" w:firstLine="0"/>
    </w:pPr>
    <w:rPr>
      <w:rFonts w:ascii="Times New Roman" w:eastAsia="Times New Roman" w:hAnsi="Times New Roman" w:cs="Times New Roman"/>
      <w:sz w:val="20"/>
      <w:szCs w:val="20"/>
    </w:rPr>
  </w:style>
  <w:style w:type="paragraph" w:styleId="TOC5">
    <w:name w:val="toc 5"/>
    <w:basedOn w:val="Normal"/>
    <w:next w:val="Normal"/>
    <w:autoRedefine/>
    <w:semiHidden/>
    <w:rsid w:val="005F506D"/>
    <w:pPr>
      <w:ind w:left="800" w:firstLine="0"/>
    </w:pPr>
    <w:rPr>
      <w:rFonts w:ascii="Times New Roman" w:eastAsia="Times New Roman" w:hAnsi="Times New Roman" w:cs="Times New Roman"/>
      <w:sz w:val="20"/>
      <w:szCs w:val="20"/>
    </w:rPr>
  </w:style>
  <w:style w:type="paragraph" w:styleId="TOC6">
    <w:name w:val="toc 6"/>
    <w:basedOn w:val="Normal"/>
    <w:next w:val="Normal"/>
    <w:autoRedefine/>
    <w:semiHidden/>
    <w:rsid w:val="005F506D"/>
    <w:pPr>
      <w:ind w:left="1000" w:firstLine="0"/>
    </w:pPr>
    <w:rPr>
      <w:rFonts w:ascii="Times New Roman" w:eastAsia="Times New Roman" w:hAnsi="Times New Roman" w:cs="Times New Roman"/>
      <w:sz w:val="20"/>
      <w:szCs w:val="20"/>
    </w:rPr>
  </w:style>
  <w:style w:type="paragraph" w:styleId="TOC7">
    <w:name w:val="toc 7"/>
    <w:basedOn w:val="Normal"/>
    <w:next w:val="Normal"/>
    <w:autoRedefine/>
    <w:semiHidden/>
    <w:rsid w:val="005F506D"/>
    <w:pPr>
      <w:ind w:left="1200" w:firstLine="0"/>
    </w:pPr>
    <w:rPr>
      <w:rFonts w:ascii="Times New Roman" w:eastAsia="Times New Roman" w:hAnsi="Times New Roman" w:cs="Times New Roman"/>
      <w:sz w:val="20"/>
      <w:szCs w:val="20"/>
    </w:rPr>
  </w:style>
  <w:style w:type="paragraph" w:styleId="TOC8">
    <w:name w:val="toc 8"/>
    <w:basedOn w:val="Normal"/>
    <w:next w:val="Normal"/>
    <w:autoRedefine/>
    <w:semiHidden/>
    <w:rsid w:val="005F506D"/>
    <w:pPr>
      <w:ind w:left="1400" w:firstLine="0"/>
    </w:pPr>
    <w:rPr>
      <w:rFonts w:ascii="Times New Roman" w:eastAsia="Times New Roman" w:hAnsi="Times New Roman" w:cs="Times New Roman"/>
      <w:sz w:val="20"/>
      <w:szCs w:val="20"/>
    </w:rPr>
  </w:style>
  <w:style w:type="paragraph" w:styleId="TOC9">
    <w:name w:val="toc 9"/>
    <w:basedOn w:val="Normal"/>
    <w:next w:val="Normal"/>
    <w:autoRedefine/>
    <w:semiHidden/>
    <w:rsid w:val="005F506D"/>
    <w:pPr>
      <w:ind w:left="1600" w:firstLine="0"/>
    </w:pPr>
    <w:rPr>
      <w:rFonts w:ascii="Times New Roman" w:eastAsia="Times New Roman" w:hAnsi="Times New Roman" w:cs="Times New Roman"/>
      <w:sz w:val="20"/>
      <w:szCs w:val="20"/>
    </w:rPr>
  </w:style>
  <w:style w:type="paragraph" w:customStyle="1" w:styleId="toc20">
    <w:name w:val="toc2"/>
    <w:basedOn w:val="toc"/>
    <w:rsid w:val="005F506D"/>
    <w:pPr>
      <w:tabs>
        <w:tab w:val="left" w:pos="360"/>
      </w:tabs>
      <w:spacing w:before="100"/>
      <w:ind w:left="2880" w:hanging="1440"/>
    </w:pPr>
    <w:rPr>
      <w:sz w:val="22"/>
    </w:rPr>
  </w:style>
  <w:style w:type="paragraph" w:customStyle="1" w:styleId="toc30">
    <w:name w:val="toc3"/>
    <w:basedOn w:val="toc"/>
    <w:rsid w:val="005F506D"/>
    <w:pPr>
      <w:spacing w:before="0"/>
      <w:ind w:left="1800"/>
    </w:pPr>
    <w:rPr>
      <w:sz w:val="20"/>
    </w:rPr>
  </w:style>
  <w:style w:type="paragraph" w:customStyle="1" w:styleId="toc40">
    <w:name w:val="toc4"/>
    <w:rsid w:val="005F506D"/>
    <w:pPr>
      <w:tabs>
        <w:tab w:val="left" w:pos="4320"/>
      </w:tabs>
      <w:spacing w:after="0" w:line="240" w:lineRule="auto"/>
      <w:ind w:left="2160"/>
    </w:pPr>
    <w:rPr>
      <w:rFonts w:ascii="Times New Roman" w:eastAsia="Times New Roman" w:hAnsi="Times New Roman" w:cs="Times New Roman"/>
      <w:sz w:val="20"/>
      <w:szCs w:val="24"/>
    </w:rPr>
  </w:style>
  <w:style w:type="paragraph" w:customStyle="1" w:styleId="toc50">
    <w:name w:val="toc5"/>
    <w:rsid w:val="005F506D"/>
    <w:pPr>
      <w:tabs>
        <w:tab w:val="left" w:pos="4320"/>
      </w:tabs>
      <w:spacing w:after="0" w:line="240" w:lineRule="auto"/>
      <w:ind w:left="2520"/>
    </w:pPr>
    <w:rPr>
      <w:rFonts w:ascii="Times New Roman" w:eastAsia="Times New Roman" w:hAnsi="Times New Roman" w:cs="Times New Roman"/>
      <w:sz w:val="20"/>
      <w:szCs w:val="24"/>
    </w:rPr>
  </w:style>
  <w:style w:type="paragraph" w:customStyle="1" w:styleId="tocau">
    <w:name w:val="tocau"/>
    <w:rsid w:val="005F506D"/>
    <w:pPr>
      <w:spacing w:after="60" w:line="240" w:lineRule="auto"/>
    </w:pPr>
    <w:rPr>
      <w:rFonts w:ascii="Times New Roman" w:eastAsia="Times New Roman" w:hAnsi="Times New Roman" w:cs="Times New Roman"/>
      <w:color w:val="000000"/>
      <w:szCs w:val="20"/>
    </w:rPr>
  </w:style>
  <w:style w:type="paragraph" w:customStyle="1" w:styleId="tocbm">
    <w:name w:val="tocbm"/>
    <w:basedOn w:val="toc"/>
    <w:uiPriority w:val="99"/>
    <w:rsid w:val="005F506D"/>
  </w:style>
  <w:style w:type="paragraph" w:customStyle="1" w:styleId="tocfm">
    <w:name w:val="tocfm"/>
    <w:basedOn w:val="toc"/>
    <w:uiPriority w:val="99"/>
    <w:rsid w:val="005F506D"/>
  </w:style>
  <w:style w:type="paragraph" w:customStyle="1" w:styleId="tocpt">
    <w:name w:val="tocpt"/>
    <w:basedOn w:val="toc"/>
    <w:rsid w:val="005F506D"/>
    <w:pPr>
      <w:tabs>
        <w:tab w:val="clear" w:pos="4320"/>
        <w:tab w:val="left" w:pos="1080"/>
        <w:tab w:val="left" w:pos="8640"/>
      </w:tabs>
    </w:pPr>
    <w:rPr>
      <w:sz w:val="28"/>
    </w:rPr>
  </w:style>
  <w:style w:type="paragraph" w:customStyle="1" w:styleId="tocut">
    <w:name w:val="tocut"/>
    <w:qFormat/>
    <w:rsid w:val="005F506D"/>
    <w:pPr>
      <w:tabs>
        <w:tab w:val="left" w:pos="4320"/>
      </w:tabs>
      <w:spacing w:after="100" w:line="240" w:lineRule="auto"/>
    </w:pPr>
    <w:rPr>
      <w:rFonts w:ascii="Times New Roman" w:eastAsia="Times New Roman" w:hAnsi="Times New Roman" w:cs="Times New Roman"/>
      <w:sz w:val="28"/>
      <w:szCs w:val="24"/>
    </w:rPr>
  </w:style>
  <w:style w:type="character" w:customStyle="1" w:styleId="trh">
    <w:name w:val="trh"/>
    <w:uiPriority w:val="1"/>
    <w:qFormat/>
    <w:rsid w:val="005F506D"/>
    <w:rPr>
      <w:rFonts w:eastAsia="MS Mincho"/>
      <w:b/>
      <w:color w:val="auto"/>
    </w:rPr>
  </w:style>
  <w:style w:type="character" w:customStyle="1" w:styleId="trh-i">
    <w:name w:val="trh-i"/>
    <w:uiPriority w:val="1"/>
    <w:qFormat/>
    <w:rsid w:val="005F506D"/>
    <w:rPr>
      <w:rFonts w:eastAsia="MS Mincho"/>
      <w:b/>
      <w:i/>
      <w:color w:val="008000"/>
    </w:rPr>
  </w:style>
  <w:style w:type="character" w:customStyle="1" w:styleId="u">
    <w:name w:val="u"/>
    <w:rsid w:val="005F506D"/>
    <w:rPr>
      <w:color w:val="4BACC6"/>
      <w:u w:val="single"/>
    </w:rPr>
  </w:style>
  <w:style w:type="paragraph" w:customStyle="1" w:styleId="ul1p">
    <w:name w:val="ul1p"/>
    <w:basedOn w:val="ul1"/>
    <w:qFormat/>
    <w:rsid w:val="005F506D"/>
    <w:pPr>
      <w:ind w:left="1800" w:firstLine="360"/>
    </w:pPr>
  </w:style>
  <w:style w:type="paragraph" w:customStyle="1" w:styleId="ul1pl">
    <w:name w:val="ul1pl"/>
    <w:basedOn w:val="ul1p"/>
    <w:qFormat/>
    <w:rsid w:val="005F506D"/>
    <w:pPr>
      <w:spacing w:after="240"/>
    </w:pPr>
  </w:style>
  <w:style w:type="paragraph" w:customStyle="1" w:styleId="ul2">
    <w:name w:val="ul2"/>
    <w:basedOn w:val="nl2"/>
    <w:rsid w:val="005F506D"/>
    <w:pPr>
      <w:ind w:left="2160"/>
    </w:pPr>
  </w:style>
  <w:style w:type="paragraph" w:customStyle="1" w:styleId="ul2f">
    <w:name w:val="ul2f"/>
    <w:basedOn w:val="ul2"/>
    <w:next w:val="ul2"/>
    <w:rsid w:val="005F506D"/>
    <w:pPr>
      <w:spacing w:before="240"/>
    </w:pPr>
    <w:rPr>
      <w:szCs w:val="20"/>
    </w:rPr>
  </w:style>
  <w:style w:type="paragraph" w:customStyle="1" w:styleId="ul2l">
    <w:name w:val="ul2l"/>
    <w:basedOn w:val="ul2"/>
    <w:rsid w:val="005F506D"/>
    <w:pPr>
      <w:spacing w:after="240"/>
    </w:pPr>
    <w:rPr>
      <w:szCs w:val="20"/>
    </w:rPr>
  </w:style>
  <w:style w:type="paragraph" w:customStyle="1" w:styleId="ul2p">
    <w:name w:val="ul2p"/>
    <w:basedOn w:val="ul2"/>
    <w:rsid w:val="005F506D"/>
    <w:pPr>
      <w:ind w:firstLine="360"/>
    </w:pPr>
  </w:style>
  <w:style w:type="paragraph" w:customStyle="1" w:styleId="ul2s">
    <w:name w:val="ul2s"/>
    <w:basedOn w:val="ul2"/>
    <w:qFormat/>
    <w:rsid w:val="005F506D"/>
    <w:pPr>
      <w:spacing w:before="240" w:after="240"/>
    </w:pPr>
  </w:style>
  <w:style w:type="paragraph" w:customStyle="1" w:styleId="ul3">
    <w:name w:val="ul3"/>
    <w:basedOn w:val="nl3"/>
    <w:rsid w:val="005F506D"/>
    <w:pPr>
      <w:ind w:left="2520"/>
    </w:pPr>
  </w:style>
  <w:style w:type="paragraph" w:customStyle="1" w:styleId="ul3f">
    <w:name w:val="ul3f"/>
    <w:basedOn w:val="ul3"/>
    <w:next w:val="ul3"/>
    <w:rsid w:val="005F506D"/>
    <w:pPr>
      <w:spacing w:before="240"/>
    </w:pPr>
    <w:rPr>
      <w:color w:val="000000"/>
    </w:rPr>
  </w:style>
  <w:style w:type="paragraph" w:customStyle="1" w:styleId="ul3l">
    <w:name w:val="ul3l"/>
    <w:basedOn w:val="ul3"/>
    <w:rsid w:val="005F506D"/>
    <w:pPr>
      <w:spacing w:after="240"/>
    </w:pPr>
  </w:style>
  <w:style w:type="paragraph" w:customStyle="1" w:styleId="ul3p">
    <w:name w:val="ul3p"/>
    <w:basedOn w:val="ul3"/>
    <w:rsid w:val="005F506D"/>
    <w:pPr>
      <w:ind w:firstLine="360"/>
    </w:pPr>
  </w:style>
  <w:style w:type="paragraph" w:customStyle="1" w:styleId="ul3s">
    <w:name w:val="ul3s"/>
    <w:basedOn w:val="ul3"/>
    <w:rsid w:val="005F506D"/>
    <w:pPr>
      <w:spacing w:before="240" w:after="240"/>
    </w:pPr>
  </w:style>
  <w:style w:type="paragraph" w:customStyle="1" w:styleId="ul4">
    <w:name w:val="ul4"/>
    <w:basedOn w:val="nl4"/>
    <w:rsid w:val="005F506D"/>
    <w:pPr>
      <w:ind w:left="2880"/>
    </w:pPr>
  </w:style>
  <w:style w:type="paragraph" w:customStyle="1" w:styleId="ul4f">
    <w:name w:val="ul4f"/>
    <w:basedOn w:val="ul4"/>
    <w:next w:val="ul4"/>
    <w:rsid w:val="005F506D"/>
    <w:pPr>
      <w:spacing w:before="240"/>
    </w:pPr>
  </w:style>
  <w:style w:type="paragraph" w:customStyle="1" w:styleId="ul4l">
    <w:name w:val="ul4l"/>
    <w:basedOn w:val="ul4"/>
    <w:rsid w:val="005F506D"/>
    <w:pPr>
      <w:spacing w:after="240"/>
    </w:pPr>
  </w:style>
  <w:style w:type="paragraph" w:customStyle="1" w:styleId="ul4p">
    <w:name w:val="ul4p"/>
    <w:basedOn w:val="ul4"/>
    <w:rsid w:val="005F506D"/>
    <w:pPr>
      <w:ind w:firstLine="360"/>
    </w:pPr>
  </w:style>
  <w:style w:type="paragraph" w:customStyle="1" w:styleId="ul4s">
    <w:name w:val="ul4s"/>
    <w:basedOn w:val="ul4"/>
    <w:rsid w:val="005F506D"/>
    <w:pPr>
      <w:spacing w:before="240" w:after="240"/>
    </w:pPr>
  </w:style>
  <w:style w:type="paragraph" w:customStyle="1" w:styleId="ul5">
    <w:name w:val="ul5"/>
    <w:basedOn w:val="nl5"/>
    <w:rsid w:val="005F506D"/>
    <w:pPr>
      <w:ind w:left="3240"/>
    </w:pPr>
  </w:style>
  <w:style w:type="paragraph" w:customStyle="1" w:styleId="ul5f">
    <w:name w:val="ul5f"/>
    <w:basedOn w:val="ul5"/>
    <w:next w:val="ul5"/>
    <w:rsid w:val="005F506D"/>
  </w:style>
  <w:style w:type="paragraph" w:customStyle="1" w:styleId="ul5l">
    <w:name w:val="ul5l"/>
    <w:basedOn w:val="ul5"/>
    <w:rsid w:val="005F506D"/>
    <w:pPr>
      <w:spacing w:after="240"/>
    </w:pPr>
  </w:style>
  <w:style w:type="paragraph" w:customStyle="1" w:styleId="ul5p">
    <w:name w:val="ul5p"/>
    <w:basedOn w:val="ul5"/>
    <w:rsid w:val="005F506D"/>
    <w:pPr>
      <w:ind w:firstLine="360"/>
    </w:pPr>
  </w:style>
  <w:style w:type="paragraph" w:customStyle="1" w:styleId="ul5s">
    <w:name w:val="ul5s"/>
    <w:basedOn w:val="ul5"/>
    <w:rsid w:val="005F506D"/>
    <w:pPr>
      <w:spacing w:before="240" w:after="240"/>
    </w:pPr>
  </w:style>
  <w:style w:type="paragraph" w:customStyle="1" w:styleId="ulh">
    <w:name w:val="ulh"/>
    <w:basedOn w:val="ul"/>
    <w:qFormat/>
    <w:rsid w:val="005F506D"/>
    <w:pPr>
      <w:spacing w:before="240" w:after="120"/>
      <w:outlineLvl w:val="8"/>
    </w:pPr>
  </w:style>
  <w:style w:type="paragraph" w:customStyle="1" w:styleId="ulpl">
    <w:name w:val="ulpl"/>
    <w:basedOn w:val="nlpl"/>
    <w:qFormat/>
    <w:rsid w:val="005F506D"/>
    <w:pPr>
      <w:ind w:left="1440"/>
    </w:pPr>
  </w:style>
  <w:style w:type="paragraph" w:customStyle="1" w:styleId="un">
    <w:name w:val="un"/>
    <w:qFormat/>
    <w:rsid w:val="005F506D"/>
    <w:pPr>
      <w:spacing w:after="0" w:line="240" w:lineRule="auto"/>
      <w:jc w:val="center"/>
      <w:outlineLvl w:val="0"/>
    </w:pPr>
    <w:rPr>
      <w:rFonts w:ascii="Times New Roman" w:eastAsia="Times New Roman" w:hAnsi="Times New Roman" w:cs="Times New Roman"/>
      <w:sz w:val="44"/>
      <w:szCs w:val="20"/>
    </w:rPr>
  </w:style>
  <w:style w:type="character" w:customStyle="1" w:styleId="url">
    <w:name w:val="url"/>
    <w:rsid w:val="005F506D"/>
    <w:rPr>
      <w:color w:val="99CCFF"/>
      <w:bdr w:val="none" w:sz="0" w:space="0" w:color="auto"/>
    </w:rPr>
  </w:style>
  <w:style w:type="paragraph" w:customStyle="1" w:styleId="us">
    <w:name w:val="us"/>
    <w:qFormat/>
    <w:rsid w:val="005F506D"/>
    <w:pPr>
      <w:spacing w:after="0" w:line="240" w:lineRule="auto"/>
      <w:jc w:val="center"/>
      <w:outlineLvl w:val="0"/>
    </w:pPr>
    <w:rPr>
      <w:rFonts w:ascii="Arial" w:eastAsia="Times New Roman" w:hAnsi="Arial" w:cs="Times New Roman"/>
      <w:sz w:val="44"/>
      <w:szCs w:val="20"/>
    </w:rPr>
  </w:style>
  <w:style w:type="paragraph" w:customStyle="1" w:styleId="ut">
    <w:name w:val="ut"/>
    <w:qFormat/>
    <w:rsid w:val="005F506D"/>
    <w:pPr>
      <w:spacing w:after="100" w:line="240" w:lineRule="auto"/>
      <w:jc w:val="center"/>
      <w:outlineLvl w:val="0"/>
    </w:pPr>
    <w:rPr>
      <w:rFonts w:ascii="Times New Roman" w:eastAsia="Times New Roman" w:hAnsi="Times New Roman" w:cs="Times New Roman"/>
      <w:sz w:val="60"/>
      <w:szCs w:val="20"/>
    </w:rPr>
  </w:style>
  <w:style w:type="character" w:customStyle="1" w:styleId="ver">
    <w:name w:val="ver"/>
    <w:rsid w:val="005F506D"/>
    <w:rPr>
      <w:caps w:val="0"/>
      <w:smallCaps w:val="0"/>
      <w:vertAlign w:val="superscript"/>
    </w:rPr>
  </w:style>
  <w:style w:type="paragraph" w:customStyle="1" w:styleId="wlf">
    <w:name w:val="wlf"/>
    <w:next w:val="Normal"/>
    <w:qFormat/>
    <w:rsid w:val="005F506D"/>
    <w:pPr>
      <w:spacing w:before="100" w:after="0" w:line="240" w:lineRule="auto"/>
      <w:ind w:left="720" w:right="720"/>
    </w:pPr>
    <w:rPr>
      <w:rFonts w:ascii="Arial" w:eastAsia="Times New Roman" w:hAnsi="Arial" w:cs="Times New Roman"/>
      <w:sz w:val="24"/>
      <w:szCs w:val="24"/>
    </w:rPr>
  </w:style>
  <w:style w:type="paragraph" w:customStyle="1" w:styleId="wl">
    <w:name w:val="wl"/>
    <w:basedOn w:val="wlf"/>
    <w:qFormat/>
    <w:rsid w:val="005F506D"/>
    <w:pPr>
      <w:spacing w:before="0"/>
    </w:pPr>
  </w:style>
  <w:style w:type="paragraph" w:customStyle="1" w:styleId="wl1f">
    <w:name w:val="wl1f"/>
    <w:next w:val="Normal"/>
    <w:qFormat/>
    <w:rsid w:val="005F506D"/>
    <w:pPr>
      <w:spacing w:before="100" w:after="0" w:line="240" w:lineRule="auto"/>
      <w:ind w:left="1080" w:right="720"/>
    </w:pPr>
    <w:rPr>
      <w:rFonts w:ascii="Arial" w:eastAsia="Times New Roman" w:hAnsi="Arial" w:cs="Times New Roman"/>
      <w:sz w:val="24"/>
      <w:szCs w:val="24"/>
    </w:rPr>
  </w:style>
  <w:style w:type="paragraph" w:customStyle="1" w:styleId="wl1">
    <w:name w:val="wl1"/>
    <w:basedOn w:val="wl1f"/>
    <w:qFormat/>
    <w:rsid w:val="005F506D"/>
    <w:pPr>
      <w:spacing w:before="0"/>
    </w:pPr>
  </w:style>
  <w:style w:type="paragraph" w:customStyle="1" w:styleId="wl1h">
    <w:name w:val="wl1h"/>
    <w:qFormat/>
    <w:rsid w:val="005F506D"/>
    <w:pPr>
      <w:spacing w:after="0" w:line="240" w:lineRule="auto"/>
      <w:ind w:left="1080" w:right="1080"/>
    </w:pPr>
    <w:rPr>
      <w:rFonts w:ascii="Arial" w:eastAsia="Times New Roman" w:hAnsi="Arial" w:cs="Times New Roman"/>
      <w:sz w:val="40"/>
      <w:szCs w:val="24"/>
    </w:rPr>
  </w:style>
  <w:style w:type="paragraph" w:customStyle="1" w:styleId="wl1h1">
    <w:name w:val="wl1h1"/>
    <w:basedOn w:val="wl1h"/>
    <w:qFormat/>
    <w:rsid w:val="005F506D"/>
    <w:rPr>
      <w:sz w:val="36"/>
      <w:szCs w:val="44"/>
    </w:rPr>
  </w:style>
  <w:style w:type="paragraph" w:customStyle="1" w:styleId="wl1l">
    <w:name w:val="wl1l"/>
    <w:qFormat/>
    <w:rsid w:val="005F506D"/>
    <w:pPr>
      <w:spacing w:after="100" w:line="480" w:lineRule="auto"/>
      <w:ind w:left="1080" w:right="720"/>
    </w:pPr>
    <w:rPr>
      <w:rFonts w:ascii="Arial" w:eastAsia="Times New Roman" w:hAnsi="Arial" w:cs="Times New Roman"/>
      <w:sz w:val="24"/>
      <w:szCs w:val="24"/>
    </w:rPr>
  </w:style>
  <w:style w:type="paragraph" w:customStyle="1" w:styleId="wl1s">
    <w:name w:val="wl1s"/>
    <w:basedOn w:val="wl1f"/>
    <w:qFormat/>
    <w:rsid w:val="005F506D"/>
    <w:pPr>
      <w:spacing w:after="100" w:line="480" w:lineRule="auto"/>
      <w:ind w:right="1080"/>
    </w:pPr>
  </w:style>
  <w:style w:type="paragraph" w:customStyle="1" w:styleId="wl2">
    <w:name w:val="wl2"/>
    <w:qFormat/>
    <w:rsid w:val="005F506D"/>
    <w:pPr>
      <w:spacing w:after="0" w:line="240" w:lineRule="auto"/>
      <w:ind w:left="1440" w:right="1440"/>
    </w:pPr>
    <w:rPr>
      <w:rFonts w:ascii="Times New Roman" w:eastAsia="Times New Roman" w:hAnsi="Times New Roman" w:cs="Times New Roman"/>
      <w:sz w:val="24"/>
      <w:szCs w:val="24"/>
    </w:rPr>
  </w:style>
  <w:style w:type="paragraph" w:customStyle="1" w:styleId="wl2f">
    <w:name w:val="wl2f"/>
    <w:next w:val="wl2"/>
    <w:qFormat/>
    <w:rsid w:val="005F506D"/>
    <w:pPr>
      <w:spacing w:before="100" w:after="0" w:line="240" w:lineRule="auto"/>
      <w:ind w:left="1440" w:right="1440"/>
    </w:pPr>
    <w:rPr>
      <w:rFonts w:ascii="Times New Roman" w:eastAsia="Times New Roman" w:hAnsi="Times New Roman" w:cs="Times New Roman"/>
      <w:sz w:val="24"/>
      <w:szCs w:val="24"/>
    </w:rPr>
  </w:style>
  <w:style w:type="paragraph" w:customStyle="1" w:styleId="wl2h">
    <w:name w:val="wl2h"/>
    <w:qFormat/>
    <w:rsid w:val="005F506D"/>
    <w:pPr>
      <w:spacing w:before="100" w:after="0" w:line="240" w:lineRule="auto"/>
      <w:ind w:left="1440" w:right="1440"/>
    </w:pPr>
    <w:rPr>
      <w:rFonts w:ascii="Times New Roman" w:eastAsia="Times New Roman" w:hAnsi="Times New Roman" w:cs="Times New Roman"/>
      <w:sz w:val="32"/>
      <w:szCs w:val="24"/>
    </w:rPr>
  </w:style>
  <w:style w:type="paragraph" w:customStyle="1" w:styleId="wl2h1">
    <w:name w:val="wl2h1"/>
    <w:basedOn w:val="wl2h"/>
    <w:qFormat/>
    <w:rsid w:val="005F506D"/>
    <w:pPr>
      <w:spacing w:before="0"/>
      <w:outlineLvl w:val="1"/>
    </w:pPr>
    <w:rPr>
      <w:sz w:val="28"/>
      <w:szCs w:val="20"/>
    </w:rPr>
  </w:style>
  <w:style w:type="paragraph" w:customStyle="1" w:styleId="wl2l">
    <w:name w:val="wl2l"/>
    <w:qFormat/>
    <w:rsid w:val="005F506D"/>
    <w:pPr>
      <w:spacing w:after="100" w:line="240" w:lineRule="auto"/>
      <w:ind w:left="1440" w:right="1440"/>
    </w:pPr>
    <w:rPr>
      <w:rFonts w:ascii="Times New Roman" w:eastAsia="Times New Roman" w:hAnsi="Times New Roman" w:cs="Times New Roman"/>
      <w:sz w:val="24"/>
      <w:szCs w:val="24"/>
    </w:rPr>
  </w:style>
  <w:style w:type="paragraph" w:customStyle="1" w:styleId="wl2s">
    <w:name w:val="wl2s"/>
    <w:basedOn w:val="wl1s"/>
    <w:qFormat/>
    <w:rsid w:val="005F506D"/>
    <w:pPr>
      <w:ind w:left="1440" w:right="1440"/>
    </w:pPr>
    <w:rPr>
      <w:rFonts w:ascii="Times New Roman" w:hAnsi="Times New Roman"/>
    </w:rPr>
  </w:style>
  <w:style w:type="paragraph" w:customStyle="1" w:styleId="wl3f">
    <w:name w:val="wl3f"/>
    <w:next w:val="Normal"/>
    <w:qFormat/>
    <w:rsid w:val="005F506D"/>
    <w:pPr>
      <w:spacing w:after="0" w:line="240" w:lineRule="auto"/>
      <w:ind w:left="1800" w:right="1800"/>
    </w:pPr>
    <w:rPr>
      <w:rFonts w:ascii="Times New Roman" w:eastAsia="Times New Roman" w:hAnsi="Times New Roman" w:cs="Times New Roman"/>
      <w:sz w:val="18"/>
      <w:szCs w:val="24"/>
    </w:rPr>
  </w:style>
  <w:style w:type="paragraph" w:customStyle="1" w:styleId="wl3">
    <w:name w:val="wl3"/>
    <w:basedOn w:val="wl3f"/>
    <w:qFormat/>
    <w:rsid w:val="005F506D"/>
  </w:style>
  <w:style w:type="paragraph" w:customStyle="1" w:styleId="wl3h">
    <w:name w:val="wl3h"/>
    <w:qFormat/>
    <w:rsid w:val="005F506D"/>
    <w:pPr>
      <w:spacing w:before="100" w:after="0" w:line="240" w:lineRule="auto"/>
      <w:ind w:left="1800" w:right="1800"/>
    </w:pPr>
    <w:rPr>
      <w:rFonts w:ascii="Times New Roman" w:eastAsia="Times New Roman" w:hAnsi="Times New Roman" w:cs="Times New Roman"/>
      <w:sz w:val="24"/>
      <w:szCs w:val="24"/>
    </w:rPr>
  </w:style>
  <w:style w:type="paragraph" w:customStyle="1" w:styleId="wl3h1">
    <w:name w:val="wl3h1"/>
    <w:basedOn w:val="wl3h"/>
    <w:qFormat/>
    <w:rsid w:val="005F506D"/>
    <w:pPr>
      <w:spacing w:before="0"/>
      <w:outlineLvl w:val="1"/>
    </w:pPr>
    <w:rPr>
      <w:sz w:val="20"/>
    </w:rPr>
  </w:style>
  <w:style w:type="paragraph" w:customStyle="1" w:styleId="wl3l">
    <w:name w:val="wl3l"/>
    <w:qFormat/>
    <w:rsid w:val="005F506D"/>
    <w:pPr>
      <w:spacing w:after="100" w:line="240" w:lineRule="auto"/>
      <w:ind w:left="1800" w:right="1800"/>
    </w:pPr>
    <w:rPr>
      <w:rFonts w:ascii="Times New Roman" w:eastAsia="Times New Roman" w:hAnsi="Times New Roman" w:cs="Times New Roman"/>
      <w:sz w:val="18"/>
      <w:szCs w:val="24"/>
    </w:rPr>
  </w:style>
  <w:style w:type="paragraph" w:customStyle="1" w:styleId="wl3s">
    <w:name w:val="wl3s"/>
    <w:basedOn w:val="wl2s"/>
    <w:qFormat/>
    <w:rsid w:val="005F506D"/>
    <w:pPr>
      <w:ind w:left="1800" w:right="720"/>
    </w:pPr>
    <w:rPr>
      <w:sz w:val="18"/>
    </w:rPr>
  </w:style>
  <w:style w:type="paragraph" w:customStyle="1" w:styleId="wlh">
    <w:name w:val="wlh"/>
    <w:qFormat/>
    <w:rsid w:val="005F506D"/>
    <w:pPr>
      <w:spacing w:after="0" w:line="240" w:lineRule="auto"/>
      <w:ind w:left="720" w:right="720"/>
      <w:outlineLvl w:val="8"/>
    </w:pPr>
    <w:rPr>
      <w:rFonts w:ascii="Arial" w:eastAsia="Times New Roman" w:hAnsi="Arial" w:cs="Times New Roman"/>
      <w:sz w:val="48"/>
      <w:szCs w:val="24"/>
    </w:rPr>
  </w:style>
  <w:style w:type="paragraph" w:customStyle="1" w:styleId="wlh1">
    <w:name w:val="wlh1"/>
    <w:basedOn w:val="wlh"/>
    <w:qFormat/>
    <w:rsid w:val="005F506D"/>
    <w:pPr>
      <w:spacing w:before="360" w:after="60"/>
      <w:outlineLvl w:val="1"/>
    </w:pPr>
    <w:rPr>
      <w:sz w:val="44"/>
      <w:szCs w:val="20"/>
    </w:rPr>
  </w:style>
  <w:style w:type="paragraph" w:customStyle="1" w:styleId="wll">
    <w:name w:val="wll"/>
    <w:qFormat/>
    <w:rsid w:val="005F506D"/>
    <w:pPr>
      <w:spacing w:after="100" w:line="240" w:lineRule="auto"/>
      <w:ind w:left="720" w:right="720"/>
    </w:pPr>
    <w:rPr>
      <w:rFonts w:ascii="Arial" w:eastAsia="Times New Roman" w:hAnsi="Arial" w:cs="Times New Roman"/>
      <w:sz w:val="24"/>
      <w:szCs w:val="24"/>
    </w:rPr>
  </w:style>
  <w:style w:type="paragraph" w:customStyle="1" w:styleId="wls">
    <w:name w:val="wls"/>
    <w:basedOn w:val="wl"/>
    <w:qFormat/>
    <w:rsid w:val="005F506D"/>
    <w:pPr>
      <w:spacing w:before="100" w:after="300"/>
    </w:pPr>
  </w:style>
  <w:style w:type="paragraph" w:customStyle="1" w:styleId="wsh">
    <w:name w:val="wsh"/>
    <w:qFormat/>
    <w:rsid w:val="005F506D"/>
    <w:pPr>
      <w:spacing w:after="0" w:line="240" w:lineRule="auto"/>
      <w:outlineLvl w:val="8"/>
    </w:pPr>
    <w:rPr>
      <w:rFonts w:ascii="Arial" w:eastAsia="Times New Roman" w:hAnsi="Arial" w:cs="Times New Roman"/>
      <w:sz w:val="24"/>
      <w:szCs w:val="24"/>
    </w:rPr>
  </w:style>
  <w:style w:type="character" w:customStyle="1" w:styleId="xbk">
    <w:name w:val="xbk"/>
    <w:rsid w:val="005F506D"/>
  </w:style>
  <w:style w:type="character" w:customStyle="1" w:styleId="xbr">
    <w:name w:val="xbr"/>
    <w:rsid w:val="005F506D"/>
    <w:rPr>
      <w:color w:val="800080"/>
    </w:rPr>
  </w:style>
  <w:style w:type="character" w:customStyle="1" w:styleId="xref">
    <w:name w:val="xref"/>
    <w:rsid w:val="005F506D"/>
    <w:rPr>
      <w:color w:val="FF6600"/>
      <w:bdr w:val="none" w:sz="0" w:space="0" w:color="auto"/>
    </w:rPr>
  </w:style>
  <w:style w:type="character" w:customStyle="1" w:styleId="xref-i">
    <w:name w:val="xref-i"/>
    <w:uiPriority w:val="1"/>
    <w:qFormat/>
    <w:rsid w:val="005F506D"/>
    <w:rPr>
      <w:rFonts w:eastAsia="MS Mincho"/>
      <w:i/>
      <w:color w:val="FF6600"/>
      <w:bdr w:val="none" w:sz="0" w:space="0" w:color="auto"/>
    </w:rPr>
  </w:style>
  <w:style w:type="character" w:customStyle="1" w:styleId="sm-sub-i">
    <w:name w:val="sm-sub-i"/>
    <w:rsid w:val="005F506D"/>
    <w:rPr>
      <w:b/>
    </w:rPr>
  </w:style>
  <w:style w:type="character" w:customStyle="1" w:styleId="sm-sup-i">
    <w:name w:val="sm-sup-i"/>
    <w:rsid w:val="005F506D"/>
    <w:rPr>
      <w:b/>
    </w:rPr>
  </w:style>
  <w:style w:type="character" w:customStyle="1" w:styleId="sm-sup">
    <w:name w:val="sm-sup"/>
    <w:rsid w:val="005F506D"/>
    <w:rPr>
      <w:b/>
    </w:rPr>
  </w:style>
  <w:style w:type="character" w:customStyle="1" w:styleId="sm-sub">
    <w:name w:val="sm-sub"/>
    <w:rsid w:val="005F506D"/>
    <w:rPr>
      <w:b/>
    </w:rPr>
  </w:style>
  <w:style w:type="paragraph" w:customStyle="1" w:styleId="Plain">
    <w:name w:val="Plain"/>
    <w:basedOn w:val="ct0"/>
    <w:link w:val="PlainChar"/>
    <w:qFormat/>
    <w:rsid w:val="005F506D"/>
    <w:pPr>
      <w:jc w:val="left"/>
    </w:pPr>
    <w:rPr>
      <w:rFonts w:ascii="Courier New" w:hAnsi="Courier New" w:cs="Courier New"/>
      <w:noProof w:val="0"/>
      <w:sz w:val="22"/>
    </w:rPr>
  </w:style>
  <w:style w:type="character" w:customStyle="1" w:styleId="ctChar">
    <w:name w:val="ct Char"/>
    <w:link w:val="ct0"/>
    <w:rsid w:val="005F506D"/>
    <w:rPr>
      <w:rFonts w:ascii="Times New Roman" w:eastAsia="Times New Roman" w:hAnsi="Times New Roman" w:cs="Times New Roman"/>
      <w:noProof/>
      <w:sz w:val="60"/>
      <w:szCs w:val="20"/>
    </w:rPr>
  </w:style>
  <w:style w:type="character" w:customStyle="1" w:styleId="PlainChar">
    <w:name w:val="Plain Char"/>
    <w:link w:val="Plain"/>
    <w:rsid w:val="005F506D"/>
    <w:rPr>
      <w:rFonts w:ascii="Courier New" w:eastAsia="Times New Roman" w:hAnsi="Courier New" w:cs="Courier New"/>
      <w:szCs w:val="20"/>
    </w:rPr>
  </w:style>
  <w:style w:type="character" w:customStyle="1" w:styleId="medium-font">
    <w:name w:val="medium-font"/>
    <w:basedOn w:val="DefaultParagraphFont"/>
    <w:rsid w:val="009C0D26"/>
  </w:style>
  <w:style w:type="character" w:customStyle="1" w:styleId="a">
    <w:name w:val="a"/>
    <w:basedOn w:val="DefaultParagraphFont"/>
    <w:rsid w:val="00F5577F"/>
  </w:style>
  <w:style w:type="character" w:customStyle="1" w:styleId="a-size-large">
    <w:name w:val="a-size-large"/>
    <w:basedOn w:val="DefaultParagraphFont"/>
    <w:rsid w:val="002F1D32"/>
  </w:style>
  <w:style w:type="character" w:customStyle="1" w:styleId="itempublisher">
    <w:name w:val="itempublisher"/>
    <w:basedOn w:val="DefaultParagraphFont"/>
    <w:rsid w:val="000A5D90"/>
  </w:style>
  <w:style w:type="character" w:styleId="Strong">
    <w:name w:val="Strong"/>
    <w:basedOn w:val="DefaultParagraphFont"/>
    <w:uiPriority w:val="22"/>
    <w:qFormat/>
    <w:rsid w:val="00A96CC9"/>
    <w:rPr>
      <w:b/>
      <w:bCs/>
    </w:rPr>
  </w:style>
  <w:style w:type="character" w:styleId="HTMLCite">
    <w:name w:val="HTML Cite"/>
    <w:basedOn w:val="DefaultParagraphFont"/>
    <w:uiPriority w:val="99"/>
    <w:semiHidden/>
    <w:unhideWhenUsed/>
    <w:rsid w:val="00D65AE4"/>
    <w:rPr>
      <w:i/>
      <w:iCs/>
    </w:rPr>
  </w:style>
  <w:style w:type="character" w:customStyle="1" w:styleId="italics">
    <w:name w:val="italics"/>
    <w:basedOn w:val="DefaultParagraphFont"/>
    <w:rsid w:val="00F764F6"/>
  </w:style>
  <w:style w:type="character" w:customStyle="1" w:styleId="interlinear">
    <w:name w:val="interlinear"/>
    <w:basedOn w:val="DefaultParagraphFont"/>
    <w:rsid w:val="00CE67B2"/>
  </w:style>
  <w:style w:type="paragraph" w:customStyle="1" w:styleId="Titel">
    <w:name w:val="Titel"/>
    <w:basedOn w:val="Default"/>
    <w:next w:val="Default"/>
    <w:uiPriority w:val="99"/>
    <w:rsid w:val="006D5921"/>
    <w:pPr>
      <w:widowControl/>
    </w:pPr>
    <w:rPr>
      <w:rFonts w:ascii="MPNLIB+TimesNewRoman" w:eastAsiaTheme="minorHAnsi" w:hAnsi="MPNLIB+TimesNewRoman" w:cstheme="minorBidi"/>
      <w:color w:val="auto"/>
    </w:rPr>
  </w:style>
  <w:style w:type="character" w:customStyle="1" w:styleId="addmd">
    <w:name w:val="addmd"/>
    <w:basedOn w:val="DefaultParagraphFont"/>
    <w:rsid w:val="00543561"/>
  </w:style>
  <w:style w:type="character" w:customStyle="1" w:styleId="descrip">
    <w:name w:val="descrip"/>
    <w:basedOn w:val="DefaultParagraphFont"/>
    <w:rsid w:val="00543561"/>
  </w:style>
  <w:style w:type="character" w:customStyle="1" w:styleId="italic0">
    <w:name w:val="italic"/>
    <w:basedOn w:val="DefaultParagraphFont"/>
    <w:rsid w:val="00C052D1"/>
  </w:style>
  <w:style w:type="paragraph" w:customStyle="1" w:styleId="Title1">
    <w:name w:val="Title1"/>
    <w:basedOn w:val="Normal"/>
    <w:rsid w:val="00FB2A07"/>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FB2A07"/>
    <w:pPr>
      <w:spacing w:before="100" w:beforeAutospacing="1" w:after="100" w:afterAutospacing="1"/>
      <w:ind w:firstLine="0"/>
    </w:pPr>
    <w:rPr>
      <w:rFonts w:ascii="Times New Roman" w:eastAsia="Times New Roman" w:hAnsi="Times New Roman" w:cs="Times New Roman"/>
      <w:sz w:val="24"/>
      <w:szCs w:val="24"/>
    </w:rPr>
  </w:style>
  <w:style w:type="paragraph" w:customStyle="1" w:styleId="detail">
    <w:name w:val="detail"/>
    <w:basedOn w:val="Normal"/>
    <w:rsid w:val="00FB2A07"/>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or">
    <w:name w:val="author"/>
    <w:basedOn w:val="Normal"/>
    <w:rsid w:val="0053413D"/>
    <w:pPr>
      <w:spacing w:before="100" w:beforeAutospacing="1" w:after="100" w:afterAutospacing="1"/>
      <w:ind w:firstLine="0"/>
    </w:pPr>
    <w:rPr>
      <w:rFonts w:ascii="Times New Roman" w:eastAsia="Times New Roman" w:hAnsi="Times New Roman" w:cs="Times New Roman"/>
      <w:sz w:val="24"/>
      <w:szCs w:val="24"/>
    </w:rPr>
  </w:style>
  <w:style w:type="character" w:customStyle="1" w:styleId="nlmyear">
    <w:name w:val="nlm_year"/>
    <w:basedOn w:val="DefaultParagraphFont"/>
    <w:rsid w:val="003C562F"/>
  </w:style>
  <w:style w:type="character" w:customStyle="1" w:styleId="nlmarticle-title">
    <w:name w:val="nlm_article-title"/>
    <w:basedOn w:val="DefaultParagraphFont"/>
    <w:rsid w:val="003C562F"/>
  </w:style>
  <w:style w:type="character" w:customStyle="1" w:styleId="nlmfpage">
    <w:name w:val="nlm_fpage"/>
    <w:basedOn w:val="DefaultParagraphFont"/>
    <w:rsid w:val="003C562F"/>
  </w:style>
  <w:style w:type="character" w:customStyle="1" w:styleId="nlmlpage">
    <w:name w:val="nlm_lpage"/>
    <w:basedOn w:val="DefaultParagraphFont"/>
    <w:rsid w:val="003C562F"/>
  </w:style>
  <w:style w:type="character" w:customStyle="1" w:styleId="l6">
    <w:name w:val="l6"/>
    <w:basedOn w:val="DefaultParagraphFont"/>
    <w:rsid w:val="0007747D"/>
  </w:style>
  <w:style w:type="character" w:customStyle="1" w:styleId="hlfld-title">
    <w:name w:val="hlfld-title"/>
    <w:basedOn w:val="DefaultParagraphFont"/>
    <w:rsid w:val="00446FC0"/>
  </w:style>
  <w:style w:type="character" w:customStyle="1" w:styleId="aqj">
    <w:name w:val="aqj"/>
    <w:basedOn w:val="DefaultParagraphFont"/>
    <w:rsid w:val="008C70A4"/>
  </w:style>
  <w:style w:type="character" w:customStyle="1" w:styleId="call-number">
    <w:name w:val="call-number"/>
    <w:basedOn w:val="DefaultParagraphFont"/>
    <w:rsid w:val="00DA4AB5"/>
  </w:style>
  <w:style w:type="character" w:customStyle="1" w:styleId="Title2">
    <w:name w:val="Title2"/>
    <w:basedOn w:val="DefaultParagraphFont"/>
    <w:rsid w:val="00191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ANormal"/>
    <w:qFormat/>
    <w:rsid w:val="00A4251E"/>
    <w:pPr>
      <w:spacing w:after="0" w:line="240" w:lineRule="auto"/>
      <w:ind w:firstLine="720"/>
    </w:pPr>
    <w:rPr>
      <w:rFonts w:eastAsiaTheme="minorEastAsia"/>
    </w:rPr>
  </w:style>
  <w:style w:type="paragraph" w:styleId="Heading1">
    <w:name w:val="heading 1"/>
    <w:aliases w:val="AAHeading 1"/>
    <w:basedOn w:val="Normal"/>
    <w:next w:val="Normal"/>
    <w:link w:val="Heading1Char"/>
    <w:autoRedefine/>
    <w:qFormat/>
    <w:rsid w:val="003A15D1"/>
    <w:pPr>
      <w:keepNext/>
      <w:keepLines/>
      <w:spacing w:before="360" w:after="240"/>
      <w:ind w:firstLine="0"/>
      <w:outlineLvl w:val="0"/>
    </w:pPr>
    <w:rPr>
      <w:rFonts w:eastAsiaTheme="minorHAnsi" w:cstheme="majorBidi"/>
      <w:b/>
      <w:bCs/>
      <w:iCs/>
      <w:sz w:val="28"/>
    </w:rPr>
  </w:style>
  <w:style w:type="paragraph" w:styleId="Heading2">
    <w:name w:val="heading 2"/>
    <w:aliases w:val="AAHeading 2"/>
    <w:basedOn w:val="Normal"/>
    <w:next w:val="Normal"/>
    <w:link w:val="Heading2Char"/>
    <w:autoRedefine/>
    <w:unhideWhenUsed/>
    <w:qFormat/>
    <w:rsid w:val="00C32D2F"/>
    <w:pPr>
      <w:keepNext/>
      <w:keepLines/>
      <w:spacing w:before="200" w:after="120"/>
      <w:ind w:firstLine="0"/>
      <w:outlineLvl w:val="1"/>
    </w:pPr>
    <w:rPr>
      <w:rFonts w:eastAsiaTheme="majorEastAsia" w:cstheme="majorBidi"/>
      <w:b/>
      <w:bCs/>
      <w:sz w:val="26"/>
    </w:rPr>
  </w:style>
  <w:style w:type="paragraph" w:styleId="Heading3">
    <w:name w:val="heading 3"/>
    <w:basedOn w:val="Normal"/>
    <w:next w:val="Normal"/>
    <w:link w:val="Heading3Char"/>
    <w:autoRedefine/>
    <w:unhideWhenUsed/>
    <w:qFormat/>
    <w:rsid w:val="009955B8"/>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semiHidden/>
    <w:qFormat/>
    <w:rsid w:val="005F506D"/>
    <w:pPr>
      <w:widowControl w:val="0"/>
      <w:autoSpaceDE w:val="0"/>
      <w:autoSpaceDN w:val="0"/>
      <w:adjustRightInd w:val="0"/>
      <w:ind w:firstLine="0"/>
      <w:outlineLvl w:val="3"/>
    </w:pPr>
    <w:rPr>
      <w:rFonts w:ascii="Tahoma" w:eastAsia="Times New Roman" w:hAnsi="Tahoma" w:cs="Times New Roman"/>
      <w:sz w:val="38"/>
      <w:szCs w:val="20"/>
    </w:rPr>
  </w:style>
  <w:style w:type="paragraph" w:styleId="Heading5">
    <w:name w:val="heading 5"/>
    <w:basedOn w:val="Normal"/>
    <w:next w:val="Normal"/>
    <w:link w:val="Heading5Char"/>
    <w:semiHidden/>
    <w:qFormat/>
    <w:rsid w:val="005F506D"/>
    <w:pPr>
      <w:keepNext/>
      <w:spacing w:line="480" w:lineRule="auto"/>
      <w:ind w:firstLine="0"/>
      <w:outlineLvl w:val="4"/>
    </w:pPr>
    <w:rPr>
      <w:rFonts w:ascii="Times New Roman" w:eastAsia="Times New Roman" w:hAnsi="Times New Roman" w:cs="Times New Roman"/>
      <w:sz w:val="36"/>
      <w:szCs w:val="20"/>
    </w:rPr>
  </w:style>
  <w:style w:type="paragraph" w:styleId="Heading6">
    <w:name w:val="heading 6"/>
    <w:basedOn w:val="Normal"/>
    <w:next w:val="Normal"/>
    <w:link w:val="Heading6Char"/>
    <w:semiHidden/>
    <w:qFormat/>
    <w:rsid w:val="005F506D"/>
    <w:pPr>
      <w:keepNext/>
      <w:ind w:firstLine="0"/>
      <w:outlineLvl w:val="5"/>
    </w:pPr>
    <w:rPr>
      <w:rFonts w:ascii="Times New Roman" w:eastAsia="Times New Roman" w:hAnsi="Times New Roman" w:cs="Times New Roman"/>
      <w:sz w:val="34"/>
      <w:szCs w:val="20"/>
    </w:rPr>
  </w:style>
  <w:style w:type="paragraph" w:styleId="Heading7">
    <w:name w:val="heading 7"/>
    <w:basedOn w:val="Normal"/>
    <w:next w:val="Normal"/>
    <w:link w:val="Heading7Char"/>
    <w:semiHidden/>
    <w:qFormat/>
    <w:rsid w:val="005F506D"/>
    <w:pPr>
      <w:keepNext/>
      <w:ind w:firstLine="0"/>
      <w:outlineLvl w:val="6"/>
    </w:pPr>
    <w:rPr>
      <w:rFonts w:ascii="Times New Roman" w:eastAsia="Times New Roman" w:hAnsi="Times New Roman" w:cs="Times New Roman"/>
      <w:sz w:val="32"/>
      <w:szCs w:val="20"/>
    </w:rPr>
  </w:style>
  <w:style w:type="paragraph" w:styleId="Heading8">
    <w:name w:val="heading 8"/>
    <w:basedOn w:val="Normal"/>
    <w:next w:val="Normal"/>
    <w:link w:val="Heading8Char"/>
    <w:semiHidden/>
    <w:qFormat/>
    <w:rsid w:val="005F506D"/>
    <w:pPr>
      <w:keepNext/>
      <w:ind w:firstLine="0"/>
      <w:outlineLvl w:val="7"/>
    </w:pPr>
    <w:rPr>
      <w:rFonts w:ascii="Times New Roman" w:eastAsia="Times New Roman" w:hAnsi="Times New Roman" w:cs="Times New Roman"/>
      <w:sz w:val="30"/>
      <w:szCs w:val="20"/>
    </w:rPr>
  </w:style>
  <w:style w:type="paragraph" w:styleId="Heading9">
    <w:name w:val="heading 9"/>
    <w:basedOn w:val="Normal"/>
    <w:next w:val="Normal"/>
    <w:link w:val="Heading9Char"/>
    <w:semiHidden/>
    <w:qFormat/>
    <w:rsid w:val="005F506D"/>
    <w:pPr>
      <w:keepNext/>
      <w:ind w:firstLine="0"/>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aliases w:val="AAList Paragraph,AAList"/>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aliases w:val="AAHeading 1 Char"/>
    <w:basedOn w:val="DefaultParagraphFont"/>
    <w:link w:val="Heading1"/>
    <w:rsid w:val="003A15D1"/>
    <w:rPr>
      <w:rFonts w:cstheme="majorBidi"/>
      <w:b/>
      <w:bCs/>
      <w:iCs/>
      <w:sz w:val="28"/>
    </w:rPr>
  </w:style>
  <w:style w:type="character" w:customStyle="1" w:styleId="Heading2Char">
    <w:name w:val="Heading 2 Char"/>
    <w:aliases w:val="AAHeading 2 Char"/>
    <w:basedOn w:val="DefaultParagraphFont"/>
    <w:link w:val="Heading2"/>
    <w:rsid w:val="00C32D2F"/>
    <w:rPr>
      <w:rFonts w:eastAsiaTheme="majorEastAsia" w:cstheme="majorBidi"/>
      <w:b/>
      <w:bCs/>
      <w:sz w:val="26"/>
    </w:rPr>
  </w:style>
  <w:style w:type="paragraph" w:styleId="Title">
    <w:name w:val="Title"/>
    <w:basedOn w:val="Normal"/>
    <w:next w:val="Normal"/>
    <w:link w:val="TitleChar"/>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rsid w:val="009955B8"/>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3E3153"/>
    <w:pPr>
      <w:ind w:firstLine="0"/>
    </w:pPr>
    <w:rPr>
      <w:rFonts w:cs="Times New Roman"/>
      <w:lang w:bidi="he-IL"/>
    </w:rPr>
  </w:style>
  <w:style w:type="character" w:customStyle="1" w:styleId="PlainTextChar">
    <w:name w:val="Plain Text Char"/>
    <w:basedOn w:val="DefaultParagraphFont"/>
    <w:link w:val="PlainText"/>
    <w:rsid w:val="003E3153"/>
    <w:rPr>
      <w:rFonts w:eastAsiaTheme="minorEastAsia" w:cs="Times New Roman"/>
      <w:lang w:bidi="he-IL"/>
    </w:rPr>
  </w:style>
  <w:style w:type="paragraph" w:styleId="FootnoteText">
    <w:name w:val="footnote text"/>
    <w:basedOn w:val="Normal"/>
    <w:link w:val="FootnoteTextChar"/>
    <w:uiPriority w:val="99"/>
    <w:unhideWhenUsed/>
    <w:rsid w:val="00622F9D"/>
    <w:rPr>
      <w:sz w:val="20"/>
      <w:szCs w:val="20"/>
    </w:rPr>
  </w:style>
  <w:style w:type="character" w:customStyle="1" w:styleId="FootnoteTextChar">
    <w:name w:val="Footnote Text Char"/>
    <w:basedOn w:val="DefaultParagraphFont"/>
    <w:link w:val="FootnoteText"/>
    <w:uiPriority w:val="99"/>
    <w:rsid w:val="00622F9D"/>
    <w:rPr>
      <w:rFonts w:eastAsiaTheme="minorEastAsia"/>
      <w:sz w:val="20"/>
      <w:szCs w:val="20"/>
    </w:rPr>
  </w:style>
  <w:style w:type="character" w:styleId="FootnoteReference">
    <w:name w:val="footnote reference"/>
    <w:basedOn w:val="DefaultParagraphFont"/>
    <w:uiPriority w:val="99"/>
    <w:semiHidden/>
    <w:unhideWhenUsed/>
    <w:rsid w:val="00622F9D"/>
    <w:rPr>
      <w:vertAlign w:val="superscript"/>
    </w:rPr>
  </w:style>
  <w:style w:type="paragraph" w:customStyle="1" w:styleId="p">
    <w:name w:val="p"/>
    <w:rsid w:val="001B2642"/>
    <w:pPr>
      <w:widowControl w:val="0"/>
      <w:spacing w:after="0" w:line="360" w:lineRule="auto"/>
      <w:ind w:firstLine="720"/>
    </w:pPr>
    <w:rPr>
      <w:rFonts w:ascii="Times New Roman" w:eastAsia="Times New Roman" w:hAnsi="Times New Roman" w:cs="Times New Roman"/>
      <w:sz w:val="24"/>
      <w:szCs w:val="24"/>
    </w:rPr>
  </w:style>
  <w:style w:type="paragraph" w:customStyle="1" w:styleId="pf">
    <w:name w:val="pf"/>
    <w:rsid w:val="001B2642"/>
    <w:pPr>
      <w:widowControl w:val="0"/>
      <w:spacing w:before="480" w:after="0" w:line="360" w:lineRule="auto"/>
    </w:pPr>
    <w:rPr>
      <w:rFonts w:ascii="Times New Roman" w:eastAsia="Times New Roman" w:hAnsi="Times New Roman" w:cs="Times New Roman"/>
      <w:noProof/>
      <w:sz w:val="24"/>
      <w:szCs w:val="24"/>
    </w:rPr>
  </w:style>
  <w:style w:type="character" w:customStyle="1" w:styleId="i">
    <w:name w:val="i"/>
    <w:rsid w:val="001B2642"/>
    <w:rPr>
      <w:i/>
      <w:color w:val="008000"/>
      <w:szCs w:val="24"/>
      <w:bdr w:val="none" w:sz="0" w:space="0" w:color="auto"/>
    </w:rPr>
  </w:style>
  <w:style w:type="character" w:styleId="LineNumber">
    <w:name w:val="line number"/>
    <w:basedOn w:val="DefaultParagraphFont"/>
    <w:uiPriority w:val="99"/>
    <w:semiHidden/>
    <w:unhideWhenUsed/>
    <w:rsid w:val="00666D38"/>
  </w:style>
  <w:style w:type="character" w:customStyle="1" w:styleId="Heading4Char">
    <w:name w:val="Heading 4 Char"/>
    <w:basedOn w:val="DefaultParagraphFont"/>
    <w:link w:val="Heading4"/>
    <w:semiHidden/>
    <w:rsid w:val="005F506D"/>
    <w:rPr>
      <w:rFonts w:ascii="Tahoma" w:eastAsia="Times New Roman" w:hAnsi="Tahoma" w:cs="Times New Roman"/>
      <w:sz w:val="38"/>
      <w:szCs w:val="20"/>
    </w:rPr>
  </w:style>
  <w:style w:type="character" w:customStyle="1" w:styleId="Heading5Char">
    <w:name w:val="Heading 5 Char"/>
    <w:basedOn w:val="DefaultParagraphFont"/>
    <w:link w:val="Heading5"/>
    <w:semiHidden/>
    <w:rsid w:val="005F506D"/>
    <w:rPr>
      <w:rFonts w:ascii="Times New Roman" w:eastAsia="Times New Roman" w:hAnsi="Times New Roman" w:cs="Times New Roman"/>
      <w:sz w:val="36"/>
      <w:szCs w:val="20"/>
    </w:rPr>
  </w:style>
  <w:style w:type="character" w:customStyle="1" w:styleId="Heading6Char">
    <w:name w:val="Heading 6 Char"/>
    <w:basedOn w:val="DefaultParagraphFont"/>
    <w:link w:val="Heading6"/>
    <w:semiHidden/>
    <w:rsid w:val="005F506D"/>
    <w:rPr>
      <w:rFonts w:ascii="Times New Roman" w:eastAsia="Times New Roman" w:hAnsi="Times New Roman" w:cs="Times New Roman"/>
      <w:sz w:val="34"/>
      <w:szCs w:val="20"/>
    </w:rPr>
  </w:style>
  <w:style w:type="character" w:customStyle="1" w:styleId="Heading7Char">
    <w:name w:val="Heading 7 Char"/>
    <w:basedOn w:val="DefaultParagraphFont"/>
    <w:link w:val="Heading7"/>
    <w:semiHidden/>
    <w:rsid w:val="005F506D"/>
    <w:rPr>
      <w:rFonts w:ascii="Times New Roman" w:eastAsia="Times New Roman" w:hAnsi="Times New Roman" w:cs="Times New Roman"/>
      <w:sz w:val="32"/>
      <w:szCs w:val="20"/>
    </w:rPr>
  </w:style>
  <w:style w:type="character" w:customStyle="1" w:styleId="Heading8Char">
    <w:name w:val="Heading 8 Char"/>
    <w:basedOn w:val="DefaultParagraphFont"/>
    <w:link w:val="Heading8"/>
    <w:semiHidden/>
    <w:rsid w:val="005F506D"/>
    <w:rPr>
      <w:rFonts w:ascii="Times New Roman" w:eastAsia="Times New Roman" w:hAnsi="Times New Roman" w:cs="Times New Roman"/>
      <w:sz w:val="30"/>
      <w:szCs w:val="20"/>
    </w:rPr>
  </w:style>
  <w:style w:type="character" w:customStyle="1" w:styleId="Heading9Char">
    <w:name w:val="Heading 9 Char"/>
    <w:basedOn w:val="DefaultParagraphFont"/>
    <w:link w:val="Heading9"/>
    <w:semiHidden/>
    <w:rsid w:val="005F506D"/>
    <w:rPr>
      <w:rFonts w:ascii="Times New Roman" w:eastAsia="Times New Roman" w:hAnsi="Times New Roman" w:cs="Times New Roman"/>
      <w:sz w:val="28"/>
      <w:szCs w:val="20"/>
    </w:rPr>
  </w:style>
  <w:style w:type="paragraph" w:customStyle="1" w:styleId="Noparagraphstyle">
    <w:name w:val="[No paragraph style]"/>
    <w:rsid w:val="005F506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NormalParagraphStyle">
    <w:name w:val="NormalParagraphStyle"/>
    <w:basedOn w:val="Noparagraphstyle"/>
    <w:uiPriority w:val="99"/>
    <w:rsid w:val="005F506D"/>
    <w:pPr>
      <w:jc w:val="both"/>
    </w:pPr>
    <w:rPr>
      <w:rFonts w:ascii="PalatinoLTStd-Roman" w:hAnsi="PalatinoLTStd-Roman" w:cs="PalatinoLTStd-Roman"/>
      <w:sz w:val="20"/>
      <w:szCs w:val="20"/>
    </w:rPr>
  </w:style>
  <w:style w:type="paragraph" w:customStyle="1" w:styleId="MasterText">
    <w:name w:val="MasterText"/>
    <w:basedOn w:val="NormalParagraphStyle"/>
    <w:uiPriority w:val="99"/>
    <w:rsid w:val="005F506D"/>
    <w:rPr>
      <w:sz w:val="22"/>
      <w:szCs w:val="22"/>
    </w:rPr>
  </w:style>
  <w:style w:type="paragraph" w:customStyle="1" w:styleId="CN">
    <w:name w:val="CN"/>
    <w:basedOn w:val="MasterText"/>
    <w:next w:val="CT"/>
    <w:uiPriority w:val="99"/>
    <w:rsid w:val="005F506D"/>
    <w:pPr>
      <w:keepNext/>
      <w:keepLines/>
      <w:spacing w:line="240" w:lineRule="auto"/>
      <w:jc w:val="center"/>
    </w:pPr>
    <w:rPr>
      <w:rFonts w:ascii="AmericanaStd-ExtraBold" w:hAnsi="AmericanaStd-ExtraBold" w:cs="AmericanaStd-ExtraBold"/>
      <w:b/>
      <w:bCs/>
      <w:color w:val="FFFFFF"/>
      <w:sz w:val="136"/>
      <w:szCs w:val="136"/>
    </w:rPr>
  </w:style>
  <w:style w:type="paragraph" w:customStyle="1" w:styleId="MasterHead">
    <w:name w:val="MasterHead"/>
    <w:basedOn w:val="NormalParagraphStyle"/>
    <w:next w:val="T1"/>
    <w:uiPriority w:val="99"/>
    <w:rsid w:val="005F506D"/>
    <w:pPr>
      <w:keepNext/>
      <w:suppressAutoHyphens/>
      <w:spacing w:before="480" w:after="360" w:line="270" w:lineRule="auto"/>
      <w:jc w:val="left"/>
    </w:pPr>
    <w:rPr>
      <w:rFonts w:ascii="OptimaLTStd-Bold" w:hAnsi="OptimaLTStd-Bold" w:cs="OptimaLTStd-Bold"/>
      <w:b/>
      <w:bCs/>
      <w:sz w:val="32"/>
      <w:szCs w:val="32"/>
    </w:rPr>
  </w:style>
  <w:style w:type="paragraph" w:customStyle="1" w:styleId="CT">
    <w:name w:val="CT"/>
    <w:basedOn w:val="MasterHead"/>
    <w:next w:val="CTs"/>
    <w:uiPriority w:val="99"/>
    <w:rsid w:val="005F506D"/>
    <w:pPr>
      <w:keepLines/>
      <w:spacing w:before="0" w:after="0"/>
    </w:pPr>
    <w:rPr>
      <w:rFonts w:ascii="TrajanPro-Regular" w:hAnsi="TrajanPro-Regular" w:cs="TrajanPro-Regular"/>
      <w:sz w:val="40"/>
      <w:szCs w:val="40"/>
    </w:rPr>
  </w:style>
  <w:style w:type="paragraph" w:customStyle="1" w:styleId="CA">
    <w:name w:val="CA"/>
    <w:basedOn w:val="MasterText"/>
    <w:next w:val="CAA"/>
    <w:uiPriority w:val="99"/>
    <w:rsid w:val="005F506D"/>
    <w:pPr>
      <w:keepLines/>
      <w:suppressAutoHyphens/>
      <w:spacing w:before="240" w:after="960"/>
      <w:jc w:val="left"/>
    </w:pPr>
    <w:rPr>
      <w:rFonts w:ascii="OptimaLTStd-Medium" w:hAnsi="OptimaLTStd-Medium" w:cs="OptimaLTStd-Medium"/>
      <w:sz w:val="24"/>
      <w:szCs w:val="24"/>
    </w:rPr>
  </w:style>
  <w:style w:type="paragraph" w:customStyle="1" w:styleId="1">
    <w:name w:val="1"/>
    <w:basedOn w:val="MasterHead"/>
    <w:next w:val="T1"/>
    <w:uiPriority w:val="99"/>
    <w:rsid w:val="005F506D"/>
    <w:pPr>
      <w:keepLines/>
      <w:tabs>
        <w:tab w:val="left" w:pos="420"/>
      </w:tabs>
      <w:spacing w:before="600"/>
    </w:pPr>
  </w:style>
  <w:style w:type="paragraph" w:customStyle="1" w:styleId="T">
    <w:name w:val="T"/>
    <w:basedOn w:val="MasterText"/>
    <w:uiPriority w:val="99"/>
    <w:rsid w:val="005F506D"/>
    <w:pPr>
      <w:ind w:firstLine="240"/>
    </w:pPr>
    <w:rPr>
      <w:rFonts w:ascii="Times New Roman" w:hAnsi="Times New Roman"/>
    </w:rPr>
  </w:style>
  <w:style w:type="paragraph" w:customStyle="1" w:styleId="T1">
    <w:name w:val="T1"/>
    <w:basedOn w:val="T"/>
    <w:next w:val="T"/>
    <w:uiPriority w:val="99"/>
    <w:rsid w:val="005F506D"/>
    <w:pPr>
      <w:spacing w:line="360" w:lineRule="auto"/>
      <w:ind w:firstLine="0"/>
    </w:pPr>
  </w:style>
  <w:style w:type="paragraph" w:customStyle="1" w:styleId="BH">
    <w:name w:val="BH"/>
    <w:basedOn w:val="1"/>
    <w:next w:val="T1"/>
    <w:uiPriority w:val="99"/>
    <w:rsid w:val="005F506D"/>
  </w:style>
  <w:style w:type="paragraph" w:customStyle="1" w:styleId="RF">
    <w:name w:val="RF"/>
    <w:basedOn w:val="MasterText"/>
    <w:uiPriority w:val="99"/>
    <w:rsid w:val="005F506D"/>
    <w:pPr>
      <w:keepLines/>
      <w:tabs>
        <w:tab w:val="decimal" w:pos="320"/>
        <w:tab w:val="left" w:pos="440"/>
      </w:tabs>
      <w:spacing w:line="282" w:lineRule="auto"/>
      <w:ind w:left="440" w:hanging="440"/>
    </w:pPr>
    <w:rPr>
      <w:rFonts w:ascii="Times New Roman" w:hAnsi="Times New Roman"/>
      <w:sz w:val="18"/>
      <w:szCs w:val="18"/>
    </w:rPr>
  </w:style>
  <w:style w:type="paragraph" w:customStyle="1" w:styleId="ABCA">
    <w:name w:val="ABCA"/>
    <w:basedOn w:val="CA"/>
    <w:uiPriority w:val="99"/>
    <w:rsid w:val="005F506D"/>
    <w:pPr>
      <w:spacing w:after="0"/>
    </w:pPr>
  </w:style>
  <w:style w:type="paragraph" w:customStyle="1" w:styleId="5">
    <w:name w:val="5"/>
    <w:basedOn w:val="T1"/>
    <w:next w:val="T"/>
    <w:uiPriority w:val="99"/>
    <w:rsid w:val="005F506D"/>
    <w:pPr>
      <w:spacing w:before="240"/>
    </w:pPr>
  </w:style>
  <w:style w:type="paragraph" w:customStyle="1" w:styleId="AB1">
    <w:name w:val="AB1"/>
    <w:basedOn w:val="5"/>
    <w:uiPriority w:val="99"/>
    <w:rsid w:val="005F506D"/>
    <w:pPr>
      <w:spacing w:before="180" w:after="60"/>
    </w:pPr>
  </w:style>
  <w:style w:type="paragraph" w:customStyle="1" w:styleId="MasterTable">
    <w:name w:val="MasterTable"/>
    <w:basedOn w:val="NormalParagraphStyle"/>
    <w:uiPriority w:val="99"/>
    <w:rsid w:val="005F506D"/>
    <w:pPr>
      <w:suppressAutoHyphens/>
      <w:spacing w:line="293" w:lineRule="auto"/>
      <w:jc w:val="left"/>
    </w:pPr>
    <w:rPr>
      <w:rFonts w:ascii="OptimaLTStd-Medium" w:hAnsi="OptimaLTStd-Medium" w:cs="OptimaLTStd-Medium"/>
      <w:sz w:val="16"/>
      <w:szCs w:val="16"/>
    </w:rPr>
  </w:style>
  <w:style w:type="paragraph" w:customStyle="1" w:styleId="TB">
    <w:name w:val="TB"/>
    <w:basedOn w:val="MasterTable"/>
    <w:uiPriority w:val="99"/>
    <w:rsid w:val="005F506D"/>
    <w:pPr>
      <w:ind w:left="80" w:hanging="80"/>
    </w:pPr>
  </w:style>
  <w:style w:type="paragraph" w:customStyle="1" w:styleId="ABT1">
    <w:name w:val="ABT1"/>
    <w:basedOn w:val="TB"/>
    <w:uiPriority w:val="99"/>
    <w:rsid w:val="005F506D"/>
    <w:pPr>
      <w:spacing w:line="360" w:lineRule="auto"/>
      <w:ind w:left="0" w:firstLine="0"/>
      <w:jc w:val="both"/>
    </w:pPr>
    <w:rPr>
      <w:rFonts w:ascii="Times New Roman" w:hAnsi="Times New Roman"/>
    </w:rPr>
  </w:style>
  <w:style w:type="paragraph" w:customStyle="1" w:styleId="ABT">
    <w:name w:val="ABT"/>
    <w:basedOn w:val="TB"/>
    <w:uiPriority w:val="99"/>
    <w:rsid w:val="005F506D"/>
    <w:pPr>
      <w:spacing w:line="360" w:lineRule="auto"/>
      <w:ind w:left="0" w:firstLine="240"/>
      <w:jc w:val="both"/>
    </w:pPr>
    <w:rPr>
      <w:rFonts w:ascii="Times New Roman" w:hAnsi="Times New Roman"/>
    </w:rPr>
  </w:style>
  <w:style w:type="paragraph" w:customStyle="1" w:styleId="CTs">
    <w:name w:val="CTs"/>
    <w:basedOn w:val="CT"/>
    <w:next w:val="CA"/>
    <w:uiPriority w:val="99"/>
    <w:rsid w:val="005F506D"/>
    <w:pPr>
      <w:spacing w:before="240" w:after="960"/>
    </w:pPr>
    <w:rPr>
      <w:b w:val="0"/>
      <w:bCs w:val="0"/>
      <w:i/>
      <w:iCs/>
      <w:sz w:val="28"/>
      <w:szCs w:val="28"/>
    </w:rPr>
  </w:style>
  <w:style w:type="paragraph" w:customStyle="1" w:styleId="CAA">
    <w:name w:val="CAA"/>
    <w:basedOn w:val="CA"/>
    <w:next w:val="T1"/>
    <w:uiPriority w:val="99"/>
    <w:rsid w:val="005F506D"/>
    <w:pPr>
      <w:spacing w:before="60" w:after="1920"/>
    </w:pPr>
    <w:rPr>
      <w:rFonts w:ascii="PalatinoLTStd-MediumItalic" w:hAnsi="PalatinoLTStd-MediumItalic" w:cs="PalatinoLTStd-MediumItalic"/>
      <w:i/>
      <w:iCs/>
      <w:sz w:val="20"/>
      <w:szCs w:val="20"/>
    </w:rPr>
  </w:style>
  <w:style w:type="character" w:customStyle="1" w:styleId="Superscript">
    <w:name w:val="Superscript"/>
    <w:uiPriority w:val="99"/>
    <w:rsid w:val="005F506D"/>
    <w:rPr>
      <w:rFonts w:ascii="Times New Roman" w:hAnsi="Times New Roman"/>
      <w:vertAlign w:val="superscript"/>
    </w:rPr>
  </w:style>
  <w:style w:type="character" w:customStyle="1" w:styleId="Italic">
    <w:name w:val="Italic"/>
    <w:uiPriority w:val="99"/>
    <w:rsid w:val="005F506D"/>
    <w:rPr>
      <w:i/>
    </w:rPr>
  </w:style>
  <w:style w:type="character" w:customStyle="1" w:styleId="51">
    <w:name w:val="51"/>
    <w:uiPriority w:val="99"/>
    <w:rsid w:val="005F506D"/>
    <w:rPr>
      <w:rFonts w:ascii="OptimaLTStd-Italic" w:hAnsi="OptimaLTStd-Italic"/>
      <w:i/>
    </w:rPr>
  </w:style>
  <w:style w:type="paragraph" w:styleId="BalloonText">
    <w:name w:val="Balloon Text"/>
    <w:basedOn w:val="Normal"/>
    <w:link w:val="BalloonTextChar"/>
    <w:semiHidden/>
    <w:rsid w:val="005F506D"/>
    <w:pPr>
      <w:ind w:firstLine="0"/>
    </w:pPr>
    <w:rPr>
      <w:rFonts w:ascii="Tahoma" w:eastAsia="Times New Roman" w:hAnsi="Tahoma" w:cs="Times New Roman"/>
      <w:sz w:val="24"/>
      <w:szCs w:val="16"/>
    </w:rPr>
  </w:style>
  <w:style w:type="character" w:customStyle="1" w:styleId="BalloonTextChar">
    <w:name w:val="Balloon Text Char"/>
    <w:basedOn w:val="DefaultParagraphFont"/>
    <w:link w:val="BalloonText"/>
    <w:semiHidden/>
    <w:rsid w:val="005F506D"/>
    <w:rPr>
      <w:rFonts w:ascii="Tahoma" w:eastAsia="Times New Roman" w:hAnsi="Tahoma" w:cs="Times New Roman"/>
      <w:sz w:val="24"/>
      <w:szCs w:val="16"/>
    </w:rPr>
  </w:style>
  <w:style w:type="character" w:styleId="CommentReference">
    <w:name w:val="annotation reference"/>
    <w:semiHidden/>
    <w:rsid w:val="005F506D"/>
    <w:rPr>
      <w:sz w:val="16"/>
      <w:szCs w:val="16"/>
    </w:rPr>
  </w:style>
  <w:style w:type="paragraph" w:styleId="CommentText">
    <w:name w:val="annotation text"/>
    <w:basedOn w:val="Normal"/>
    <w:link w:val="CommentTextChar"/>
    <w:semiHidden/>
    <w:rsid w:val="005F506D"/>
    <w:pPr>
      <w:ind w:firstLine="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F50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F506D"/>
  </w:style>
  <w:style w:type="character" w:customStyle="1" w:styleId="CommentSubjectChar">
    <w:name w:val="Comment Subject Char"/>
    <w:basedOn w:val="CommentTextChar"/>
    <w:link w:val="CommentSubject"/>
    <w:semiHidden/>
    <w:rsid w:val="005F506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F506D"/>
    <w:pPr>
      <w:tabs>
        <w:tab w:val="center" w:pos="4680"/>
        <w:tab w:val="right" w:pos="9360"/>
      </w:tabs>
      <w:ind w:firstLine="0"/>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F506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506D"/>
    <w:pPr>
      <w:tabs>
        <w:tab w:val="center" w:pos="4680"/>
        <w:tab w:val="right" w:pos="9360"/>
      </w:tabs>
      <w:ind w:firstLine="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F506D"/>
    <w:rPr>
      <w:rFonts w:ascii="Times New Roman" w:eastAsia="Times New Roman" w:hAnsi="Times New Roman" w:cs="Times New Roman"/>
      <w:sz w:val="20"/>
      <w:szCs w:val="20"/>
    </w:rPr>
  </w:style>
  <w:style w:type="paragraph" w:customStyle="1" w:styleId="NoteLevel2">
    <w:name w:val="Note Level 2"/>
    <w:aliases w:val="Chapter Number"/>
    <w:basedOn w:val="T1"/>
    <w:uiPriority w:val="1"/>
    <w:qFormat/>
    <w:rsid w:val="005F506D"/>
    <w:pPr>
      <w:jc w:val="left"/>
    </w:pPr>
    <w:rPr>
      <w:b/>
      <w:sz w:val="26"/>
      <w:szCs w:val="26"/>
    </w:rPr>
  </w:style>
  <w:style w:type="paragraph" w:styleId="Subtitle">
    <w:name w:val="Subtitle"/>
    <w:aliases w:val="Author"/>
    <w:basedOn w:val="T1"/>
    <w:next w:val="Normal"/>
    <w:link w:val="SubtitleChar"/>
    <w:uiPriority w:val="11"/>
    <w:qFormat/>
    <w:rsid w:val="005F506D"/>
    <w:pPr>
      <w:jc w:val="left"/>
    </w:pPr>
    <w:rPr>
      <w:i/>
      <w:sz w:val="26"/>
      <w:szCs w:val="26"/>
    </w:rPr>
  </w:style>
  <w:style w:type="character" w:customStyle="1" w:styleId="SubtitleChar">
    <w:name w:val="Subtitle Char"/>
    <w:aliases w:val="Author Char"/>
    <w:basedOn w:val="DefaultParagraphFont"/>
    <w:link w:val="Subtitle"/>
    <w:uiPriority w:val="11"/>
    <w:rsid w:val="005F506D"/>
    <w:rPr>
      <w:rFonts w:ascii="Times New Roman" w:eastAsia="Times New Roman" w:hAnsi="Times New Roman" w:cs="PalatinoLTStd-Roman"/>
      <w:i/>
      <w:color w:val="000000"/>
      <w:sz w:val="26"/>
      <w:szCs w:val="26"/>
    </w:rPr>
  </w:style>
  <w:style w:type="paragraph" w:styleId="EndnoteText">
    <w:name w:val="endnote text"/>
    <w:basedOn w:val="Normal"/>
    <w:link w:val="EndnoteTextChar"/>
    <w:rsid w:val="005F506D"/>
    <w:pPr>
      <w:ind w:firstLine="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F506D"/>
    <w:rPr>
      <w:rFonts w:ascii="Times New Roman" w:eastAsia="Times New Roman" w:hAnsi="Times New Roman" w:cs="Times New Roman"/>
      <w:sz w:val="20"/>
      <w:szCs w:val="20"/>
    </w:rPr>
  </w:style>
  <w:style w:type="character" w:styleId="EndnoteReference">
    <w:name w:val="endnote reference"/>
    <w:uiPriority w:val="99"/>
    <w:unhideWhenUsed/>
    <w:rsid w:val="005F506D"/>
    <w:rPr>
      <w:rFonts w:ascii="Times New Roman" w:hAnsi="Times New Roman"/>
      <w:vertAlign w:val="superscript"/>
    </w:rPr>
  </w:style>
  <w:style w:type="character" w:customStyle="1" w:styleId="abbr">
    <w:name w:val="abbr"/>
    <w:rsid w:val="005F506D"/>
    <w:rPr>
      <w:color w:val="3366FF"/>
    </w:rPr>
  </w:style>
  <w:style w:type="character" w:customStyle="1" w:styleId="ac">
    <w:name w:val="ac"/>
    <w:rsid w:val="005F506D"/>
    <w:rPr>
      <w:caps/>
      <w:smallCaps w:val="0"/>
    </w:rPr>
  </w:style>
  <w:style w:type="paragraph" w:customStyle="1" w:styleId="ah">
    <w:name w:val="ah"/>
    <w:next w:val="Normal"/>
    <w:rsid w:val="005F506D"/>
    <w:pPr>
      <w:spacing w:before="360" w:after="60" w:line="240" w:lineRule="auto"/>
      <w:outlineLvl w:val="2"/>
    </w:pPr>
    <w:rPr>
      <w:rFonts w:ascii="Arial" w:eastAsia="Times New Roman" w:hAnsi="Arial" w:cs="Times New Roman"/>
      <w:sz w:val="40"/>
      <w:szCs w:val="20"/>
    </w:rPr>
  </w:style>
  <w:style w:type="paragraph" w:customStyle="1" w:styleId="ahaft">
    <w:name w:val="ahaft"/>
    <w:basedOn w:val="ah"/>
    <w:next w:val="Normal"/>
    <w:rsid w:val="005F506D"/>
    <w:pPr>
      <w:spacing w:before="100"/>
    </w:pPr>
  </w:style>
  <w:style w:type="paragraph" w:customStyle="1" w:styleId="ans">
    <w:name w:val="ans"/>
    <w:basedOn w:val="p"/>
    <w:rsid w:val="005F506D"/>
    <w:pPr>
      <w:ind w:firstLine="0"/>
    </w:pPr>
  </w:style>
  <w:style w:type="paragraph" w:customStyle="1" w:styleId="ansf">
    <w:name w:val="ansf"/>
    <w:next w:val="ans"/>
    <w:rsid w:val="005F506D"/>
    <w:pPr>
      <w:spacing w:before="100" w:after="0" w:line="480" w:lineRule="auto"/>
    </w:pPr>
    <w:rPr>
      <w:rFonts w:ascii="Times New Roman" w:eastAsia="Times New Roman" w:hAnsi="Times New Roman" w:cs="Times New Roman"/>
      <w:sz w:val="24"/>
      <w:szCs w:val="24"/>
    </w:rPr>
  </w:style>
  <w:style w:type="paragraph" w:customStyle="1" w:styleId="ard">
    <w:name w:val="ard"/>
    <w:basedOn w:val="pf"/>
    <w:rsid w:val="005F506D"/>
    <w:rPr>
      <w:rFonts w:ascii="Arial" w:hAnsi="Arial"/>
    </w:rPr>
  </w:style>
  <w:style w:type="paragraph" w:customStyle="1" w:styleId="au">
    <w:name w:val="au"/>
    <w:rsid w:val="005F506D"/>
    <w:pPr>
      <w:spacing w:after="0" w:line="240" w:lineRule="auto"/>
      <w:jc w:val="center"/>
    </w:pPr>
    <w:rPr>
      <w:rFonts w:ascii="Times New Roman" w:eastAsia="Times New Roman" w:hAnsi="Times New Roman" w:cs="Times New Roman"/>
      <w:sz w:val="44"/>
      <w:szCs w:val="20"/>
    </w:rPr>
  </w:style>
  <w:style w:type="paragraph" w:customStyle="1" w:styleId="au1">
    <w:name w:val="au1"/>
    <w:basedOn w:val="au"/>
    <w:rsid w:val="005F506D"/>
    <w:rPr>
      <w:sz w:val="40"/>
    </w:rPr>
  </w:style>
  <w:style w:type="paragraph" w:customStyle="1" w:styleId="aubio">
    <w:name w:val="aubio"/>
    <w:rsid w:val="005F506D"/>
    <w:pPr>
      <w:spacing w:after="0" w:line="240" w:lineRule="auto"/>
      <w:ind w:firstLine="720"/>
    </w:pPr>
    <w:rPr>
      <w:rFonts w:ascii="Arial" w:eastAsia="Times New Roman" w:hAnsi="Arial" w:cs="Times New Roman"/>
      <w:sz w:val="24"/>
      <w:szCs w:val="20"/>
    </w:rPr>
  </w:style>
  <w:style w:type="paragraph" w:customStyle="1" w:styleId="aubiof">
    <w:name w:val="aubiof"/>
    <w:basedOn w:val="aubio"/>
    <w:next w:val="aubio"/>
    <w:rsid w:val="005F506D"/>
    <w:pPr>
      <w:spacing w:before="100"/>
      <w:ind w:firstLine="0"/>
    </w:pPr>
  </w:style>
  <w:style w:type="character" w:customStyle="1" w:styleId="b">
    <w:name w:val="b"/>
    <w:rsid w:val="005F506D"/>
    <w:rPr>
      <w:b/>
      <w:color w:val="FF00FF"/>
      <w:sz w:val="24"/>
      <w:szCs w:val="24"/>
      <w:bdr w:val="none" w:sz="0" w:space="0" w:color="auto"/>
    </w:rPr>
  </w:style>
  <w:style w:type="character" w:customStyle="1" w:styleId="bcv">
    <w:name w:val="bcv"/>
    <w:uiPriority w:val="1"/>
    <w:qFormat/>
    <w:rsid w:val="005F506D"/>
    <w:rPr>
      <w:rFonts w:ascii="Cambria" w:hAnsi="Cambria"/>
      <w:vertAlign w:val="superscript"/>
    </w:rPr>
  </w:style>
  <w:style w:type="paragraph" w:customStyle="1" w:styleId="bh0">
    <w:name w:val="bh"/>
    <w:next w:val="Normal"/>
    <w:autoRedefine/>
    <w:rsid w:val="005F506D"/>
    <w:pPr>
      <w:spacing w:before="360" w:after="0" w:line="240" w:lineRule="auto"/>
      <w:outlineLvl w:val="3"/>
    </w:pPr>
    <w:rPr>
      <w:rFonts w:ascii="Arial" w:eastAsia="Times New Roman" w:hAnsi="Arial" w:cs="Times New Roman"/>
      <w:noProof/>
      <w:sz w:val="36"/>
      <w:szCs w:val="20"/>
    </w:rPr>
  </w:style>
  <w:style w:type="paragraph" w:customStyle="1" w:styleId="bhaft">
    <w:name w:val="bhaft"/>
    <w:basedOn w:val="Normal"/>
    <w:next w:val="Normal"/>
    <w:rsid w:val="005F506D"/>
    <w:pPr>
      <w:widowControl w:val="0"/>
      <w:spacing w:before="100"/>
      <w:ind w:firstLine="0"/>
      <w:outlineLvl w:val="3"/>
    </w:pPr>
    <w:rPr>
      <w:rFonts w:ascii="Arial" w:eastAsia="Times New Roman" w:hAnsi="Arial" w:cs="Times New Roman"/>
      <w:sz w:val="36"/>
      <w:szCs w:val="20"/>
    </w:rPr>
  </w:style>
  <w:style w:type="character" w:customStyle="1" w:styleId="bi">
    <w:name w:val="bi"/>
    <w:rsid w:val="005F506D"/>
    <w:rPr>
      <w:b/>
      <w:i/>
      <w:color w:val="FF6600"/>
      <w:bdr w:val="none" w:sz="0" w:space="0" w:color="auto"/>
    </w:rPr>
  </w:style>
  <w:style w:type="paragraph" w:customStyle="1" w:styleId="bk">
    <w:name w:val="bk"/>
    <w:rsid w:val="005F506D"/>
    <w:pPr>
      <w:pageBreakBefore/>
      <w:spacing w:after="400" w:line="240" w:lineRule="auto"/>
      <w:jc w:val="center"/>
    </w:pPr>
    <w:rPr>
      <w:rFonts w:ascii="Arial" w:eastAsia="Times New Roman" w:hAnsi="Arial" w:cs="Times New Roman"/>
      <w:noProof/>
      <w:sz w:val="44"/>
      <w:szCs w:val="20"/>
    </w:rPr>
  </w:style>
  <w:style w:type="paragraph" w:customStyle="1" w:styleId="bk1">
    <w:name w:val="bk1"/>
    <w:basedOn w:val="bk"/>
    <w:rsid w:val="005F506D"/>
    <w:pPr>
      <w:pageBreakBefore w:val="0"/>
    </w:pPr>
    <w:rPr>
      <w:sz w:val="36"/>
    </w:rPr>
  </w:style>
  <w:style w:type="paragraph" w:customStyle="1" w:styleId="bk2">
    <w:name w:val="bk2"/>
    <w:basedOn w:val="bk1"/>
    <w:rsid w:val="005F506D"/>
    <w:rPr>
      <w:sz w:val="28"/>
    </w:rPr>
  </w:style>
  <w:style w:type="paragraph" w:customStyle="1" w:styleId="bkalt">
    <w:name w:val="bkalt"/>
    <w:basedOn w:val="bk2"/>
    <w:rsid w:val="005F506D"/>
    <w:pPr>
      <w:spacing w:after="340"/>
    </w:pPr>
    <w:rPr>
      <w:sz w:val="34"/>
    </w:rPr>
  </w:style>
  <w:style w:type="paragraph" w:customStyle="1" w:styleId="cn0">
    <w:name w:val="cn"/>
    <w:rsid w:val="005F506D"/>
    <w:pPr>
      <w:pageBreakBefore/>
      <w:widowControl w:val="0"/>
      <w:spacing w:after="0" w:line="240" w:lineRule="auto"/>
      <w:jc w:val="center"/>
      <w:outlineLvl w:val="1"/>
    </w:pPr>
    <w:rPr>
      <w:rFonts w:ascii="Times New Roman" w:eastAsia="Times New Roman" w:hAnsi="Times New Roman" w:cs="Times New Roman"/>
      <w:sz w:val="44"/>
      <w:szCs w:val="20"/>
    </w:rPr>
  </w:style>
  <w:style w:type="paragraph" w:customStyle="1" w:styleId="bkau">
    <w:name w:val="bkau"/>
    <w:basedOn w:val="cn0"/>
    <w:rsid w:val="005F506D"/>
    <w:pPr>
      <w:pageBreakBefore w:val="0"/>
      <w:outlineLvl w:val="9"/>
    </w:pPr>
  </w:style>
  <w:style w:type="paragraph" w:customStyle="1" w:styleId="bkau1">
    <w:name w:val="bkau1"/>
    <w:basedOn w:val="bkau"/>
    <w:rsid w:val="005F506D"/>
    <w:pPr>
      <w:spacing w:after="300"/>
    </w:pPr>
    <w:rPr>
      <w:sz w:val="30"/>
    </w:rPr>
  </w:style>
  <w:style w:type="paragraph" w:customStyle="1" w:styleId="bkht">
    <w:name w:val="bkht"/>
    <w:basedOn w:val="cn0"/>
    <w:rsid w:val="005F506D"/>
  </w:style>
  <w:style w:type="paragraph" w:customStyle="1" w:styleId="bkpub">
    <w:name w:val="bkpub"/>
    <w:rsid w:val="005F506D"/>
    <w:pPr>
      <w:spacing w:after="260" w:line="240" w:lineRule="auto"/>
      <w:jc w:val="center"/>
    </w:pPr>
    <w:rPr>
      <w:rFonts w:ascii="Arial" w:eastAsia="Times New Roman" w:hAnsi="Arial" w:cs="Times New Roman"/>
      <w:noProof/>
      <w:sz w:val="26"/>
      <w:szCs w:val="20"/>
    </w:rPr>
  </w:style>
  <w:style w:type="paragraph" w:customStyle="1" w:styleId="bkpub1">
    <w:name w:val="bkpub1"/>
    <w:basedOn w:val="bkpub"/>
    <w:rsid w:val="005F506D"/>
    <w:pPr>
      <w:spacing w:after="240"/>
    </w:pPr>
    <w:rPr>
      <w:sz w:val="24"/>
    </w:rPr>
  </w:style>
  <w:style w:type="paragraph" w:customStyle="1" w:styleId="bksect">
    <w:name w:val="bksect"/>
    <w:basedOn w:val="pf"/>
    <w:rsid w:val="005F506D"/>
    <w:pPr>
      <w:jc w:val="center"/>
    </w:pPr>
    <w:rPr>
      <w:sz w:val="32"/>
    </w:rPr>
  </w:style>
  <w:style w:type="paragraph" w:customStyle="1" w:styleId="ul">
    <w:name w:val="ul"/>
    <w:autoRedefine/>
    <w:rsid w:val="005F506D"/>
    <w:pPr>
      <w:spacing w:after="0" w:line="480" w:lineRule="auto"/>
      <w:ind w:left="1440" w:hanging="360"/>
    </w:pPr>
    <w:rPr>
      <w:rFonts w:ascii="Times New Roman" w:eastAsia="Times New Roman" w:hAnsi="Times New Roman" w:cs="Times New Roman"/>
      <w:sz w:val="24"/>
      <w:szCs w:val="24"/>
    </w:rPr>
  </w:style>
  <w:style w:type="paragraph" w:customStyle="1" w:styleId="bl">
    <w:name w:val="bl"/>
    <w:basedOn w:val="ul"/>
    <w:rsid w:val="005F506D"/>
  </w:style>
  <w:style w:type="paragraph" w:customStyle="1" w:styleId="nl">
    <w:name w:val="nl"/>
    <w:rsid w:val="005F506D"/>
    <w:pPr>
      <w:widowControl w:val="0"/>
      <w:spacing w:after="0" w:line="480" w:lineRule="auto"/>
      <w:ind w:left="360" w:hanging="360"/>
    </w:pPr>
    <w:rPr>
      <w:rFonts w:ascii="Times New Roman" w:eastAsia="Times New Roman" w:hAnsi="Times New Roman" w:cs="Times New Roman"/>
      <w:sz w:val="24"/>
      <w:szCs w:val="24"/>
    </w:rPr>
  </w:style>
  <w:style w:type="paragraph" w:customStyle="1" w:styleId="nl1">
    <w:name w:val="nl1"/>
    <w:basedOn w:val="nl"/>
    <w:rsid w:val="005F506D"/>
    <w:pPr>
      <w:ind w:left="720"/>
    </w:pPr>
  </w:style>
  <w:style w:type="paragraph" w:customStyle="1" w:styleId="ul1">
    <w:name w:val="ul1"/>
    <w:basedOn w:val="nl1"/>
    <w:rsid w:val="005F506D"/>
  </w:style>
  <w:style w:type="paragraph" w:customStyle="1" w:styleId="bl1">
    <w:name w:val="bl1"/>
    <w:basedOn w:val="ul1"/>
    <w:rsid w:val="005F506D"/>
    <w:pPr>
      <w:ind w:left="1800"/>
    </w:pPr>
  </w:style>
  <w:style w:type="paragraph" w:customStyle="1" w:styleId="ul1f">
    <w:name w:val="ul1f"/>
    <w:basedOn w:val="ul1"/>
    <w:next w:val="ul1"/>
    <w:rsid w:val="005F506D"/>
    <w:pPr>
      <w:spacing w:before="240"/>
      <w:ind w:left="1800"/>
    </w:pPr>
  </w:style>
  <w:style w:type="paragraph" w:customStyle="1" w:styleId="bl1f">
    <w:name w:val="bl1f"/>
    <w:basedOn w:val="ul1f"/>
    <w:next w:val="bl1"/>
    <w:rsid w:val="005F506D"/>
  </w:style>
  <w:style w:type="paragraph" w:customStyle="1" w:styleId="ul1l">
    <w:name w:val="ul1l"/>
    <w:basedOn w:val="ul1"/>
    <w:rsid w:val="005F506D"/>
    <w:pPr>
      <w:spacing w:after="240"/>
      <w:ind w:left="1800"/>
    </w:pPr>
  </w:style>
  <w:style w:type="paragraph" w:customStyle="1" w:styleId="bl1l">
    <w:name w:val="bl1l"/>
    <w:basedOn w:val="ul1l"/>
    <w:rsid w:val="005F506D"/>
  </w:style>
  <w:style w:type="paragraph" w:customStyle="1" w:styleId="bl1p">
    <w:name w:val="bl1p"/>
    <w:basedOn w:val="bl1"/>
    <w:rsid w:val="005F506D"/>
    <w:pPr>
      <w:ind w:firstLine="360"/>
    </w:pPr>
  </w:style>
  <w:style w:type="paragraph" w:customStyle="1" w:styleId="bl1pl">
    <w:name w:val="bl1pl"/>
    <w:basedOn w:val="bl1p"/>
    <w:rsid w:val="005F506D"/>
    <w:pPr>
      <w:spacing w:after="240"/>
    </w:pPr>
  </w:style>
  <w:style w:type="paragraph" w:customStyle="1" w:styleId="ul1s">
    <w:name w:val="ul1s"/>
    <w:basedOn w:val="ul1f"/>
    <w:qFormat/>
    <w:rsid w:val="005F506D"/>
    <w:pPr>
      <w:spacing w:after="240"/>
    </w:pPr>
  </w:style>
  <w:style w:type="paragraph" w:customStyle="1" w:styleId="AAHeading3">
    <w:name w:val="AAHeading 3"/>
    <w:basedOn w:val="ul1s"/>
    <w:qFormat/>
    <w:rsid w:val="00C51A40"/>
    <w:pPr>
      <w:ind w:left="0" w:firstLine="0"/>
    </w:pPr>
    <w:rPr>
      <w:rFonts w:asciiTheme="majorHAnsi" w:hAnsiTheme="majorHAnsi"/>
      <w:b/>
      <w:sz w:val="22"/>
    </w:rPr>
  </w:style>
  <w:style w:type="paragraph" w:customStyle="1" w:styleId="ulf">
    <w:name w:val="ulf"/>
    <w:basedOn w:val="ul"/>
    <w:next w:val="ul"/>
    <w:autoRedefine/>
    <w:rsid w:val="005F506D"/>
    <w:pPr>
      <w:tabs>
        <w:tab w:val="left" w:pos="216"/>
      </w:tabs>
      <w:spacing w:before="240"/>
    </w:pPr>
    <w:rPr>
      <w:noProof/>
      <w:color w:val="000000"/>
      <w:kern w:val="44"/>
      <w:szCs w:val="20"/>
    </w:rPr>
  </w:style>
  <w:style w:type="paragraph" w:customStyle="1" w:styleId="blf">
    <w:name w:val="blf"/>
    <w:basedOn w:val="ulf"/>
    <w:next w:val="bl"/>
    <w:qFormat/>
    <w:rsid w:val="005F506D"/>
  </w:style>
  <w:style w:type="paragraph" w:customStyle="1" w:styleId="blh">
    <w:name w:val="blh"/>
    <w:basedOn w:val="bl"/>
    <w:qFormat/>
    <w:rsid w:val="005F506D"/>
  </w:style>
  <w:style w:type="paragraph" w:customStyle="1" w:styleId="ull">
    <w:name w:val="ull"/>
    <w:basedOn w:val="ul"/>
    <w:autoRedefine/>
    <w:rsid w:val="005F506D"/>
    <w:pPr>
      <w:spacing w:after="240"/>
    </w:pPr>
  </w:style>
  <w:style w:type="paragraph" w:customStyle="1" w:styleId="bll">
    <w:name w:val="bll"/>
    <w:basedOn w:val="ull"/>
    <w:qFormat/>
    <w:rsid w:val="005F506D"/>
  </w:style>
  <w:style w:type="paragraph" w:styleId="BlockText">
    <w:name w:val="Block Text"/>
    <w:basedOn w:val="Normal"/>
    <w:semiHidden/>
    <w:rsid w:val="005F506D"/>
    <w:pPr>
      <w:ind w:left="288" w:right="288" w:firstLine="0"/>
    </w:pPr>
    <w:rPr>
      <w:rFonts w:ascii="Times New Roman" w:eastAsia="Times New Roman" w:hAnsi="Times New Roman" w:cs="Times New Roman"/>
      <w:sz w:val="20"/>
      <w:szCs w:val="20"/>
    </w:rPr>
  </w:style>
  <w:style w:type="paragraph" w:customStyle="1" w:styleId="uls">
    <w:name w:val="uls"/>
    <w:basedOn w:val="ul"/>
    <w:rsid w:val="005F506D"/>
    <w:pPr>
      <w:spacing w:before="240" w:after="240"/>
    </w:pPr>
  </w:style>
  <w:style w:type="paragraph" w:customStyle="1" w:styleId="blp">
    <w:name w:val="blp"/>
    <w:basedOn w:val="uls"/>
    <w:qFormat/>
    <w:rsid w:val="005F506D"/>
    <w:pPr>
      <w:spacing w:before="0" w:after="0"/>
      <w:ind w:firstLine="360"/>
    </w:pPr>
  </w:style>
  <w:style w:type="paragraph" w:customStyle="1" w:styleId="blpl">
    <w:name w:val="blpl"/>
    <w:basedOn w:val="bll"/>
    <w:qFormat/>
    <w:rsid w:val="005F506D"/>
    <w:pPr>
      <w:ind w:firstLine="720"/>
    </w:pPr>
  </w:style>
  <w:style w:type="paragraph" w:customStyle="1" w:styleId="bls">
    <w:name w:val="bls"/>
    <w:basedOn w:val="uls"/>
    <w:qFormat/>
    <w:rsid w:val="005F506D"/>
  </w:style>
  <w:style w:type="paragraph" w:styleId="BodyText">
    <w:name w:val="Body Text"/>
    <w:basedOn w:val="Normal"/>
    <w:link w:val="BodyTextChar"/>
    <w:semiHidden/>
    <w:rsid w:val="005F506D"/>
    <w:pPr>
      <w:spacing w:after="120"/>
      <w:ind w:firstLine="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F506D"/>
    <w:rPr>
      <w:rFonts w:ascii="Times New Roman" w:eastAsia="Times New Roman" w:hAnsi="Times New Roman" w:cs="Times New Roman"/>
      <w:sz w:val="20"/>
      <w:szCs w:val="20"/>
    </w:rPr>
  </w:style>
  <w:style w:type="paragraph" w:styleId="BodyText2">
    <w:name w:val="Body Text 2"/>
    <w:basedOn w:val="Normal"/>
    <w:link w:val="BodyText2Char"/>
    <w:semiHidden/>
    <w:rsid w:val="005F506D"/>
    <w:pPr>
      <w:spacing w:line="480" w:lineRule="auto"/>
      <w:ind w:firstLine="0"/>
    </w:pPr>
    <w:rPr>
      <w:rFonts w:ascii="Times New Roman" w:eastAsia="Times New Roman" w:hAnsi="Times New Roman" w:cs="Times New Roman"/>
      <w:bCs/>
      <w:sz w:val="20"/>
      <w:szCs w:val="20"/>
    </w:rPr>
  </w:style>
  <w:style w:type="character" w:customStyle="1" w:styleId="BodyText2Char">
    <w:name w:val="Body Text 2 Char"/>
    <w:basedOn w:val="DefaultParagraphFont"/>
    <w:link w:val="BodyText2"/>
    <w:semiHidden/>
    <w:rsid w:val="005F506D"/>
    <w:rPr>
      <w:rFonts w:ascii="Times New Roman" w:eastAsia="Times New Roman" w:hAnsi="Times New Roman" w:cs="Times New Roman"/>
      <w:bCs/>
      <w:sz w:val="20"/>
      <w:szCs w:val="20"/>
    </w:rPr>
  </w:style>
  <w:style w:type="paragraph" w:styleId="BodyText3">
    <w:name w:val="Body Text 3"/>
    <w:basedOn w:val="Normal"/>
    <w:link w:val="BodyText3Char"/>
    <w:semiHidden/>
    <w:rsid w:val="005F506D"/>
    <w:pPr>
      <w:spacing w:line="480" w:lineRule="auto"/>
      <w:ind w:right="432" w:firstLine="0"/>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semiHidden/>
    <w:rsid w:val="005F506D"/>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5F506D"/>
    <w:pPr>
      <w:spacing w:after="120"/>
      <w:ind w:left="360" w:firstLine="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5F506D"/>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5F506D"/>
    <w:pPr>
      <w:widowControl w:val="0"/>
      <w:autoSpaceDE w:val="0"/>
      <w:autoSpaceDN w:val="0"/>
      <w:adjustRightInd w:val="0"/>
      <w:spacing w:line="480" w:lineRule="auto"/>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5F506D"/>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5F506D"/>
    <w:pPr>
      <w:tabs>
        <w:tab w:val="left" w:pos="720"/>
      </w:tabs>
      <w:spacing w:line="480" w:lineRule="auto"/>
      <w:ind w:left="288" w:firstLine="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5F506D"/>
    <w:rPr>
      <w:rFonts w:ascii="Times New Roman" w:eastAsia="Times New Roman" w:hAnsi="Times New Roman" w:cs="Times New Roman"/>
      <w:sz w:val="20"/>
      <w:szCs w:val="20"/>
    </w:rPr>
  </w:style>
  <w:style w:type="paragraph" w:customStyle="1" w:styleId="bq">
    <w:name w:val="bq"/>
    <w:basedOn w:val="p"/>
    <w:rsid w:val="005F506D"/>
    <w:pPr>
      <w:spacing w:line="240" w:lineRule="auto"/>
      <w:ind w:left="360" w:right="360"/>
      <w:jc w:val="both"/>
    </w:pPr>
    <w:rPr>
      <w:sz w:val="22"/>
    </w:rPr>
  </w:style>
  <w:style w:type="paragraph" w:customStyle="1" w:styleId="bq1">
    <w:name w:val="bq1"/>
    <w:basedOn w:val="bq"/>
    <w:rsid w:val="005F506D"/>
    <w:pPr>
      <w:ind w:left="648" w:right="648"/>
    </w:pPr>
  </w:style>
  <w:style w:type="paragraph" w:customStyle="1" w:styleId="bq1f">
    <w:name w:val="bq1f"/>
    <w:basedOn w:val="bq1"/>
    <w:next w:val="bq1"/>
    <w:rsid w:val="005F506D"/>
    <w:pPr>
      <w:spacing w:before="100"/>
      <w:ind w:firstLine="0"/>
    </w:pPr>
  </w:style>
  <w:style w:type="paragraph" w:customStyle="1" w:styleId="bq1l">
    <w:name w:val="bq1l"/>
    <w:basedOn w:val="bq1"/>
    <w:next w:val="bq"/>
    <w:rsid w:val="005F506D"/>
    <w:pPr>
      <w:spacing w:after="100"/>
    </w:pPr>
  </w:style>
  <w:style w:type="paragraph" w:customStyle="1" w:styleId="bq1s">
    <w:name w:val="bq1s"/>
    <w:basedOn w:val="bq1"/>
    <w:rsid w:val="005F506D"/>
    <w:pPr>
      <w:spacing w:before="100" w:after="100"/>
      <w:ind w:firstLine="0"/>
    </w:pPr>
    <w:rPr>
      <w:szCs w:val="22"/>
      <w:lang w:bidi="he-IL"/>
    </w:rPr>
  </w:style>
  <w:style w:type="paragraph" w:customStyle="1" w:styleId="bqf">
    <w:name w:val="bqf"/>
    <w:basedOn w:val="bq"/>
    <w:next w:val="bq"/>
    <w:autoRedefine/>
    <w:rsid w:val="005F506D"/>
    <w:pPr>
      <w:spacing w:before="120"/>
      <w:ind w:firstLine="0"/>
    </w:pPr>
  </w:style>
  <w:style w:type="paragraph" w:customStyle="1" w:styleId="bqaft">
    <w:name w:val="bqaft"/>
    <w:basedOn w:val="bqf"/>
    <w:qFormat/>
    <w:rsid w:val="005F506D"/>
  </w:style>
  <w:style w:type="paragraph" w:customStyle="1" w:styleId="bqs">
    <w:name w:val="bqs"/>
    <w:basedOn w:val="bq"/>
    <w:rsid w:val="005F506D"/>
    <w:pPr>
      <w:spacing w:before="120" w:after="360"/>
      <w:ind w:firstLine="0"/>
    </w:pPr>
  </w:style>
  <w:style w:type="paragraph" w:customStyle="1" w:styleId="bqh">
    <w:name w:val="bqh"/>
    <w:basedOn w:val="bqs"/>
    <w:rsid w:val="005F506D"/>
    <w:pPr>
      <w:spacing w:after="120"/>
    </w:pPr>
    <w:rPr>
      <w:sz w:val="24"/>
    </w:rPr>
  </w:style>
  <w:style w:type="paragraph" w:customStyle="1" w:styleId="bql">
    <w:name w:val="bql"/>
    <w:basedOn w:val="bq"/>
    <w:next w:val="Normal"/>
    <w:autoRedefine/>
    <w:rsid w:val="005F506D"/>
    <w:pPr>
      <w:spacing w:after="360"/>
    </w:pPr>
  </w:style>
  <w:style w:type="paragraph" w:customStyle="1" w:styleId="bqnlf">
    <w:name w:val="bqnlf"/>
    <w:basedOn w:val="bqf"/>
    <w:next w:val="Normal"/>
    <w:rsid w:val="005F506D"/>
    <w:pPr>
      <w:tabs>
        <w:tab w:val="left" w:pos="360"/>
      </w:tabs>
      <w:spacing w:before="60"/>
      <w:ind w:left="1080" w:right="720" w:hanging="360"/>
    </w:pPr>
  </w:style>
  <w:style w:type="paragraph" w:customStyle="1" w:styleId="bqnl">
    <w:name w:val="bqnl"/>
    <w:basedOn w:val="bqnlf"/>
    <w:rsid w:val="005F506D"/>
    <w:pPr>
      <w:spacing w:before="0"/>
    </w:pPr>
  </w:style>
  <w:style w:type="paragraph" w:customStyle="1" w:styleId="bqnll">
    <w:name w:val="bqnll"/>
    <w:basedOn w:val="bqnlf"/>
    <w:rsid w:val="005F506D"/>
    <w:pPr>
      <w:spacing w:before="0" w:after="60"/>
    </w:pPr>
  </w:style>
  <w:style w:type="paragraph" w:customStyle="1" w:styleId="bqnls">
    <w:name w:val="bqnls"/>
    <w:basedOn w:val="bqnl"/>
    <w:rsid w:val="005F506D"/>
    <w:pPr>
      <w:spacing w:before="60" w:after="60"/>
    </w:pPr>
  </w:style>
  <w:style w:type="paragraph" w:customStyle="1" w:styleId="bqo">
    <w:name w:val="bqo"/>
    <w:qFormat/>
    <w:rsid w:val="005F506D"/>
    <w:pPr>
      <w:spacing w:before="60" w:after="360" w:line="240" w:lineRule="auto"/>
      <w:ind w:left="360" w:right="360"/>
      <w:jc w:val="both"/>
    </w:pPr>
    <w:rPr>
      <w:rFonts w:ascii="Times New Roman" w:eastAsia="Times New Roman" w:hAnsi="Times New Roman" w:cs="Times New Roman"/>
      <w:szCs w:val="24"/>
      <w:lang w:bidi="he-IL"/>
    </w:rPr>
  </w:style>
  <w:style w:type="paragraph" w:customStyle="1" w:styleId="bqsalt">
    <w:name w:val="bqsalt"/>
    <w:basedOn w:val="bqs"/>
    <w:rsid w:val="005F506D"/>
    <w:pPr>
      <w:ind w:firstLine="720"/>
    </w:pPr>
    <w:rPr>
      <w:rFonts w:eastAsia="MS Mincho"/>
    </w:rPr>
  </w:style>
  <w:style w:type="paragraph" w:customStyle="1" w:styleId="bqt">
    <w:name w:val="bqt"/>
    <w:basedOn w:val="bq"/>
    <w:qFormat/>
    <w:rsid w:val="005F506D"/>
    <w:pPr>
      <w:spacing w:after="360"/>
      <w:jc w:val="right"/>
    </w:pPr>
  </w:style>
  <w:style w:type="paragraph" w:customStyle="1" w:styleId="bqul">
    <w:name w:val="bqul"/>
    <w:basedOn w:val="bqnl"/>
    <w:rsid w:val="005F506D"/>
  </w:style>
  <w:style w:type="paragraph" w:customStyle="1" w:styleId="bqulf">
    <w:name w:val="bqulf"/>
    <w:basedOn w:val="bqf"/>
    <w:next w:val="bqul"/>
    <w:rsid w:val="005F506D"/>
    <w:pPr>
      <w:ind w:left="1080" w:right="720" w:hanging="360"/>
    </w:pPr>
  </w:style>
  <w:style w:type="paragraph" w:customStyle="1" w:styleId="bqull">
    <w:name w:val="bqull"/>
    <w:basedOn w:val="bqnl"/>
    <w:rsid w:val="005F506D"/>
  </w:style>
  <w:style w:type="paragraph" w:customStyle="1" w:styleId="bquls">
    <w:name w:val="bquls"/>
    <w:basedOn w:val="bqnls"/>
    <w:rsid w:val="005F506D"/>
    <w:rPr>
      <w:sz w:val="20"/>
      <w:szCs w:val="20"/>
    </w:rPr>
  </w:style>
  <w:style w:type="character" w:customStyle="1" w:styleId="br">
    <w:name w:val="br"/>
    <w:rsid w:val="005F506D"/>
  </w:style>
  <w:style w:type="numbering" w:customStyle="1" w:styleId="BulletList1">
    <w:name w:val="Bullet List 1"/>
    <w:rsid w:val="005F506D"/>
    <w:pPr>
      <w:numPr>
        <w:numId w:val="5"/>
      </w:numPr>
    </w:pPr>
  </w:style>
  <w:style w:type="numbering" w:customStyle="1" w:styleId="BulletList2">
    <w:name w:val="Bullet List 2"/>
    <w:rsid w:val="005F506D"/>
    <w:pPr>
      <w:numPr>
        <w:numId w:val="6"/>
      </w:numPr>
    </w:pPr>
  </w:style>
  <w:style w:type="numbering" w:customStyle="1" w:styleId="BulletList3">
    <w:name w:val="Bullet List 3"/>
    <w:rsid w:val="005F506D"/>
    <w:pPr>
      <w:numPr>
        <w:numId w:val="7"/>
      </w:numPr>
    </w:pPr>
  </w:style>
  <w:style w:type="numbering" w:customStyle="1" w:styleId="BulletList4">
    <w:name w:val="Bullet List 4"/>
    <w:rsid w:val="005F506D"/>
    <w:pPr>
      <w:numPr>
        <w:numId w:val="8"/>
      </w:numPr>
    </w:pPr>
  </w:style>
  <w:style w:type="numbering" w:customStyle="1" w:styleId="BulletList5">
    <w:name w:val="Bullet List 5"/>
    <w:rsid w:val="005F506D"/>
    <w:pPr>
      <w:numPr>
        <w:numId w:val="9"/>
      </w:numPr>
    </w:pPr>
  </w:style>
  <w:style w:type="numbering" w:customStyle="1" w:styleId="BulletList6">
    <w:name w:val="Bullet List 6"/>
    <w:rsid w:val="005F506D"/>
    <w:pPr>
      <w:numPr>
        <w:numId w:val="10"/>
      </w:numPr>
    </w:pPr>
  </w:style>
  <w:style w:type="numbering" w:customStyle="1" w:styleId="BulletList7">
    <w:name w:val="Bullet List 7"/>
    <w:rsid w:val="005F506D"/>
    <w:pPr>
      <w:numPr>
        <w:numId w:val="11"/>
      </w:numPr>
    </w:pPr>
  </w:style>
  <w:style w:type="numbering" w:customStyle="1" w:styleId="BulletList8">
    <w:name w:val="Bullet List 8"/>
    <w:rsid w:val="005F506D"/>
    <w:pPr>
      <w:numPr>
        <w:numId w:val="12"/>
      </w:numPr>
    </w:pPr>
  </w:style>
  <w:style w:type="numbering" w:customStyle="1" w:styleId="BulletList9">
    <w:name w:val="Bullet List 9"/>
    <w:rsid w:val="005F506D"/>
    <w:pPr>
      <w:numPr>
        <w:numId w:val="13"/>
      </w:numPr>
    </w:pPr>
  </w:style>
  <w:style w:type="paragraph" w:customStyle="1" w:styleId="bx">
    <w:name w:val="bx"/>
    <w:basedOn w:val="p"/>
    <w:rsid w:val="005F506D"/>
    <w:pPr>
      <w:ind w:left="720" w:right="720"/>
    </w:pPr>
    <w:rPr>
      <w:rFonts w:ascii="Arial" w:hAnsi="Arial"/>
      <w:sz w:val="20"/>
    </w:rPr>
  </w:style>
  <w:style w:type="paragraph" w:customStyle="1" w:styleId="bx1">
    <w:name w:val="bx1"/>
    <w:basedOn w:val="p"/>
    <w:rsid w:val="005F506D"/>
    <w:pPr>
      <w:ind w:left="1440" w:right="720" w:firstLine="360"/>
    </w:pPr>
    <w:rPr>
      <w:rFonts w:ascii="Arial" w:hAnsi="Arial"/>
      <w:sz w:val="20"/>
    </w:rPr>
  </w:style>
  <w:style w:type="paragraph" w:customStyle="1" w:styleId="bx1aft">
    <w:name w:val="bx1aft"/>
    <w:basedOn w:val="bx1"/>
    <w:rsid w:val="005F506D"/>
    <w:pPr>
      <w:ind w:firstLine="0"/>
    </w:pPr>
  </w:style>
  <w:style w:type="paragraph" w:customStyle="1" w:styleId="bx1h">
    <w:name w:val="bx1h"/>
    <w:basedOn w:val="p"/>
    <w:rsid w:val="005F506D"/>
    <w:pPr>
      <w:spacing w:before="100" w:after="40"/>
      <w:ind w:left="1440" w:right="720" w:firstLine="0"/>
    </w:pPr>
    <w:rPr>
      <w:rFonts w:ascii="Arial" w:hAnsi="Arial"/>
      <w:sz w:val="28"/>
    </w:rPr>
  </w:style>
  <w:style w:type="paragraph" w:customStyle="1" w:styleId="bx1ah">
    <w:name w:val="bx1ah"/>
    <w:basedOn w:val="bx1h"/>
    <w:rsid w:val="005F506D"/>
    <w:rPr>
      <w:sz w:val="24"/>
    </w:rPr>
  </w:style>
  <w:style w:type="paragraph" w:customStyle="1" w:styleId="bx1bh">
    <w:name w:val="bx1bh"/>
    <w:basedOn w:val="bx1ah"/>
    <w:rsid w:val="005F506D"/>
    <w:rPr>
      <w:sz w:val="20"/>
    </w:rPr>
  </w:style>
  <w:style w:type="paragraph" w:customStyle="1" w:styleId="bx1bqf">
    <w:name w:val="bx1bqf"/>
    <w:basedOn w:val="p"/>
    <w:next w:val="Normal"/>
    <w:rsid w:val="005F506D"/>
    <w:pPr>
      <w:spacing w:before="100" w:line="240" w:lineRule="auto"/>
      <w:ind w:left="1800" w:right="1080" w:firstLine="0"/>
      <w:jc w:val="both"/>
    </w:pPr>
    <w:rPr>
      <w:rFonts w:ascii="Arial" w:hAnsi="Arial"/>
      <w:sz w:val="18"/>
    </w:rPr>
  </w:style>
  <w:style w:type="paragraph" w:customStyle="1" w:styleId="bx1bq">
    <w:name w:val="bx1bq"/>
    <w:basedOn w:val="bx1bqf"/>
    <w:rsid w:val="005F506D"/>
    <w:pPr>
      <w:spacing w:before="0"/>
      <w:ind w:firstLine="360"/>
    </w:pPr>
  </w:style>
  <w:style w:type="paragraph" w:customStyle="1" w:styleId="bx1bql">
    <w:name w:val="bx1bql"/>
    <w:basedOn w:val="bx1bqf"/>
    <w:rsid w:val="005F506D"/>
    <w:pPr>
      <w:spacing w:before="0" w:after="300"/>
      <w:ind w:firstLine="360"/>
    </w:pPr>
  </w:style>
  <w:style w:type="paragraph" w:customStyle="1" w:styleId="bx1bqs">
    <w:name w:val="bx1bqs"/>
    <w:basedOn w:val="bx1bqf"/>
    <w:rsid w:val="005F506D"/>
    <w:pPr>
      <w:spacing w:after="300"/>
    </w:pPr>
  </w:style>
  <w:style w:type="paragraph" w:customStyle="1" w:styleId="bx1con">
    <w:name w:val="bx1con"/>
    <w:basedOn w:val="bx1aft"/>
    <w:rsid w:val="005F506D"/>
  </w:style>
  <w:style w:type="paragraph" w:customStyle="1" w:styleId="bx1f">
    <w:name w:val="bx1f"/>
    <w:basedOn w:val="p"/>
    <w:rsid w:val="005F506D"/>
    <w:pPr>
      <w:spacing w:before="100"/>
      <w:ind w:left="1440" w:right="720" w:firstLine="0"/>
    </w:pPr>
    <w:rPr>
      <w:rFonts w:ascii="Arial" w:hAnsi="Arial"/>
      <w:sz w:val="20"/>
    </w:rPr>
  </w:style>
  <w:style w:type="paragraph" w:customStyle="1" w:styleId="bx1l">
    <w:name w:val="bx1l"/>
    <w:basedOn w:val="bx1"/>
    <w:rsid w:val="005F506D"/>
    <w:pPr>
      <w:spacing w:after="100"/>
    </w:pPr>
  </w:style>
  <w:style w:type="paragraph" w:customStyle="1" w:styleId="bx1nlf">
    <w:name w:val="bx1nlf"/>
    <w:basedOn w:val="bx1"/>
    <w:next w:val="Normal"/>
    <w:rsid w:val="005F506D"/>
    <w:pPr>
      <w:spacing w:before="100"/>
      <w:ind w:left="2520" w:hanging="360"/>
    </w:pPr>
  </w:style>
  <w:style w:type="paragraph" w:customStyle="1" w:styleId="bx1nl">
    <w:name w:val="bx1nl"/>
    <w:basedOn w:val="bx1nlf"/>
    <w:rsid w:val="005F506D"/>
    <w:pPr>
      <w:spacing w:before="0"/>
    </w:pPr>
  </w:style>
  <w:style w:type="paragraph" w:customStyle="1" w:styleId="bx1nll">
    <w:name w:val="bx1nll"/>
    <w:basedOn w:val="bx1nl"/>
    <w:rsid w:val="005F506D"/>
    <w:pPr>
      <w:spacing w:after="100"/>
    </w:pPr>
  </w:style>
  <w:style w:type="paragraph" w:customStyle="1" w:styleId="bx1nlp">
    <w:name w:val="bx1nlp"/>
    <w:basedOn w:val="bx1nl"/>
    <w:rsid w:val="005F506D"/>
    <w:pPr>
      <w:ind w:firstLine="360"/>
    </w:pPr>
  </w:style>
  <w:style w:type="paragraph" w:customStyle="1" w:styleId="bx1ulf">
    <w:name w:val="bx1ulf"/>
    <w:basedOn w:val="bx1nlf"/>
    <w:next w:val="Normal"/>
    <w:rsid w:val="005F506D"/>
  </w:style>
  <w:style w:type="paragraph" w:customStyle="1" w:styleId="bx1slf">
    <w:name w:val="bx1slf"/>
    <w:basedOn w:val="bx1ulf"/>
    <w:rsid w:val="005F506D"/>
  </w:style>
  <w:style w:type="paragraph" w:customStyle="1" w:styleId="bx1sl">
    <w:name w:val="bx1sl"/>
    <w:basedOn w:val="bx1slf"/>
    <w:rsid w:val="005F506D"/>
    <w:pPr>
      <w:spacing w:before="0"/>
    </w:pPr>
  </w:style>
  <w:style w:type="paragraph" w:customStyle="1" w:styleId="bx1sll">
    <w:name w:val="bx1sll"/>
    <w:basedOn w:val="bx1nll"/>
    <w:rsid w:val="005F506D"/>
  </w:style>
  <w:style w:type="paragraph" w:customStyle="1" w:styleId="bx1t">
    <w:name w:val="bx1t"/>
    <w:basedOn w:val="p"/>
    <w:rsid w:val="005F506D"/>
    <w:pPr>
      <w:spacing w:before="200" w:after="80"/>
      <w:ind w:left="1440" w:right="1440" w:firstLine="0"/>
    </w:pPr>
    <w:rPr>
      <w:rFonts w:ascii="Arial" w:hAnsi="Arial"/>
      <w:sz w:val="32"/>
    </w:rPr>
  </w:style>
  <w:style w:type="paragraph" w:customStyle="1" w:styleId="bx1ul">
    <w:name w:val="bx1ul"/>
    <w:basedOn w:val="bx1nl"/>
    <w:rsid w:val="005F506D"/>
  </w:style>
  <w:style w:type="paragraph" w:customStyle="1" w:styleId="bx1ull">
    <w:name w:val="bx1ull"/>
    <w:basedOn w:val="bx1nll"/>
    <w:rsid w:val="005F506D"/>
  </w:style>
  <w:style w:type="paragraph" w:customStyle="1" w:styleId="bx1ulp">
    <w:name w:val="bx1ulp"/>
    <w:basedOn w:val="bx1nlp"/>
    <w:rsid w:val="005F506D"/>
  </w:style>
  <w:style w:type="paragraph" w:customStyle="1" w:styleId="bxaft">
    <w:name w:val="bxaft"/>
    <w:basedOn w:val="p"/>
    <w:rsid w:val="005F506D"/>
    <w:pPr>
      <w:ind w:left="720" w:right="720" w:firstLine="0"/>
    </w:pPr>
    <w:rPr>
      <w:rFonts w:ascii="Arial" w:hAnsi="Arial"/>
      <w:sz w:val="20"/>
    </w:rPr>
  </w:style>
  <w:style w:type="paragraph" w:customStyle="1" w:styleId="bxah">
    <w:name w:val="bxah"/>
    <w:basedOn w:val="p"/>
    <w:next w:val="bxaft"/>
    <w:rsid w:val="005F506D"/>
    <w:rPr>
      <w:rFonts w:ascii="Arial" w:hAnsi="Arial"/>
      <w:sz w:val="28"/>
    </w:rPr>
  </w:style>
  <w:style w:type="paragraph" w:customStyle="1" w:styleId="bxau">
    <w:name w:val="bxau"/>
    <w:basedOn w:val="p"/>
    <w:rsid w:val="005F506D"/>
    <w:pPr>
      <w:ind w:left="720" w:right="720" w:firstLine="0"/>
    </w:pPr>
    <w:rPr>
      <w:rFonts w:ascii="Arial" w:hAnsi="Arial"/>
      <w:sz w:val="28"/>
    </w:rPr>
  </w:style>
  <w:style w:type="paragraph" w:customStyle="1" w:styleId="bxau1">
    <w:name w:val="bxau1"/>
    <w:basedOn w:val="bxau"/>
    <w:rsid w:val="005F506D"/>
    <w:rPr>
      <w:sz w:val="20"/>
    </w:rPr>
  </w:style>
  <w:style w:type="paragraph" w:customStyle="1" w:styleId="bxbh">
    <w:name w:val="bxbh"/>
    <w:basedOn w:val="bxah"/>
    <w:next w:val="bxaft"/>
    <w:rsid w:val="005F506D"/>
    <w:rPr>
      <w:sz w:val="24"/>
    </w:rPr>
  </w:style>
  <w:style w:type="paragraph" w:customStyle="1" w:styleId="bxbqf">
    <w:name w:val="bxbqf"/>
    <w:basedOn w:val="p"/>
    <w:rsid w:val="005F506D"/>
    <w:pPr>
      <w:spacing w:before="100" w:line="240" w:lineRule="auto"/>
      <w:ind w:left="1080" w:right="1080" w:firstLine="0"/>
      <w:jc w:val="both"/>
    </w:pPr>
    <w:rPr>
      <w:rFonts w:ascii="Arial" w:hAnsi="Arial"/>
      <w:sz w:val="20"/>
    </w:rPr>
  </w:style>
  <w:style w:type="paragraph" w:customStyle="1" w:styleId="bxbq">
    <w:name w:val="bxbq"/>
    <w:basedOn w:val="bxbqf"/>
    <w:rsid w:val="005F506D"/>
    <w:pPr>
      <w:spacing w:before="0"/>
      <w:ind w:firstLine="360"/>
    </w:pPr>
  </w:style>
  <w:style w:type="paragraph" w:customStyle="1" w:styleId="bxbql">
    <w:name w:val="bxbql"/>
    <w:basedOn w:val="bxbq"/>
    <w:rsid w:val="005F506D"/>
    <w:pPr>
      <w:spacing w:after="300"/>
    </w:pPr>
  </w:style>
  <w:style w:type="paragraph" w:customStyle="1" w:styleId="bxbqs">
    <w:name w:val="bxbqs"/>
    <w:basedOn w:val="bxbqf"/>
    <w:rsid w:val="005F506D"/>
    <w:pPr>
      <w:spacing w:after="300"/>
    </w:pPr>
  </w:style>
  <w:style w:type="paragraph" w:customStyle="1" w:styleId="bxcon">
    <w:name w:val="bxcon"/>
    <w:basedOn w:val="bxaft"/>
    <w:rsid w:val="005F506D"/>
  </w:style>
  <w:style w:type="paragraph" w:customStyle="1" w:styleId="bxf">
    <w:name w:val="bxf"/>
    <w:basedOn w:val="p"/>
    <w:rsid w:val="005F506D"/>
    <w:pPr>
      <w:spacing w:before="100"/>
      <w:ind w:left="720" w:right="720" w:firstLine="0"/>
    </w:pPr>
    <w:rPr>
      <w:rFonts w:ascii="Arial" w:hAnsi="Arial"/>
      <w:sz w:val="20"/>
    </w:rPr>
  </w:style>
  <w:style w:type="paragraph" w:customStyle="1" w:styleId="bxh">
    <w:name w:val="bxh"/>
    <w:basedOn w:val="p"/>
    <w:rsid w:val="005F506D"/>
    <w:pPr>
      <w:spacing w:before="100"/>
      <w:ind w:left="720" w:firstLine="0"/>
      <w:outlineLvl w:val="8"/>
    </w:pPr>
    <w:rPr>
      <w:rFonts w:ascii="Arial" w:hAnsi="Arial"/>
      <w:sz w:val="40"/>
    </w:rPr>
  </w:style>
  <w:style w:type="paragraph" w:customStyle="1" w:styleId="bxl">
    <w:name w:val="bxl"/>
    <w:basedOn w:val="p"/>
    <w:rsid w:val="005F506D"/>
    <w:pPr>
      <w:spacing w:after="100"/>
      <w:ind w:left="720" w:right="720"/>
    </w:pPr>
    <w:rPr>
      <w:rFonts w:ascii="Arial" w:hAnsi="Arial"/>
      <w:sz w:val="20"/>
    </w:rPr>
  </w:style>
  <w:style w:type="paragraph" w:customStyle="1" w:styleId="sb">
    <w:name w:val="sb"/>
    <w:rsid w:val="005F506D"/>
    <w:pPr>
      <w:spacing w:after="0" w:line="360" w:lineRule="auto"/>
      <w:ind w:left="720" w:right="720" w:firstLine="720"/>
      <w:jc w:val="both"/>
    </w:pPr>
    <w:rPr>
      <w:rFonts w:ascii="Times New Roman" w:eastAsia="Times New Roman" w:hAnsi="Times New Roman" w:cs="Times New Roman"/>
      <w:sz w:val="20"/>
      <w:szCs w:val="20"/>
    </w:rPr>
  </w:style>
  <w:style w:type="paragraph" w:customStyle="1" w:styleId="sbulf">
    <w:name w:val="sbulf"/>
    <w:basedOn w:val="sb"/>
    <w:rsid w:val="005F506D"/>
    <w:pPr>
      <w:widowControl w:val="0"/>
      <w:spacing w:before="100"/>
      <w:ind w:left="1800" w:hanging="360"/>
    </w:pPr>
  </w:style>
  <w:style w:type="paragraph" w:customStyle="1" w:styleId="sbul">
    <w:name w:val="sbul"/>
    <w:basedOn w:val="sbulf"/>
    <w:rsid w:val="005F506D"/>
    <w:pPr>
      <w:spacing w:before="0"/>
    </w:pPr>
  </w:style>
  <w:style w:type="paragraph" w:customStyle="1" w:styleId="sbnl">
    <w:name w:val="sbnl"/>
    <w:basedOn w:val="sbul"/>
    <w:rsid w:val="005F506D"/>
  </w:style>
  <w:style w:type="paragraph" w:customStyle="1" w:styleId="bxnl">
    <w:name w:val="bxnl"/>
    <w:basedOn w:val="sbnl"/>
    <w:rsid w:val="005F506D"/>
    <w:rPr>
      <w:rFonts w:ascii="Arial" w:hAnsi="Arial"/>
      <w:sz w:val="24"/>
    </w:rPr>
  </w:style>
  <w:style w:type="paragraph" w:customStyle="1" w:styleId="sbnlf">
    <w:name w:val="sbnlf"/>
    <w:basedOn w:val="sbulf"/>
    <w:rsid w:val="005F506D"/>
  </w:style>
  <w:style w:type="paragraph" w:customStyle="1" w:styleId="bxnlf">
    <w:name w:val="bxnlf"/>
    <w:basedOn w:val="sbnlf"/>
    <w:next w:val="bxnl"/>
    <w:rsid w:val="005F506D"/>
    <w:rPr>
      <w:rFonts w:ascii="Arial" w:hAnsi="Arial"/>
      <w:sz w:val="24"/>
    </w:rPr>
  </w:style>
  <w:style w:type="paragraph" w:customStyle="1" w:styleId="sbull">
    <w:name w:val="sbull"/>
    <w:basedOn w:val="sbul"/>
    <w:rsid w:val="005F506D"/>
    <w:pPr>
      <w:spacing w:after="100"/>
    </w:pPr>
  </w:style>
  <w:style w:type="paragraph" w:customStyle="1" w:styleId="sbnll">
    <w:name w:val="sbnll"/>
    <w:basedOn w:val="sbull"/>
    <w:rsid w:val="005F506D"/>
  </w:style>
  <w:style w:type="paragraph" w:customStyle="1" w:styleId="bxnll">
    <w:name w:val="bxnll"/>
    <w:basedOn w:val="sbnll"/>
    <w:rsid w:val="005F506D"/>
    <w:rPr>
      <w:rFonts w:ascii="Arial" w:hAnsi="Arial"/>
      <w:sz w:val="24"/>
    </w:rPr>
  </w:style>
  <w:style w:type="paragraph" w:customStyle="1" w:styleId="sbnlp">
    <w:name w:val="sbnlp"/>
    <w:basedOn w:val="sbnl"/>
    <w:rsid w:val="005F506D"/>
    <w:pPr>
      <w:ind w:firstLine="360"/>
    </w:pPr>
    <w:rPr>
      <w:szCs w:val="24"/>
    </w:rPr>
  </w:style>
  <w:style w:type="paragraph" w:customStyle="1" w:styleId="bxnlp">
    <w:name w:val="bxnlp"/>
    <w:basedOn w:val="sbnlp"/>
    <w:rsid w:val="005F506D"/>
    <w:rPr>
      <w:rFonts w:ascii="Arial" w:hAnsi="Arial"/>
      <w:sz w:val="24"/>
    </w:rPr>
  </w:style>
  <w:style w:type="paragraph" w:customStyle="1" w:styleId="bxnls">
    <w:name w:val="bxnls"/>
    <w:basedOn w:val="bxnl"/>
    <w:rsid w:val="005F506D"/>
    <w:pPr>
      <w:spacing w:before="100" w:after="100"/>
    </w:pPr>
  </w:style>
  <w:style w:type="paragraph" w:customStyle="1" w:styleId="bxs">
    <w:name w:val="bxs"/>
    <w:basedOn w:val="bxf"/>
    <w:rsid w:val="005F506D"/>
    <w:pPr>
      <w:spacing w:after="100"/>
    </w:pPr>
  </w:style>
  <w:style w:type="paragraph" w:customStyle="1" w:styleId="bxo">
    <w:name w:val="bxo"/>
    <w:basedOn w:val="bxs"/>
    <w:qFormat/>
    <w:rsid w:val="005F506D"/>
  </w:style>
  <w:style w:type="paragraph" w:customStyle="1" w:styleId="bxslf">
    <w:name w:val="bxslf"/>
    <w:basedOn w:val="p"/>
    <w:next w:val="Normal"/>
    <w:rsid w:val="005F506D"/>
    <w:pPr>
      <w:spacing w:before="100"/>
      <w:ind w:left="2160" w:right="720" w:hanging="720"/>
    </w:pPr>
    <w:rPr>
      <w:rFonts w:ascii="Arial" w:hAnsi="Arial"/>
    </w:rPr>
  </w:style>
  <w:style w:type="paragraph" w:customStyle="1" w:styleId="bxsl">
    <w:name w:val="bxsl"/>
    <w:basedOn w:val="bxslf"/>
    <w:rsid w:val="005F506D"/>
    <w:pPr>
      <w:spacing w:before="0"/>
    </w:pPr>
  </w:style>
  <w:style w:type="paragraph" w:customStyle="1" w:styleId="bxsll">
    <w:name w:val="bxsll"/>
    <w:basedOn w:val="bxsl"/>
    <w:rsid w:val="005F506D"/>
    <w:pPr>
      <w:spacing w:after="100"/>
    </w:pPr>
  </w:style>
  <w:style w:type="paragraph" w:customStyle="1" w:styleId="sbh">
    <w:name w:val="sbh"/>
    <w:basedOn w:val="sb"/>
    <w:rsid w:val="005F506D"/>
    <w:pPr>
      <w:ind w:right="0" w:firstLine="0"/>
      <w:outlineLvl w:val="8"/>
    </w:pPr>
    <w:rPr>
      <w:sz w:val="40"/>
      <w:szCs w:val="24"/>
    </w:rPr>
  </w:style>
  <w:style w:type="paragraph" w:customStyle="1" w:styleId="sbt">
    <w:name w:val="sbt"/>
    <w:basedOn w:val="sbh"/>
    <w:qFormat/>
    <w:rsid w:val="005F506D"/>
  </w:style>
  <w:style w:type="paragraph" w:customStyle="1" w:styleId="bxt">
    <w:name w:val="bxt"/>
    <w:basedOn w:val="sbt"/>
    <w:rsid w:val="005F506D"/>
    <w:rPr>
      <w:rFonts w:ascii="Arial" w:hAnsi="Arial"/>
    </w:rPr>
  </w:style>
  <w:style w:type="paragraph" w:customStyle="1" w:styleId="bxul">
    <w:name w:val="bxul"/>
    <w:basedOn w:val="bxnl"/>
    <w:rsid w:val="005F506D"/>
  </w:style>
  <w:style w:type="paragraph" w:customStyle="1" w:styleId="bxulf">
    <w:name w:val="bxulf"/>
    <w:basedOn w:val="bxnlf"/>
    <w:next w:val="bxul"/>
    <w:rsid w:val="005F506D"/>
  </w:style>
  <w:style w:type="paragraph" w:customStyle="1" w:styleId="bxull">
    <w:name w:val="bxull"/>
    <w:basedOn w:val="bxnll"/>
    <w:rsid w:val="005F506D"/>
  </w:style>
  <w:style w:type="paragraph" w:customStyle="1" w:styleId="bxulp">
    <w:name w:val="bxulp"/>
    <w:basedOn w:val="bxnlp"/>
    <w:rsid w:val="005F506D"/>
  </w:style>
  <w:style w:type="paragraph" w:customStyle="1" w:styleId="bxuls">
    <w:name w:val="bxuls"/>
    <w:basedOn w:val="bxnls"/>
    <w:rsid w:val="005F506D"/>
  </w:style>
  <w:style w:type="paragraph" w:customStyle="1" w:styleId="fig">
    <w:name w:val="fig"/>
    <w:rsid w:val="005F506D"/>
    <w:pPr>
      <w:widowControl w:val="0"/>
      <w:spacing w:before="100" w:after="100" w:line="240" w:lineRule="auto"/>
    </w:pPr>
    <w:rPr>
      <w:rFonts w:ascii="Times New Roman" w:eastAsia="Times New Roman" w:hAnsi="Times New Roman" w:cs="Times New Roman"/>
      <w:sz w:val="24"/>
      <w:szCs w:val="24"/>
    </w:rPr>
  </w:style>
  <w:style w:type="paragraph" w:customStyle="1" w:styleId="figh">
    <w:name w:val="figh"/>
    <w:basedOn w:val="fig"/>
    <w:rsid w:val="005F506D"/>
    <w:pPr>
      <w:shd w:val="clear" w:color="auto" w:fill="C0C0C0"/>
      <w:spacing w:before="200" w:after="60"/>
      <w:outlineLvl w:val="8"/>
    </w:pPr>
    <w:rPr>
      <w:sz w:val="28"/>
    </w:rPr>
  </w:style>
  <w:style w:type="paragraph" w:customStyle="1" w:styleId="call">
    <w:name w:val="call"/>
    <w:basedOn w:val="figh"/>
    <w:qFormat/>
    <w:rsid w:val="005F506D"/>
  </w:style>
  <w:style w:type="character" w:customStyle="1" w:styleId="ccust1">
    <w:name w:val="ccust1"/>
    <w:qFormat/>
    <w:rsid w:val="005F506D"/>
    <w:rPr>
      <w:color w:val="31849B"/>
    </w:rPr>
  </w:style>
  <w:style w:type="character" w:customStyle="1" w:styleId="ccust2">
    <w:name w:val="ccust2"/>
    <w:qFormat/>
    <w:rsid w:val="005F506D"/>
    <w:rPr>
      <w:color w:val="5F497A"/>
    </w:rPr>
  </w:style>
  <w:style w:type="character" w:customStyle="1" w:styleId="ccust3">
    <w:name w:val="ccust3"/>
    <w:qFormat/>
    <w:rsid w:val="005F506D"/>
    <w:rPr>
      <w:color w:val="E36C0A"/>
    </w:rPr>
  </w:style>
  <w:style w:type="character" w:customStyle="1" w:styleId="cemd">
    <w:name w:val="cemd"/>
    <w:rsid w:val="005F506D"/>
    <w:rPr>
      <w:color w:val="800000"/>
    </w:rPr>
  </w:style>
  <w:style w:type="paragraph" w:customStyle="1" w:styleId="ch">
    <w:name w:val="ch"/>
    <w:next w:val="Normal"/>
    <w:rsid w:val="005F506D"/>
    <w:pPr>
      <w:spacing w:before="240" w:after="0" w:line="240" w:lineRule="auto"/>
      <w:outlineLvl w:val="4"/>
    </w:pPr>
    <w:rPr>
      <w:rFonts w:ascii="Arial" w:eastAsia="Times New Roman" w:hAnsi="Arial" w:cs="Times New Roman"/>
      <w:noProof/>
      <w:sz w:val="32"/>
      <w:szCs w:val="20"/>
    </w:rPr>
  </w:style>
  <w:style w:type="paragraph" w:customStyle="1" w:styleId="chaft">
    <w:name w:val="chaft"/>
    <w:basedOn w:val="Normal"/>
    <w:next w:val="Normal"/>
    <w:rsid w:val="005F506D"/>
    <w:pPr>
      <w:spacing w:before="100"/>
      <w:ind w:firstLine="0"/>
      <w:outlineLvl w:val="4"/>
    </w:pPr>
    <w:rPr>
      <w:rFonts w:ascii="Arial" w:eastAsia="Times New Roman" w:hAnsi="Arial" w:cs="Times New Roman"/>
      <w:color w:val="000000"/>
      <w:sz w:val="32"/>
      <w:szCs w:val="20"/>
    </w:rPr>
  </w:style>
  <w:style w:type="character" w:customStyle="1" w:styleId="chemb">
    <w:name w:val="chemb"/>
    <w:qFormat/>
    <w:rsid w:val="005F506D"/>
    <w:rPr>
      <w:color w:val="800000"/>
    </w:rPr>
  </w:style>
  <w:style w:type="paragraph" w:customStyle="1" w:styleId="chsect">
    <w:name w:val="chsect"/>
    <w:basedOn w:val="pf"/>
    <w:qFormat/>
    <w:rsid w:val="005F506D"/>
    <w:rPr>
      <w:b/>
    </w:rPr>
  </w:style>
  <w:style w:type="paragraph" w:customStyle="1" w:styleId="chsubsect">
    <w:name w:val="chsubsect"/>
    <w:basedOn w:val="pf"/>
    <w:qFormat/>
    <w:rsid w:val="005F506D"/>
  </w:style>
  <w:style w:type="paragraph" w:customStyle="1" w:styleId="cip">
    <w:name w:val="cip"/>
    <w:rsid w:val="005F506D"/>
    <w:pPr>
      <w:widowControl w:val="0"/>
      <w:spacing w:after="0" w:line="240" w:lineRule="auto"/>
    </w:pPr>
    <w:rPr>
      <w:rFonts w:ascii="Times New Roman" w:eastAsia="Times New Roman" w:hAnsi="Times New Roman" w:cs="Times New Roman"/>
      <w:sz w:val="20"/>
      <w:szCs w:val="20"/>
    </w:rPr>
  </w:style>
  <w:style w:type="paragraph" w:customStyle="1" w:styleId="cip1">
    <w:name w:val="cip1"/>
    <w:basedOn w:val="cip"/>
    <w:rsid w:val="005F506D"/>
    <w:pPr>
      <w:ind w:left="360" w:firstLine="360"/>
    </w:pPr>
  </w:style>
  <w:style w:type="paragraph" w:customStyle="1" w:styleId="cip2">
    <w:name w:val="cip2"/>
    <w:basedOn w:val="cip"/>
    <w:rsid w:val="005F506D"/>
    <w:pPr>
      <w:ind w:left="1080"/>
    </w:pPr>
  </w:style>
  <w:style w:type="paragraph" w:customStyle="1" w:styleId="cipf">
    <w:name w:val="cipf"/>
    <w:basedOn w:val="cip"/>
    <w:next w:val="cip"/>
    <w:rsid w:val="005F506D"/>
    <w:pPr>
      <w:spacing w:before="200"/>
    </w:pPr>
  </w:style>
  <w:style w:type="paragraph" w:customStyle="1" w:styleId="cipf1">
    <w:name w:val="cipf1"/>
    <w:basedOn w:val="cip"/>
    <w:rsid w:val="005F506D"/>
    <w:pPr>
      <w:spacing w:before="240"/>
      <w:ind w:left="360"/>
    </w:pPr>
  </w:style>
  <w:style w:type="paragraph" w:customStyle="1" w:styleId="cipl">
    <w:name w:val="cipl"/>
    <w:basedOn w:val="cipf1"/>
    <w:rsid w:val="005F506D"/>
    <w:pPr>
      <w:spacing w:before="0" w:after="240"/>
    </w:pPr>
  </w:style>
  <w:style w:type="paragraph" w:customStyle="1" w:styleId="sl">
    <w:name w:val="sl"/>
    <w:rsid w:val="005F506D"/>
    <w:pPr>
      <w:spacing w:after="0" w:line="360" w:lineRule="auto"/>
      <w:ind w:left="720" w:right="720"/>
    </w:pPr>
    <w:rPr>
      <w:rFonts w:ascii="Times New Roman" w:eastAsia="Times New Roman" w:hAnsi="Times New Roman" w:cs="Times New Roman"/>
      <w:noProof/>
      <w:sz w:val="20"/>
      <w:szCs w:val="20"/>
    </w:rPr>
  </w:style>
  <w:style w:type="paragraph" w:customStyle="1" w:styleId="slf">
    <w:name w:val="slf"/>
    <w:basedOn w:val="sl"/>
    <w:next w:val="sl"/>
    <w:rsid w:val="005F506D"/>
    <w:pPr>
      <w:spacing w:before="240"/>
    </w:pPr>
  </w:style>
  <w:style w:type="paragraph" w:customStyle="1" w:styleId="clf">
    <w:name w:val="clf"/>
    <w:basedOn w:val="slf"/>
    <w:next w:val="Normal"/>
    <w:qFormat/>
    <w:rsid w:val="005F506D"/>
    <w:pPr>
      <w:widowControl w:val="0"/>
      <w:autoSpaceDE w:val="0"/>
      <w:autoSpaceDN w:val="0"/>
      <w:adjustRightInd w:val="0"/>
    </w:pPr>
    <w:rPr>
      <w:rFonts w:ascii="Courier" w:eastAsia="MS Mincho" w:hAnsi="Courier" w:cs="Helvetica"/>
      <w:sz w:val="24"/>
      <w:szCs w:val="24"/>
      <w:lang w:eastAsia="ja-JP"/>
    </w:rPr>
  </w:style>
  <w:style w:type="paragraph" w:customStyle="1" w:styleId="cl">
    <w:name w:val="cl"/>
    <w:basedOn w:val="clf"/>
    <w:qFormat/>
    <w:rsid w:val="005F506D"/>
    <w:pPr>
      <w:spacing w:before="0"/>
    </w:pPr>
  </w:style>
  <w:style w:type="paragraph" w:customStyle="1" w:styleId="cl1">
    <w:name w:val="cl1"/>
    <w:basedOn w:val="cl"/>
    <w:qFormat/>
    <w:rsid w:val="005F506D"/>
    <w:pPr>
      <w:ind w:left="1080"/>
    </w:pPr>
  </w:style>
  <w:style w:type="paragraph" w:customStyle="1" w:styleId="cl1f">
    <w:name w:val="cl1f"/>
    <w:basedOn w:val="cl1"/>
    <w:next w:val="cl1"/>
    <w:qFormat/>
    <w:rsid w:val="005F506D"/>
    <w:pPr>
      <w:spacing w:before="240"/>
    </w:pPr>
  </w:style>
  <w:style w:type="paragraph" w:customStyle="1" w:styleId="cl1l">
    <w:name w:val="cl1l"/>
    <w:basedOn w:val="cl1"/>
    <w:qFormat/>
    <w:rsid w:val="005F506D"/>
    <w:pPr>
      <w:spacing w:after="240"/>
    </w:pPr>
  </w:style>
  <w:style w:type="paragraph" w:customStyle="1" w:styleId="cl1s">
    <w:name w:val="cl1s"/>
    <w:basedOn w:val="cl1"/>
    <w:qFormat/>
    <w:rsid w:val="005F506D"/>
    <w:pPr>
      <w:spacing w:before="240" w:after="240"/>
    </w:pPr>
  </w:style>
  <w:style w:type="paragraph" w:customStyle="1" w:styleId="cl2">
    <w:name w:val="cl2"/>
    <w:basedOn w:val="cl1"/>
    <w:qFormat/>
    <w:rsid w:val="005F506D"/>
    <w:pPr>
      <w:ind w:left="1440"/>
    </w:pPr>
  </w:style>
  <w:style w:type="paragraph" w:customStyle="1" w:styleId="cl2f">
    <w:name w:val="cl2f"/>
    <w:basedOn w:val="cl2"/>
    <w:next w:val="cl2"/>
    <w:qFormat/>
    <w:rsid w:val="005F506D"/>
    <w:pPr>
      <w:spacing w:before="240"/>
    </w:pPr>
  </w:style>
  <w:style w:type="paragraph" w:customStyle="1" w:styleId="cl2l">
    <w:name w:val="cl2l"/>
    <w:basedOn w:val="cl2"/>
    <w:qFormat/>
    <w:rsid w:val="005F506D"/>
    <w:pPr>
      <w:spacing w:after="240"/>
    </w:pPr>
  </w:style>
  <w:style w:type="paragraph" w:customStyle="1" w:styleId="cl2s">
    <w:name w:val="cl2s"/>
    <w:basedOn w:val="cl2l"/>
    <w:qFormat/>
    <w:rsid w:val="005F506D"/>
    <w:pPr>
      <w:spacing w:before="240"/>
    </w:pPr>
  </w:style>
  <w:style w:type="paragraph" w:customStyle="1" w:styleId="cl3">
    <w:name w:val="cl3"/>
    <w:basedOn w:val="cl"/>
    <w:qFormat/>
    <w:rsid w:val="005F506D"/>
    <w:pPr>
      <w:ind w:left="1800"/>
    </w:pPr>
  </w:style>
  <w:style w:type="paragraph" w:customStyle="1" w:styleId="cl3f">
    <w:name w:val="cl3f"/>
    <w:basedOn w:val="cl3"/>
    <w:next w:val="cl3"/>
    <w:qFormat/>
    <w:rsid w:val="005F506D"/>
    <w:pPr>
      <w:spacing w:before="240"/>
    </w:pPr>
  </w:style>
  <w:style w:type="paragraph" w:customStyle="1" w:styleId="cl3l">
    <w:name w:val="cl3l"/>
    <w:basedOn w:val="cl3"/>
    <w:qFormat/>
    <w:rsid w:val="005F506D"/>
    <w:pPr>
      <w:spacing w:after="240"/>
    </w:pPr>
  </w:style>
  <w:style w:type="paragraph" w:customStyle="1" w:styleId="cl3s">
    <w:name w:val="cl3s"/>
    <w:basedOn w:val="cl"/>
    <w:qFormat/>
    <w:rsid w:val="005F506D"/>
    <w:pPr>
      <w:spacing w:before="240" w:after="240"/>
      <w:ind w:left="1800"/>
    </w:pPr>
  </w:style>
  <w:style w:type="paragraph" w:customStyle="1" w:styleId="cll">
    <w:name w:val="cll"/>
    <w:basedOn w:val="cl"/>
    <w:qFormat/>
    <w:rsid w:val="005F506D"/>
    <w:pPr>
      <w:spacing w:after="240"/>
    </w:pPr>
  </w:style>
  <w:style w:type="paragraph" w:customStyle="1" w:styleId="cls">
    <w:name w:val="cls"/>
    <w:basedOn w:val="clf"/>
    <w:qFormat/>
    <w:rsid w:val="005F506D"/>
    <w:pPr>
      <w:spacing w:after="240"/>
    </w:pPr>
  </w:style>
  <w:style w:type="character" w:customStyle="1" w:styleId="code">
    <w:name w:val="code"/>
    <w:uiPriority w:val="1"/>
    <w:qFormat/>
    <w:rsid w:val="005F506D"/>
    <w:rPr>
      <w:rFonts w:ascii="Courier" w:eastAsia="MS Mincho" w:hAnsi="Courier"/>
      <w:lang w:eastAsia="ja-JP"/>
    </w:rPr>
  </w:style>
  <w:style w:type="character" w:customStyle="1" w:styleId="code-b">
    <w:name w:val="code-b"/>
    <w:uiPriority w:val="1"/>
    <w:qFormat/>
    <w:rsid w:val="005F506D"/>
    <w:rPr>
      <w:rFonts w:ascii="Courier" w:eastAsia="MS Mincho" w:hAnsi="Courier"/>
      <w:b/>
      <w:lang w:eastAsia="ja-JP"/>
    </w:rPr>
  </w:style>
  <w:style w:type="character" w:customStyle="1" w:styleId="code-bi">
    <w:name w:val="code-bi"/>
    <w:uiPriority w:val="1"/>
    <w:rsid w:val="005F506D"/>
    <w:rPr>
      <w:rFonts w:ascii="Courier" w:eastAsia="MS Mincho" w:hAnsi="Courier"/>
      <w:b/>
      <w:i/>
      <w:lang w:eastAsia="ja-JP"/>
    </w:rPr>
  </w:style>
  <w:style w:type="character" w:customStyle="1" w:styleId="code-i">
    <w:name w:val="code-i"/>
    <w:uiPriority w:val="1"/>
    <w:qFormat/>
    <w:rsid w:val="005F506D"/>
    <w:rPr>
      <w:rFonts w:ascii="Courier" w:eastAsia="MS Mincho" w:hAnsi="Courier"/>
      <w:i/>
      <w:lang w:eastAsia="ja-JP"/>
    </w:rPr>
  </w:style>
  <w:style w:type="paragraph" w:customStyle="1" w:styleId="ColorfulList-Accent11">
    <w:name w:val="Colorful List - Accent 11"/>
    <w:basedOn w:val="Normal"/>
    <w:uiPriority w:val="34"/>
    <w:qFormat/>
    <w:rsid w:val="005F506D"/>
    <w:pPr>
      <w:ind w:left="720" w:firstLine="0"/>
      <w:contextualSpacing/>
    </w:pPr>
    <w:rPr>
      <w:rFonts w:ascii="Times New Roman" w:eastAsia="Times New Roman" w:hAnsi="Times New Roman" w:cs="Times New Roman"/>
      <w:sz w:val="20"/>
      <w:szCs w:val="20"/>
    </w:rPr>
  </w:style>
  <w:style w:type="paragraph" w:customStyle="1" w:styleId="com">
    <w:name w:val="com"/>
    <w:basedOn w:val="pf"/>
    <w:qFormat/>
    <w:rsid w:val="005F506D"/>
  </w:style>
  <w:style w:type="paragraph" w:customStyle="1" w:styleId="Comment">
    <w:name w:val="Comment"/>
    <w:basedOn w:val="Normal"/>
    <w:rsid w:val="005F506D"/>
    <w:pPr>
      <w:ind w:firstLine="0"/>
    </w:pPr>
    <w:rPr>
      <w:rFonts w:ascii="Times New Roman" w:eastAsia="Times New Roman" w:hAnsi="Times New Roman" w:cs="Times New Roman"/>
      <w:sz w:val="20"/>
      <w:szCs w:val="20"/>
    </w:rPr>
  </w:style>
  <w:style w:type="paragraph" w:customStyle="1" w:styleId="crt">
    <w:name w:val="crt"/>
    <w:basedOn w:val="cip"/>
    <w:qFormat/>
    <w:rsid w:val="005F506D"/>
  </w:style>
  <w:style w:type="paragraph" w:customStyle="1" w:styleId="crt1">
    <w:name w:val="crt1"/>
    <w:basedOn w:val="cip1"/>
    <w:qFormat/>
    <w:rsid w:val="005F506D"/>
  </w:style>
  <w:style w:type="paragraph" w:customStyle="1" w:styleId="crt1f">
    <w:name w:val="crt1f"/>
    <w:basedOn w:val="cipf1"/>
    <w:qFormat/>
    <w:rsid w:val="005F506D"/>
  </w:style>
  <w:style w:type="paragraph" w:customStyle="1" w:styleId="crt2">
    <w:name w:val="crt2"/>
    <w:basedOn w:val="cip2"/>
    <w:qFormat/>
    <w:rsid w:val="005F506D"/>
  </w:style>
  <w:style w:type="paragraph" w:customStyle="1" w:styleId="crt3">
    <w:name w:val="crt3"/>
    <w:basedOn w:val="Normal"/>
    <w:qFormat/>
    <w:rsid w:val="005F506D"/>
    <w:pPr>
      <w:widowControl w:val="0"/>
      <w:spacing w:before="240"/>
      <w:ind w:left="1080" w:firstLine="432"/>
    </w:pPr>
    <w:rPr>
      <w:rFonts w:ascii="Times New Roman" w:eastAsia="Times New Roman" w:hAnsi="Times New Roman" w:cs="Times New Roman"/>
      <w:sz w:val="20"/>
      <w:szCs w:val="20"/>
    </w:rPr>
  </w:style>
  <w:style w:type="paragraph" w:customStyle="1" w:styleId="crtf">
    <w:name w:val="crtf"/>
    <w:basedOn w:val="cipf"/>
    <w:next w:val="crt"/>
    <w:qFormat/>
    <w:rsid w:val="005F506D"/>
  </w:style>
  <w:style w:type="paragraph" w:customStyle="1" w:styleId="cs">
    <w:name w:val="cs"/>
    <w:basedOn w:val="Normal"/>
    <w:rsid w:val="005F506D"/>
    <w:pPr>
      <w:spacing w:after="300"/>
      <w:ind w:firstLine="0"/>
      <w:jc w:val="center"/>
      <w:outlineLvl w:val="0"/>
    </w:pPr>
    <w:rPr>
      <w:rFonts w:ascii="Arial" w:eastAsia="Times New Roman" w:hAnsi="Arial" w:cs="Times New Roman"/>
      <w:sz w:val="44"/>
      <w:szCs w:val="20"/>
    </w:rPr>
  </w:style>
  <w:style w:type="paragraph" w:customStyle="1" w:styleId="ct0">
    <w:name w:val="ct"/>
    <w:link w:val="ctChar"/>
    <w:rsid w:val="005F506D"/>
    <w:pPr>
      <w:widowControl w:val="0"/>
      <w:spacing w:after="300" w:line="240" w:lineRule="auto"/>
      <w:jc w:val="center"/>
      <w:outlineLvl w:val="1"/>
    </w:pPr>
    <w:rPr>
      <w:rFonts w:ascii="Times New Roman" w:eastAsia="Times New Roman" w:hAnsi="Times New Roman" w:cs="Times New Roman"/>
      <w:noProof/>
      <w:sz w:val="60"/>
      <w:szCs w:val="20"/>
    </w:rPr>
  </w:style>
  <w:style w:type="paragraph" w:customStyle="1" w:styleId="ctbm">
    <w:name w:val="ctbm"/>
    <w:rsid w:val="005F506D"/>
    <w:pPr>
      <w:spacing w:after="0" w:line="240" w:lineRule="auto"/>
      <w:jc w:val="center"/>
      <w:outlineLvl w:val="1"/>
    </w:pPr>
    <w:rPr>
      <w:rFonts w:ascii="Times New Roman" w:eastAsia="Times New Roman" w:hAnsi="Times New Roman" w:cs="Times New Roman"/>
      <w:sz w:val="48"/>
      <w:szCs w:val="48"/>
    </w:rPr>
  </w:style>
  <w:style w:type="paragraph" w:customStyle="1" w:styleId="ctfm">
    <w:name w:val="ctfm"/>
    <w:rsid w:val="005F506D"/>
    <w:pPr>
      <w:spacing w:before="300" w:after="0" w:line="240" w:lineRule="auto"/>
      <w:jc w:val="center"/>
      <w:outlineLvl w:val="1"/>
    </w:pPr>
    <w:rPr>
      <w:rFonts w:ascii="Times New Roman" w:eastAsia="Times New Roman" w:hAnsi="Times New Roman" w:cs="Times New Roman"/>
      <w:sz w:val="48"/>
      <w:szCs w:val="48"/>
    </w:rPr>
  </w:style>
  <w:style w:type="paragraph" w:customStyle="1" w:styleId="toc">
    <w:name w:val="toc"/>
    <w:uiPriority w:val="99"/>
    <w:rsid w:val="005F506D"/>
    <w:pPr>
      <w:widowControl w:val="0"/>
      <w:tabs>
        <w:tab w:val="left" w:pos="4320"/>
      </w:tabs>
      <w:spacing w:before="200" w:after="0" w:line="240" w:lineRule="auto"/>
    </w:pPr>
    <w:rPr>
      <w:rFonts w:ascii="Times New Roman" w:eastAsia="Times New Roman" w:hAnsi="Times New Roman" w:cs="Times New Roman"/>
      <w:color w:val="000000"/>
      <w:sz w:val="24"/>
      <w:szCs w:val="20"/>
    </w:rPr>
  </w:style>
  <w:style w:type="paragraph" w:customStyle="1" w:styleId="ctoc">
    <w:name w:val="ctoc"/>
    <w:basedOn w:val="toc"/>
    <w:qFormat/>
    <w:rsid w:val="005F506D"/>
  </w:style>
  <w:style w:type="paragraph" w:customStyle="1" w:styleId="toc1">
    <w:name w:val="toc1"/>
    <w:basedOn w:val="toc"/>
    <w:rsid w:val="005F506D"/>
    <w:pPr>
      <w:tabs>
        <w:tab w:val="left" w:pos="360"/>
      </w:tabs>
      <w:ind w:left="1440" w:hanging="720"/>
    </w:pPr>
  </w:style>
  <w:style w:type="paragraph" w:customStyle="1" w:styleId="ctoc1">
    <w:name w:val="ctoc1"/>
    <w:basedOn w:val="toc1"/>
    <w:rsid w:val="005F506D"/>
    <w:rPr>
      <w:szCs w:val="24"/>
    </w:rPr>
  </w:style>
  <w:style w:type="paragraph" w:customStyle="1" w:styleId="ctoch">
    <w:name w:val="ctoch"/>
    <w:basedOn w:val="toc"/>
    <w:qFormat/>
    <w:rsid w:val="005F506D"/>
    <w:rPr>
      <w:sz w:val="32"/>
    </w:rPr>
  </w:style>
  <w:style w:type="character" w:customStyle="1" w:styleId="dcrit">
    <w:name w:val="dcrit"/>
    <w:rsid w:val="005F506D"/>
    <w:rPr>
      <w:color w:val="948A54"/>
    </w:rPr>
  </w:style>
  <w:style w:type="character" w:customStyle="1" w:styleId="dcrit-b">
    <w:name w:val="dcrit-b"/>
    <w:uiPriority w:val="1"/>
    <w:qFormat/>
    <w:rsid w:val="005F506D"/>
    <w:rPr>
      <w:rFonts w:eastAsia="MS Mincho"/>
      <w:b/>
      <w:color w:val="948A54"/>
    </w:rPr>
  </w:style>
  <w:style w:type="character" w:customStyle="1" w:styleId="dcrit-bi">
    <w:name w:val="dcrit-bi"/>
    <w:uiPriority w:val="1"/>
    <w:qFormat/>
    <w:rsid w:val="005F506D"/>
    <w:rPr>
      <w:rFonts w:eastAsia="MS Mincho"/>
      <w:b/>
      <w:i/>
      <w:color w:val="948A54"/>
    </w:rPr>
  </w:style>
  <w:style w:type="character" w:customStyle="1" w:styleId="dcrit-i">
    <w:name w:val="dcrit-i"/>
    <w:uiPriority w:val="1"/>
    <w:qFormat/>
    <w:rsid w:val="005F506D"/>
    <w:rPr>
      <w:rFonts w:eastAsia="MS Mincho"/>
      <w:i/>
      <w:color w:val="948A54"/>
    </w:rPr>
  </w:style>
  <w:style w:type="character" w:customStyle="1" w:styleId="dcrit-ob">
    <w:name w:val="dcrit-ob"/>
    <w:qFormat/>
    <w:rsid w:val="005F506D"/>
    <w:rPr>
      <w:rFonts w:ascii="Arial" w:hAnsi="Arial"/>
      <w:b w:val="0"/>
      <w:i/>
      <w:color w:val="948A54"/>
    </w:rPr>
  </w:style>
  <w:style w:type="character" w:customStyle="1" w:styleId="dcrit-red">
    <w:name w:val="dcrit-red"/>
    <w:qFormat/>
    <w:rsid w:val="005F506D"/>
    <w:rPr>
      <w:b w:val="0"/>
      <w:bCs/>
      <w:color w:val="FF0000"/>
    </w:rPr>
  </w:style>
  <w:style w:type="paragraph" w:customStyle="1" w:styleId="ded">
    <w:name w:val="ded"/>
    <w:basedOn w:val="p"/>
    <w:rsid w:val="005F506D"/>
    <w:pPr>
      <w:ind w:firstLine="0"/>
      <w:jc w:val="center"/>
    </w:pPr>
    <w:rPr>
      <w:rFonts w:ascii="Arial" w:hAnsi="Arial"/>
    </w:rPr>
  </w:style>
  <w:style w:type="paragraph" w:customStyle="1" w:styleId="dedf">
    <w:name w:val="dedf"/>
    <w:basedOn w:val="ded"/>
    <w:next w:val="ded"/>
    <w:qFormat/>
    <w:rsid w:val="005F506D"/>
    <w:pPr>
      <w:spacing w:before="240"/>
    </w:pPr>
  </w:style>
  <w:style w:type="paragraph" w:customStyle="1" w:styleId="ded1f">
    <w:name w:val="ded1f"/>
    <w:basedOn w:val="dedf"/>
    <w:next w:val="Normal"/>
    <w:qFormat/>
    <w:rsid w:val="005F506D"/>
    <w:rPr>
      <w:sz w:val="20"/>
      <w:szCs w:val="20"/>
    </w:rPr>
  </w:style>
  <w:style w:type="paragraph" w:customStyle="1" w:styleId="ded1">
    <w:name w:val="ded1"/>
    <w:basedOn w:val="ded1f"/>
    <w:qFormat/>
    <w:rsid w:val="005F506D"/>
    <w:pPr>
      <w:spacing w:before="0"/>
    </w:pPr>
  </w:style>
  <w:style w:type="paragraph" w:customStyle="1" w:styleId="Default">
    <w:name w:val="Default"/>
    <w:rsid w:val="005F506D"/>
    <w:pPr>
      <w:widowControl w:val="0"/>
      <w:autoSpaceDE w:val="0"/>
      <w:autoSpaceDN w:val="0"/>
      <w:adjustRightInd w:val="0"/>
      <w:spacing w:after="0" w:line="240" w:lineRule="auto"/>
    </w:pPr>
    <w:rPr>
      <w:rFonts w:ascii="New Century Schlbk" w:eastAsia="Times New Roman" w:hAnsi="New Century Schlbk" w:cs="Times New Roman"/>
      <w:color w:val="000000"/>
      <w:sz w:val="24"/>
      <w:szCs w:val="24"/>
    </w:rPr>
  </w:style>
  <w:style w:type="paragraph" w:customStyle="1" w:styleId="dh">
    <w:name w:val="dh"/>
    <w:basedOn w:val="ah"/>
    <w:next w:val="Normal"/>
    <w:rsid w:val="005F506D"/>
    <w:pPr>
      <w:outlineLvl w:val="5"/>
    </w:pPr>
    <w:rPr>
      <w:sz w:val="28"/>
    </w:rPr>
  </w:style>
  <w:style w:type="paragraph" w:customStyle="1" w:styleId="dhaft">
    <w:name w:val="dhaft"/>
    <w:basedOn w:val="Normal"/>
    <w:next w:val="Normal"/>
    <w:rsid w:val="005F506D"/>
    <w:pPr>
      <w:widowControl w:val="0"/>
      <w:spacing w:before="100"/>
      <w:ind w:firstLine="0"/>
      <w:outlineLvl w:val="5"/>
    </w:pPr>
    <w:rPr>
      <w:rFonts w:ascii="Arial" w:eastAsia="Times New Roman" w:hAnsi="Arial" w:cs="Times New Roman"/>
      <w:sz w:val="28"/>
      <w:szCs w:val="20"/>
    </w:rPr>
  </w:style>
  <w:style w:type="paragraph" w:customStyle="1" w:styleId="ep">
    <w:name w:val="ep"/>
    <w:next w:val="Normal"/>
    <w:rsid w:val="005F506D"/>
    <w:pPr>
      <w:widowControl w:val="0"/>
      <w:spacing w:after="0" w:line="240" w:lineRule="auto"/>
    </w:pPr>
    <w:rPr>
      <w:rFonts w:ascii="Times New Roman" w:eastAsia="Times New Roman" w:hAnsi="Times New Roman" w:cs="Times New Roman"/>
      <w:sz w:val="24"/>
      <w:szCs w:val="20"/>
    </w:rPr>
  </w:style>
  <w:style w:type="paragraph" w:customStyle="1" w:styleId="dia">
    <w:name w:val="dia"/>
    <w:basedOn w:val="ep"/>
    <w:qFormat/>
    <w:rsid w:val="005F506D"/>
  </w:style>
  <w:style w:type="paragraph" w:customStyle="1" w:styleId="diaf">
    <w:name w:val="diaf"/>
    <w:next w:val="dia"/>
    <w:rsid w:val="005F506D"/>
    <w:pPr>
      <w:spacing w:before="100" w:after="0" w:line="240" w:lineRule="auto"/>
    </w:pPr>
    <w:rPr>
      <w:rFonts w:ascii="Times New Roman" w:eastAsia="Times New Roman" w:hAnsi="Times New Roman" w:cs="Times New Roman"/>
      <w:sz w:val="24"/>
      <w:szCs w:val="24"/>
    </w:rPr>
  </w:style>
  <w:style w:type="paragraph" w:customStyle="1" w:styleId="dial">
    <w:name w:val="dial"/>
    <w:next w:val="p"/>
    <w:rsid w:val="005F506D"/>
    <w:pPr>
      <w:spacing w:after="240" w:line="240" w:lineRule="auto"/>
    </w:pPr>
    <w:rPr>
      <w:rFonts w:ascii="Times New Roman" w:eastAsia="Times New Roman" w:hAnsi="Times New Roman" w:cs="Times New Roman"/>
      <w:sz w:val="24"/>
      <w:szCs w:val="24"/>
    </w:rPr>
  </w:style>
  <w:style w:type="paragraph" w:customStyle="1" w:styleId="diap">
    <w:name w:val="diap"/>
    <w:qFormat/>
    <w:rsid w:val="005F506D"/>
    <w:pPr>
      <w:spacing w:after="0" w:line="240" w:lineRule="auto"/>
      <w:ind w:firstLine="720"/>
    </w:pPr>
    <w:rPr>
      <w:rFonts w:ascii="Times New Roman" w:eastAsia="Times New Roman" w:hAnsi="Times New Roman" w:cs="Times New Roman"/>
      <w:sz w:val="24"/>
      <w:szCs w:val="24"/>
    </w:rPr>
  </w:style>
  <w:style w:type="paragraph" w:customStyle="1" w:styleId="diapl">
    <w:name w:val="diapl"/>
    <w:basedOn w:val="dia"/>
    <w:qFormat/>
    <w:rsid w:val="005F506D"/>
    <w:pPr>
      <w:spacing w:after="240"/>
      <w:ind w:firstLine="432"/>
    </w:pPr>
  </w:style>
  <w:style w:type="paragraph" w:customStyle="1" w:styleId="dias">
    <w:name w:val="dias"/>
    <w:next w:val="p"/>
    <w:rsid w:val="005F506D"/>
    <w:pPr>
      <w:spacing w:before="100" w:after="100" w:line="480" w:lineRule="auto"/>
    </w:pPr>
    <w:rPr>
      <w:rFonts w:ascii="Times New Roman" w:eastAsia="Times New Roman" w:hAnsi="Times New Roman" w:cs="Times New Roman"/>
      <w:sz w:val="24"/>
      <w:szCs w:val="24"/>
    </w:rPr>
  </w:style>
  <w:style w:type="character" w:customStyle="1" w:styleId="dispk">
    <w:name w:val="dispk"/>
    <w:rsid w:val="005F506D"/>
    <w:rPr>
      <w:color w:val="C0504D"/>
    </w:rPr>
  </w:style>
  <w:style w:type="character" w:customStyle="1" w:styleId="dispk-i">
    <w:name w:val="dispk-i"/>
    <w:uiPriority w:val="1"/>
    <w:qFormat/>
    <w:rsid w:val="005F506D"/>
    <w:rPr>
      <w:i/>
      <w:color w:val="C0504D"/>
    </w:rPr>
  </w:style>
  <w:style w:type="paragraph" w:styleId="DocumentMap">
    <w:name w:val="Document Map"/>
    <w:basedOn w:val="Normal"/>
    <w:link w:val="DocumentMapChar"/>
    <w:uiPriority w:val="99"/>
    <w:semiHidden/>
    <w:rsid w:val="005F506D"/>
    <w:pPr>
      <w:ind w:firstLine="0"/>
    </w:pPr>
    <w:rPr>
      <w:rFonts w:ascii="Lucida Grande" w:eastAsia="Times New Roman" w:hAnsi="Lucida Grande" w:cs="Times New Roman"/>
      <w:sz w:val="24"/>
      <w:szCs w:val="24"/>
      <w:lang w:val="x-none" w:eastAsia="x-none"/>
    </w:rPr>
  </w:style>
  <w:style w:type="character" w:customStyle="1" w:styleId="DocumentMapChar">
    <w:name w:val="Document Map Char"/>
    <w:basedOn w:val="DefaultParagraphFont"/>
    <w:link w:val="DocumentMap"/>
    <w:uiPriority w:val="99"/>
    <w:semiHidden/>
    <w:rsid w:val="005F506D"/>
    <w:rPr>
      <w:rFonts w:ascii="Lucida Grande" w:eastAsia="Times New Roman" w:hAnsi="Lucida Grande" w:cs="Times New Roman"/>
      <w:sz w:val="24"/>
      <w:szCs w:val="24"/>
      <w:lang w:val="x-none" w:eastAsia="x-none"/>
    </w:rPr>
  </w:style>
  <w:style w:type="paragraph" w:customStyle="1" w:styleId="pt">
    <w:name w:val="pt"/>
    <w:basedOn w:val="Normal"/>
    <w:rsid w:val="005F506D"/>
    <w:pPr>
      <w:spacing w:line="480" w:lineRule="auto"/>
      <w:ind w:firstLine="0"/>
      <w:jc w:val="center"/>
      <w:outlineLvl w:val="0"/>
    </w:pPr>
    <w:rPr>
      <w:rFonts w:ascii="Times New Roman" w:eastAsia="Times New Roman" w:hAnsi="Times New Roman" w:cs="Times New Roman"/>
      <w:color w:val="000000"/>
      <w:sz w:val="72"/>
      <w:szCs w:val="20"/>
    </w:rPr>
  </w:style>
  <w:style w:type="paragraph" w:customStyle="1" w:styleId="dt">
    <w:name w:val="dt"/>
    <w:basedOn w:val="pt"/>
    <w:qFormat/>
    <w:rsid w:val="005F506D"/>
    <w:pPr>
      <w:outlineLvl w:val="2"/>
    </w:pPr>
  </w:style>
  <w:style w:type="paragraph" w:customStyle="1" w:styleId="ps">
    <w:name w:val="ps"/>
    <w:basedOn w:val="p"/>
    <w:rsid w:val="005F506D"/>
    <w:pPr>
      <w:ind w:firstLine="0"/>
      <w:jc w:val="center"/>
    </w:pPr>
    <w:rPr>
      <w:rFonts w:ascii="Arial" w:hAnsi="Arial"/>
      <w:sz w:val="44"/>
    </w:rPr>
  </w:style>
  <w:style w:type="paragraph" w:customStyle="1" w:styleId="dtsub">
    <w:name w:val="dtsub"/>
    <w:basedOn w:val="ps"/>
    <w:qFormat/>
    <w:rsid w:val="005F506D"/>
    <w:pPr>
      <w:outlineLvl w:val="3"/>
    </w:pPr>
  </w:style>
  <w:style w:type="paragraph" w:customStyle="1" w:styleId="eds">
    <w:name w:val="eds"/>
    <w:basedOn w:val="pf"/>
    <w:qFormat/>
    <w:rsid w:val="005F506D"/>
  </w:style>
  <w:style w:type="paragraph" w:customStyle="1" w:styleId="eh">
    <w:name w:val="eh"/>
    <w:basedOn w:val="ah"/>
    <w:next w:val="Normal"/>
    <w:qFormat/>
    <w:rsid w:val="005F506D"/>
    <w:pPr>
      <w:outlineLvl w:val="6"/>
    </w:pPr>
    <w:rPr>
      <w:sz w:val="24"/>
    </w:rPr>
  </w:style>
  <w:style w:type="paragraph" w:customStyle="1" w:styleId="ehaft">
    <w:name w:val="ehaft"/>
    <w:basedOn w:val="eh"/>
    <w:next w:val="Normal"/>
    <w:qFormat/>
    <w:rsid w:val="005F506D"/>
    <w:pPr>
      <w:spacing w:before="0"/>
    </w:pPr>
  </w:style>
  <w:style w:type="character" w:styleId="Emphasis">
    <w:name w:val="Emphasis"/>
    <w:uiPriority w:val="20"/>
    <w:qFormat/>
    <w:rsid w:val="005F506D"/>
    <w:rPr>
      <w:i/>
      <w:iCs/>
    </w:rPr>
  </w:style>
  <w:style w:type="paragraph" w:customStyle="1" w:styleId="en">
    <w:name w:val="en"/>
    <w:rsid w:val="005F506D"/>
    <w:pPr>
      <w:widowControl w:val="0"/>
      <w:spacing w:after="0" w:line="360" w:lineRule="auto"/>
      <w:ind w:left="360" w:hanging="360"/>
    </w:pPr>
    <w:rPr>
      <w:rFonts w:ascii="Times New Roman" w:eastAsia="Times New Roman" w:hAnsi="Times New Roman" w:cs="Times New Roman"/>
      <w:sz w:val="20"/>
      <w:szCs w:val="24"/>
    </w:rPr>
  </w:style>
  <w:style w:type="paragraph" w:customStyle="1" w:styleId="end">
    <w:name w:val="end"/>
    <w:qFormat/>
    <w:rsid w:val="005F506D"/>
    <w:pPr>
      <w:spacing w:before="200" w:after="0" w:line="240" w:lineRule="auto"/>
    </w:pPr>
    <w:rPr>
      <w:rFonts w:ascii="Times New Roman" w:eastAsia="Times New Roman" w:hAnsi="Times New Roman" w:cs="Times New Roman"/>
      <w:sz w:val="24"/>
      <w:szCs w:val="24"/>
    </w:rPr>
  </w:style>
  <w:style w:type="character" w:customStyle="1" w:styleId="ennum">
    <w:name w:val="ennum"/>
    <w:uiPriority w:val="1"/>
    <w:qFormat/>
    <w:rsid w:val="005F506D"/>
    <w:rPr>
      <w:rFonts w:ascii="Times New Roman" w:hAnsi="Times New Roman"/>
      <w:color w:val="0000FF"/>
      <w:vertAlign w:val="baseline"/>
    </w:rPr>
  </w:style>
  <w:style w:type="paragraph" w:customStyle="1" w:styleId="enp">
    <w:name w:val="enp"/>
    <w:basedOn w:val="en"/>
    <w:rsid w:val="005F506D"/>
    <w:pPr>
      <w:ind w:firstLine="360"/>
    </w:pPr>
  </w:style>
  <w:style w:type="character" w:customStyle="1" w:styleId="enref">
    <w:name w:val="enref"/>
    <w:rsid w:val="005F506D"/>
    <w:rPr>
      <w:color w:val="0000FF"/>
      <w:vertAlign w:val="superscript"/>
    </w:rPr>
  </w:style>
  <w:style w:type="paragraph" w:customStyle="1" w:styleId="ep1">
    <w:name w:val="ep1"/>
    <w:basedOn w:val="p"/>
    <w:rsid w:val="005F506D"/>
  </w:style>
  <w:style w:type="paragraph" w:customStyle="1" w:styleId="ep2">
    <w:name w:val="ep2"/>
    <w:basedOn w:val="p"/>
    <w:rsid w:val="005F506D"/>
    <w:pPr>
      <w:ind w:firstLine="1440"/>
    </w:pPr>
  </w:style>
  <w:style w:type="paragraph" w:customStyle="1" w:styleId="epaft">
    <w:name w:val="epaft"/>
    <w:basedOn w:val="ep"/>
    <w:rsid w:val="005F506D"/>
    <w:rPr>
      <w:kern w:val="1"/>
    </w:rPr>
  </w:style>
  <w:style w:type="paragraph" w:customStyle="1" w:styleId="epf">
    <w:name w:val="epf"/>
    <w:next w:val="ep"/>
    <w:rsid w:val="005F506D"/>
    <w:pPr>
      <w:spacing w:before="120" w:after="0" w:line="240" w:lineRule="auto"/>
    </w:pPr>
    <w:rPr>
      <w:rFonts w:ascii="Times New Roman" w:eastAsia="Times New Roman" w:hAnsi="Times New Roman" w:cs="Times New Roman"/>
      <w:sz w:val="24"/>
      <w:szCs w:val="24"/>
    </w:rPr>
  </w:style>
  <w:style w:type="paragraph" w:customStyle="1" w:styleId="epl">
    <w:name w:val="epl"/>
    <w:rsid w:val="005F506D"/>
    <w:pPr>
      <w:spacing w:after="120" w:line="240" w:lineRule="auto"/>
    </w:pPr>
    <w:rPr>
      <w:rFonts w:ascii="Times New Roman" w:eastAsia="Times New Roman" w:hAnsi="Times New Roman" w:cs="Times New Roman"/>
      <w:sz w:val="24"/>
      <w:szCs w:val="24"/>
    </w:rPr>
  </w:style>
  <w:style w:type="paragraph" w:customStyle="1" w:styleId="eps">
    <w:name w:val="eps"/>
    <w:rsid w:val="005F506D"/>
    <w:pPr>
      <w:spacing w:before="120" w:after="120" w:line="240" w:lineRule="auto"/>
    </w:pPr>
    <w:rPr>
      <w:rFonts w:ascii="Times New Roman" w:eastAsia="Times New Roman" w:hAnsi="Times New Roman" w:cs="Times New Roman"/>
      <w:sz w:val="24"/>
      <w:szCs w:val="24"/>
    </w:rPr>
  </w:style>
  <w:style w:type="paragraph" w:customStyle="1" w:styleId="epsl">
    <w:name w:val="epsl"/>
    <w:basedOn w:val="sl"/>
    <w:rsid w:val="005F506D"/>
    <w:rPr>
      <w:sz w:val="24"/>
    </w:rPr>
  </w:style>
  <w:style w:type="paragraph" w:customStyle="1" w:styleId="epsl1">
    <w:name w:val="epsl1"/>
    <w:basedOn w:val="epsl"/>
    <w:qFormat/>
    <w:rsid w:val="005F506D"/>
    <w:pPr>
      <w:ind w:firstLine="720"/>
    </w:pPr>
    <w:rPr>
      <w:rFonts w:eastAsia="MS Mincho"/>
      <w:lang w:eastAsia="ja-JP"/>
    </w:rPr>
  </w:style>
  <w:style w:type="paragraph" w:customStyle="1" w:styleId="epslf">
    <w:name w:val="epslf"/>
    <w:basedOn w:val="epsl"/>
    <w:next w:val="epsl"/>
    <w:qFormat/>
    <w:rsid w:val="005F506D"/>
    <w:pPr>
      <w:spacing w:before="200"/>
    </w:pPr>
    <w:rPr>
      <w:rFonts w:eastAsia="MS Mincho"/>
      <w:lang w:eastAsia="ja-JP"/>
    </w:rPr>
  </w:style>
  <w:style w:type="paragraph" w:customStyle="1" w:styleId="ept">
    <w:name w:val="ept"/>
    <w:rsid w:val="005F506D"/>
    <w:pPr>
      <w:widowControl w:val="0"/>
      <w:spacing w:after="100" w:line="240" w:lineRule="auto"/>
      <w:jc w:val="right"/>
    </w:pPr>
    <w:rPr>
      <w:rFonts w:ascii="Times New Roman" w:eastAsia="Times New Roman" w:hAnsi="Times New Roman" w:cs="Times New Roman"/>
      <w:sz w:val="24"/>
      <w:szCs w:val="20"/>
    </w:rPr>
  </w:style>
  <w:style w:type="paragraph" w:customStyle="1" w:styleId="ept1">
    <w:name w:val="ept1"/>
    <w:basedOn w:val="ept"/>
    <w:qFormat/>
    <w:rsid w:val="005F506D"/>
    <w:rPr>
      <w:rFonts w:eastAsia="MS Mincho"/>
      <w:sz w:val="20"/>
      <w:lang w:eastAsia="ja-JP"/>
    </w:rPr>
  </w:style>
  <w:style w:type="paragraph" w:customStyle="1" w:styleId="eq">
    <w:name w:val="eq"/>
    <w:next w:val="p"/>
    <w:rsid w:val="005F506D"/>
    <w:pPr>
      <w:widowControl w:val="0"/>
      <w:shd w:val="clear" w:color="auto" w:fill="C0C0C0"/>
      <w:spacing w:before="60" w:after="60" w:line="480" w:lineRule="auto"/>
      <w:jc w:val="center"/>
    </w:pPr>
    <w:rPr>
      <w:rFonts w:ascii="Arial" w:eastAsia="Times New Roman" w:hAnsi="Arial" w:cs="Times New Roman"/>
      <w:sz w:val="24"/>
      <w:szCs w:val="20"/>
    </w:rPr>
  </w:style>
  <w:style w:type="paragraph" w:customStyle="1" w:styleId="eqaft">
    <w:name w:val="eqaft"/>
    <w:basedOn w:val="eq"/>
    <w:qFormat/>
    <w:rsid w:val="005F506D"/>
    <w:pPr>
      <w:spacing w:before="0"/>
    </w:pPr>
    <w:rPr>
      <w:rFonts w:eastAsia="MS Mincho"/>
    </w:rPr>
  </w:style>
  <w:style w:type="paragraph" w:customStyle="1" w:styleId="sbf">
    <w:name w:val="sbf"/>
    <w:basedOn w:val="sb"/>
    <w:rsid w:val="005F506D"/>
    <w:pPr>
      <w:widowControl w:val="0"/>
      <w:spacing w:before="100"/>
      <w:ind w:firstLine="0"/>
    </w:pPr>
  </w:style>
  <w:style w:type="paragraph" w:customStyle="1" w:styleId="exf">
    <w:name w:val="exf"/>
    <w:basedOn w:val="sbf"/>
    <w:next w:val="Normal"/>
    <w:rsid w:val="005F506D"/>
    <w:rPr>
      <w:sz w:val="24"/>
      <w:szCs w:val="24"/>
    </w:rPr>
  </w:style>
  <w:style w:type="paragraph" w:customStyle="1" w:styleId="ex">
    <w:name w:val="ex"/>
    <w:basedOn w:val="exf"/>
    <w:qFormat/>
    <w:rsid w:val="005F506D"/>
    <w:pPr>
      <w:spacing w:before="0"/>
      <w:ind w:firstLine="720"/>
    </w:pPr>
  </w:style>
  <w:style w:type="paragraph" w:customStyle="1" w:styleId="paft">
    <w:name w:val="paft"/>
    <w:basedOn w:val="pf"/>
    <w:next w:val="p"/>
    <w:rsid w:val="005F506D"/>
    <w:pPr>
      <w:spacing w:before="200"/>
    </w:pPr>
  </w:style>
  <w:style w:type="paragraph" w:customStyle="1" w:styleId="exaft">
    <w:name w:val="exaft"/>
    <w:basedOn w:val="paft"/>
    <w:qFormat/>
    <w:rsid w:val="005F506D"/>
    <w:rPr>
      <w:rFonts w:eastAsia="MS Mincho"/>
    </w:rPr>
  </w:style>
  <w:style w:type="paragraph" w:customStyle="1" w:styleId="exah">
    <w:name w:val="exah"/>
    <w:next w:val="ex"/>
    <w:qFormat/>
    <w:rsid w:val="005F506D"/>
    <w:pPr>
      <w:spacing w:before="360" w:after="60" w:line="240" w:lineRule="auto"/>
    </w:pPr>
    <w:rPr>
      <w:rFonts w:ascii="Arial" w:eastAsia="Times New Roman" w:hAnsi="Arial" w:cs="Times New Roman"/>
      <w:sz w:val="28"/>
      <w:szCs w:val="24"/>
    </w:rPr>
  </w:style>
  <w:style w:type="paragraph" w:customStyle="1" w:styleId="exbh">
    <w:name w:val="exbh"/>
    <w:qFormat/>
    <w:rsid w:val="005F506D"/>
    <w:pPr>
      <w:spacing w:before="360" w:after="0" w:line="240" w:lineRule="auto"/>
    </w:pPr>
    <w:rPr>
      <w:rFonts w:ascii="Arial" w:eastAsia="Times New Roman" w:hAnsi="Arial" w:cs="Times New Roman"/>
      <w:noProof/>
      <w:sz w:val="24"/>
      <w:szCs w:val="24"/>
    </w:rPr>
  </w:style>
  <w:style w:type="paragraph" w:customStyle="1" w:styleId="exh">
    <w:name w:val="exh"/>
    <w:basedOn w:val="sbt"/>
    <w:rsid w:val="005F506D"/>
    <w:pPr>
      <w:spacing w:before="100" w:line="240" w:lineRule="auto"/>
      <w:ind w:left="0"/>
      <w:jc w:val="left"/>
    </w:pPr>
    <w:rPr>
      <w:rFonts w:ascii="Arial" w:hAnsi="Arial"/>
      <w:sz w:val="32"/>
    </w:rPr>
  </w:style>
  <w:style w:type="paragraph" w:customStyle="1" w:styleId="sbl">
    <w:name w:val="sbl"/>
    <w:basedOn w:val="sb"/>
    <w:rsid w:val="005F506D"/>
    <w:pPr>
      <w:spacing w:after="100"/>
    </w:pPr>
  </w:style>
  <w:style w:type="paragraph" w:customStyle="1" w:styleId="exl">
    <w:name w:val="exl"/>
    <w:basedOn w:val="sbl"/>
    <w:rsid w:val="005F506D"/>
    <w:rPr>
      <w:sz w:val="24"/>
      <w:szCs w:val="24"/>
    </w:rPr>
  </w:style>
  <w:style w:type="paragraph" w:customStyle="1" w:styleId="exnl">
    <w:name w:val="exnl"/>
    <w:basedOn w:val="sbnl"/>
    <w:qFormat/>
    <w:rsid w:val="005F506D"/>
    <w:pPr>
      <w:ind w:left="1080"/>
    </w:pPr>
    <w:rPr>
      <w:sz w:val="24"/>
      <w:szCs w:val="24"/>
    </w:rPr>
  </w:style>
  <w:style w:type="paragraph" w:customStyle="1" w:styleId="sbnl1">
    <w:name w:val="sbnl1"/>
    <w:basedOn w:val="sbnl"/>
    <w:qFormat/>
    <w:rsid w:val="005F506D"/>
    <w:pPr>
      <w:ind w:left="2160"/>
    </w:pPr>
  </w:style>
  <w:style w:type="paragraph" w:customStyle="1" w:styleId="exnl1">
    <w:name w:val="exnl1"/>
    <w:basedOn w:val="sbnl1"/>
    <w:qFormat/>
    <w:rsid w:val="005F506D"/>
    <w:pPr>
      <w:ind w:left="1800" w:right="1440"/>
    </w:pPr>
    <w:rPr>
      <w:sz w:val="24"/>
      <w:szCs w:val="24"/>
    </w:rPr>
  </w:style>
  <w:style w:type="paragraph" w:customStyle="1" w:styleId="sbnl1f">
    <w:name w:val="sbnl1f"/>
    <w:basedOn w:val="sbnl1"/>
    <w:qFormat/>
    <w:rsid w:val="005F506D"/>
    <w:pPr>
      <w:spacing w:before="100"/>
    </w:pPr>
  </w:style>
  <w:style w:type="paragraph" w:customStyle="1" w:styleId="exnl1f">
    <w:name w:val="exnl1f"/>
    <w:basedOn w:val="sbnl1f"/>
    <w:next w:val="exnl1"/>
    <w:qFormat/>
    <w:rsid w:val="005F506D"/>
    <w:pPr>
      <w:spacing w:before="40"/>
      <w:ind w:left="1800" w:right="1440"/>
    </w:pPr>
    <w:rPr>
      <w:sz w:val="24"/>
      <w:szCs w:val="24"/>
    </w:rPr>
  </w:style>
  <w:style w:type="paragraph" w:customStyle="1" w:styleId="sbnl1l">
    <w:name w:val="sbnl1l"/>
    <w:basedOn w:val="sbnl1"/>
    <w:qFormat/>
    <w:rsid w:val="005F506D"/>
    <w:pPr>
      <w:spacing w:after="100"/>
    </w:pPr>
  </w:style>
  <w:style w:type="paragraph" w:customStyle="1" w:styleId="exnl1l">
    <w:name w:val="exnl1l"/>
    <w:basedOn w:val="sbnl1l"/>
    <w:qFormat/>
    <w:rsid w:val="005F506D"/>
    <w:pPr>
      <w:spacing w:after="40"/>
      <w:ind w:left="1800" w:right="1440"/>
    </w:pPr>
    <w:rPr>
      <w:sz w:val="24"/>
      <w:szCs w:val="24"/>
    </w:rPr>
  </w:style>
  <w:style w:type="paragraph" w:customStyle="1" w:styleId="sbnl1p">
    <w:name w:val="sbnl1p"/>
    <w:basedOn w:val="sbnl1"/>
    <w:rsid w:val="005F506D"/>
    <w:pPr>
      <w:ind w:firstLine="360"/>
    </w:pPr>
    <w:rPr>
      <w:szCs w:val="24"/>
    </w:rPr>
  </w:style>
  <w:style w:type="paragraph" w:customStyle="1" w:styleId="exnl1p">
    <w:name w:val="exnl1p"/>
    <w:basedOn w:val="sbnl1p"/>
    <w:qFormat/>
    <w:rsid w:val="005F506D"/>
    <w:pPr>
      <w:ind w:left="1800" w:right="1440" w:firstLine="720"/>
    </w:pPr>
    <w:rPr>
      <w:color w:val="000000"/>
      <w:sz w:val="24"/>
    </w:rPr>
  </w:style>
  <w:style w:type="paragraph" w:customStyle="1" w:styleId="sbnl1s">
    <w:name w:val="sbnl1s"/>
    <w:basedOn w:val="sbnl1"/>
    <w:rsid w:val="005F506D"/>
    <w:pPr>
      <w:spacing w:before="100" w:after="100"/>
    </w:pPr>
  </w:style>
  <w:style w:type="paragraph" w:customStyle="1" w:styleId="exnl1s">
    <w:name w:val="exnl1s"/>
    <w:basedOn w:val="sbnl1s"/>
    <w:qFormat/>
    <w:rsid w:val="005F506D"/>
    <w:pPr>
      <w:ind w:left="1800" w:right="1440"/>
    </w:pPr>
  </w:style>
  <w:style w:type="paragraph" w:customStyle="1" w:styleId="exnlf">
    <w:name w:val="exnlf"/>
    <w:basedOn w:val="sbnlf"/>
    <w:next w:val="exnl"/>
    <w:qFormat/>
    <w:rsid w:val="005F506D"/>
    <w:pPr>
      <w:spacing w:before="40"/>
      <w:ind w:left="1080"/>
    </w:pPr>
    <w:rPr>
      <w:sz w:val="24"/>
      <w:szCs w:val="24"/>
    </w:rPr>
  </w:style>
  <w:style w:type="paragraph" w:customStyle="1" w:styleId="exnll">
    <w:name w:val="exnll"/>
    <w:basedOn w:val="sbnll"/>
    <w:qFormat/>
    <w:rsid w:val="005F506D"/>
    <w:pPr>
      <w:spacing w:after="40"/>
      <w:ind w:left="1080"/>
    </w:pPr>
    <w:rPr>
      <w:sz w:val="24"/>
      <w:szCs w:val="24"/>
    </w:rPr>
  </w:style>
  <w:style w:type="paragraph" w:customStyle="1" w:styleId="exnlp">
    <w:name w:val="exnlp"/>
    <w:basedOn w:val="sbnlp"/>
    <w:qFormat/>
    <w:rsid w:val="005F506D"/>
    <w:pPr>
      <w:ind w:left="1080" w:firstLine="720"/>
    </w:pPr>
    <w:rPr>
      <w:color w:val="000000"/>
      <w:sz w:val="24"/>
    </w:rPr>
  </w:style>
  <w:style w:type="paragraph" w:customStyle="1" w:styleId="sbnls">
    <w:name w:val="sbnls"/>
    <w:basedOn w:val="sbnlf"/>
    <w:qFormat/>
    <w:rsid w:val="005F506D"/>
    <w:pPr>
      <w:spacing w:after="100"/>
    </w:pPr>
  </w:style>
  <w:style w:type="paragraph" w:customStyle="1" w:styleId="exnls">
    <w:name w:val="exnls"/>
    <w:basedOn w:val="sbnls"/>
    <w:qFormat/>
    <w:rsid w:val="005F506D"/>
    <w:pPr>
      <w:ind w:left="1080"/>
    </w:pPr>
    <w:rPr>
      <w:sz w:val="24"/>
      <w:szCs w:val="24"/>
    </w:rPr>
  </w:style>
  <w:style w:type="paragraph" w:customStyle="1" w:styleId="sbs">
    <w:name w:val="sbs"/>
    <w:basedOn w:val="sb"/>
    <w:rsid w:val="005F506D"/>
    <w:pPr>
      <w:widowControl w:val="0"/>
      <w:spacing w:before="100" w:after="100"/>
    </w:pPr>
    <w:rPr>
      <w:color w:val="000000"/>
    </w:rPr>
  </w:style>
  <w:style w:type="paragraph" w:customStyle="1" w:styleId="exs">
    <w:name w:val="exs"/>
    <w:basedOn w:val="sbs"/>
    <w:rsid w:val="005F506D"/>
    <w:rPr>
      <w:sz w:val="24"/>
      <w:szCs w:val="24"/>
    </w:rPr>
  </w:style>
  <w:style w:type="paragraph" w:customStyle="1" w:styleId="exul">
    <w:name w:val="exul"/>
    <w:basedOn w:val="sbul"/>
    <w:qFormat/>
    <w:rsid w:val="005F506D"/>
    <w:pPr>
      <w:ind w:left="1440"/>
    </w:pPr>
    <w:rPr>
      <w:sz w:val="24"/>
      <w:szCs w:val="24"/>
    </w:rPr>
  </w:style>
  <w:style w:type="paragraph" w:customStyle="1" w:styleId="sbul1">
    <w:name w:val="sbul1"/>
    <w:basedOn w:val="sbul"/>
    <w:rsid w:val="005F506D"/>
    <w:pPr>
      <w:ind w:left="2160"/>
    </w:pPr>
  </w:style>
  <w:style w:type="paragraph" w:customStyle="1" w:styleId="exul1">
    <w:name w:val="exul1"/>
    <w:basedOn w:val="sbul1"/>
    <w:qFormat/>
    <w:rsid w:val="005F506D"/>
    <w:pPr>
      <w:ind w:left="1800"/>
    </w:pPr>
    <w:rPr>
      <w:sz w:val="24"/>
      <w:szCs w:val="24"/>
    </w:rPr>
  </w:style>
  <w:style w:type="paragraph" w:customStyle="1" w:styleId="sbul1f">
    <w:name w:val="sbul1f"/>
    <w:basedOn w:val="sbulf"/>
    <w:rsid w:val="005F506D"/>
    <w:pPr>
      <w:ind w:left="2160"/>
    </w:pPr>
  </w:style>
  <w:style w:type="paragraph" w:customStyle="1" w:styleId="exul1f">
    <w:name w:val="exul1f"/>
    <w:basedOn w:val="sbul1f"/>
    <w:next w:val="exul1"/>
    <w:qFormat/>
    <w:rsid w:val="005F506D"/>
    <w:pPr>
      <w:spacing w:before="240"/>
      <w:ind w:left="1800"/>
    </w:pPr>
    <w:rPr>
      <w:sz w:val="24"/>
      <w:szCs w:val="24"/>
    </w:rPr>
  </w:style>
  <w:style w:type="paragraph" w:customStyle="1" w:styleId="sbul1l">
    <w:name w:val="sbul1l"/>
    <w:basedOn w:val="sbull"/>
    <w:rsid w:val="005F506D"/>
    <w:pPr>
      <w:ind w:left="2160"/>
    </w:pPr>
  </w:style>
  <w:style w:type="paragraph" w:customStyle="1" w:styleId="exul1l">
    <w:name w:val="exul1l"/>
    <w:basedOn w:val="sbul1l"/>
    <w:qFormat/>
    <w:rsid w:val="005F506D"/>
    <w:pPr>
      <w:spacing w:after="240"/>
      <w:ind w:left="1800"/>
    </w:pPr>
    <w:rPr>
      <w:sz w:val="24"/>
      <w:szCs w:val="24"/>
    </w:rPr>
  </w:style>
  <w:style w:type="paragraph" w:customStyle="1" w:styleId="sbul1p">
    <w:name w:val="sbul1p"/>
    <w:basedOn w:val="sbul1"/>
    <w:rsid w:val="005F506D"/>
    <w:pPr>
      <w:suppressAutoHyphens/>
      <w:autoSpaceDE w:val="0"/>
      <w:autoSpaceDN w:val="0"/>
      <w:adjustRightInd w:val="0"/>
      <w:ind w:firstLine="360"/>
      <w:textAlignment w:val="center"/>
    </w:pPr>
    <w:rPr>
      <w:kern w:val="24"/>
      <w:szCs w:val="24"/>
    </w:rPr>
  </w:style>
  <w:style w:type="paragraph" w:customStyle="1" w:styleId="exul1p">
    <w:name w:val="exul1p"/>
    <w:basedOn w:val="sbul1p"/>
    <w:qFormat/>
    <w:rsid w:val="005F506D"/>
    <w:pPr>
      <w:spacing w:line="480" w:lineRule="auto"/>
      <w:ind w:left="1800"/>
    </w:pPr>
  </w:style>
  <w:style w:type="paragraph" w:customStyle="1" w:styleId="sbul1s">
    <w:name w:val="sbul1s"/>
    <w:basedOn w:val="sbul1"/>
    <w:rsid w:val="005F506D"/>
    <w:pPr>
      <w:spacing w:before="100" w:after="100"/>
    </w:pPr>
  </w:style>
  <w:style w:type="paragraph" w:customStyle="1" w:styleId="exul1s">
    <w:name w:val="exul1s"/>
    <w:basedOn w:val="sbul1s"/>
    <w:qFormat/>
    <w:rsid w:val="005F506D"/>
    <w:pPr>
      <w:spacing w:before="240" w:after="240"/>
      <w:ind w:left="1800"/>
    </w:pPr>
    <w:rPr>
      <w:sz w:val="24"/>
      <w:szCs w:val="24"/>
    </w:rPr>
  </w:style>
  <w:style w:type="paragraph" w:customStyle="1" w:styleId="exulf">
    <w:name w:val="exulf"/>
    <w:basedOn w:val="sbulf"/>
    <w:next w:val="exul"/>
    <w:qFormat/>
    <w:rsid w:val="005F506D"/>
    <w:pPr>
      <w:spacing w:before="240"/>
      <w:ind w:left="1440"/>
    </w:pPr>
    <w:rPr>
      <w:color w:val="000000"/>
      <w:kern w:val="44"/>
      <w:sz w:val="24"/>
    </w:rPr>
  </w:style>
  <w:style w:type="paragraph" w:customStyle="1" w:styleId="exull">
    <w:name w:val="exull"/>
    <w:basedOn w:val="sbull"/>
    <w:qFormat/>
    <w:rsid w:val="005F506D"/>
    <w:pPr>
      <w:spacing w:after="240"/>
      <w:ind w:left="1440"/>
    </w:pPr>
    <w:rPr>
      <w:sz w:val="24"/>
      <w:szCs w:val="24"/>
    </w:rPr>
  </w:style>
  <w:style w:type="paragraph" w:customStyle="1" w:styleId="sbulp">
    <w:name w:val="sbulp"/>
    <w:basedOn w:val="sbul"/>
    <w:rsid w:val="005F506D"/>
    <w:pPr>
      <w:ind w:left="2160" w:firstLine="0"/>
    </w:pPr>
    <w:rPr>
      <w:szCs w:val="24"/>
    </w:rPr>
  </w:style>
  <w:style w:type="paragraph" w:customStyle="1" w:styleId="exulp">
    <w:name w:val="exulp"/>
    <w:basedOn w:val="sbulp"/>
    <w:qFormat/>
    <w:rsid w:val="005F506D"/>
    <w:pPr>
      <w:ind w:left="1440" w:firstLine="360"/>
    </w:pPr>
    <w:rPr>
      <w:color w:val="000000"/>
      <w:sz w:val="24"/>
    </w:rPr>
  </w:style>
  <w:style w:type="paragraph" w:customStyle="1" w:styleId="sbuls">
    <w:name w:val="sbuls"/>
    <w:basedOn w:val="sbulf"/>
    <w:qFormat/>
    <w:rsid w:val="005F506D"/>
    <w:pPr>
      <w:spacing w:after="100"/>
    </w:pPr>
  </w:style>
  <w:style w:type="paragraph" w:customStyle="1" w:styleId="exuls">
    <w:name w:val="exuls"/>
    <w:basedOn w:val="sbuls"/>
    <w:qFormat/>
    <w:rsid w:val="005F506D"/>
    <w:pPr>
      <w:spacing w:before="240" w:after="240"/>
      <w:ind w:left="1440"/>
    </w:pPr>
    <w:rPr>
      <w:sz w:val="24"/>
      <w:szCs w:val="24"/>
    </w:rPr>
  </w:style>
  <w:style w:type="paragraph" w:customStyle="1" w:styleId="figatr">
    <w:name w:val="figatr"/>
    <w:basedOn w:val="Normal"/>
    <w:rsid w:val="005F506D"/>
    <w:pPr>
      <w:widowControl w:val="0"/>
      <w:spacing w:before="100" w:after="200"/>
      <w:ind w:firstLine="0"/>
    </w:pPr>
    <w:rPr>
      <w:rFonts w:ascii="Arial" w:eastAsia="Times New Roman" w:hAnsi="Arial" w:cs="Times New Roman"/>
      <w:sz w:val="20"/>
      <w:szCs w:val="24"/>
    </w:rPr>
  </w:style>
  <w:style w:type="paragraph" w:customStyle="1" w:styleId="figcap">
    <w:name w:val="figcap"/>
    <w:basedOn w:val="fig"/>
    <w:rsid w:val="005F506D"/>
  </w:style>
  <w:style w:type="paragraph" w:customStyle="1" w:styleId="figcap1">
    <w:name w:val="figcap1"/>
    <w:qFormat/>
    <w:rsid w:val="005F506D"/>
    <w:pPr>
      <w:spacing w:after="0" w:line="240" w:lineRule="auto"/>
    </w:pPr>
    <w:rPr>
      <w:rFonts w:ascii="Times New Roman" w:eastAsia="Times New Roman" w:hAnsi="Times New Roman" w:cs="Times New Roman"/>
      <w:sz w:val="24"/>
      <w:szCs w:val="24"/>
    </w:rPr>
  </w:style>
  <w:style w:type="paragraph" w:customStyle="1" w:styleId="figh1">
    <w:name w:val="figh1"/>
    <w:basedOn w:val="figh"/>
    <w:rsid w:val="005F506D"/>
    <w:rPr>
      <w:sz w:val="24"/>
    </w:rPr>
  </w:style>
  <w:style w:type="character" w:customStyle="1" w:styleId="fighn">
    <w:name w:val="fighn"/>
    <w:rsid w:val="005F506D"/>
    <w:rPr>
      <w:color w:val="800080"/>
    </w:rPr>
  </w:style>
  <w:style w:type="paragraph" w:customStyle="1" w:styleId="fign">
    <w:name w:val="fign"/>
    <w:basedOn w:val="fig"/>
    <w:rsid w:val="005F506D"/>
    <w:rPr>
      <w:rFonts w:ascii="Arial" w:hAnsi="Arial"/>
      <w:sz w:val="20"/>
    </w:rPr>
  </w:style>
  <w:style w:type="character" w:customStyle="1" w:styleId="first">
    <w:name w:val="first"/>
    <w:rsid w:val="005F506D"/>
  </w:style>
  <w:style w:type="character" w:customStyle="1" w:styleId="first-i">
    <w:name w:val="first-i"/>
    <w:rsid w:val="005F506D"/>
    <w:rPr>
      <w:i/>
      <w:color w:val="008000"/>
    </w:rPr>
  </w:style>
  <w:style w:type="paragraph" w:customStyle="1" w:styleId="fn">
    <w:name w:val="fn"/>
    <w:rsid w:val="005F506D"/>
    <w:pPr>
      <w:widowControl w:val="0"/>
      <w:pBdr>
        <w:top w:val="single" w:sz="8" w:space="1" w:color="auto"/>
        <w:bottom w:val="single" w:sz="8" w:space="1" w:color="auto"/>
      </w:pBdr>
      <w:spacing w:after="0" w:line="360" w:lineRule="auto"/>
      <w:ind w:left="360" w:hanging="360"/>
    </w:pPr>
    <w:rPr>
      <w:rFonts w:ascii="Times New Roman" w:eastAsia="Times New Roman" w:hAnsi="Times New Roman" w:cs="Times New Roman"/>
      <w:noProof/>
      <w:sz w:val="20"/>
      <w:szCs w:val="20"/>
    </w:rPr>
  </w:style>
  <w:style w:type="character" w:customStyle="1" w:styleId="fnnum">
    <w:name w:val="fnnum"/>
    <w:uiPriority w:val="1"/>
    <w:qFormat/>
    <w:rsid w:val="005F506D"/>
    <w:rPr>
      <w:rFonts w:ascii="Times New Roman" w:hAnsi="Times New Roman"/>
      <w:color w:val="00B050"/>
      <w:vertAlign w:val="baseline"/>
    </w:rPr>
  </w:style>
  <w:style w:type="paragraph" w:customStyle="1" w:styleId="fnp">
    <w:name w:val="fnp"/>
    <w:basedOn w:val="fn"/>
    <w:rsid w:val="005F506D"/>
    <w:pPr>
      <w:ind w:left="0" w:firstLine="720"/>
    </w:pPr>
  </w:style>
  <w:style w:type="character" w:customStyle="1" w:styleId="fnref">
    <w:name w:val="fnref"/>
    <w:uiPriority w:val="1"/>
    <w:qFormat/>
    <w:rsid w:val="005F506D"/>
    <w:rPr>
      <w:color w:val="auto"/>
      <w:vertAlign w:val="superscript"/>
    </w:rPr>
  </w:style>
  <w:style w:type="paragraph" w:customStyle="1" w:styleId="folio">
    <w:name w:val="folio"/>
    <w:basedOn w:val="pf"/>
    <w:qFormat/>
    <w:rsid w:val="005F506D"/>
  </w:style>
  <w:style w:type="character" w:styleId="FollowedHyperlink">
    <w:name w:val="FollowedHyperlink"/>
    <w:semiHidden/>
    <w:rsid w:val="005F506D"/>
    <w:rPr>
      <w:color w:val="800080"/>
      <w:u w:val="single"/>
    </w:rPr>
  </w:style>
  <w:style w:type="character" w:customStyle="1" w:styleId="frac">
    <w:name w:val="frac"/>
    <w:rsid w:val="005F506D"/>
    <w:rPr>
      <w:rFonts w:ascii="Arial" w:hAnsi="Arial"/>
      <w:color w:val="auto"/>
      <w:szCs w:val="24"/>
      <w:bdr w:val="none" w:sz="0" w:space="0" w:color="auto"/>
    </w:rPr>
  </w:style>
  <w:style w:type="character" w:customStyle="1" w:styleId="frac-b">
    <w:name w:val="frac-b"/>
    <w:uiPriority w:val="1"/>
    <w:qFormat/>
    <w:rsid w:val="005F506D"/>
    <w:rPr>
      <w:rFonts w:ascii="Arial" w:eastAsia="MS Mincho" w:hAnsi="Arial"/>
      <w:b/>
      <w:color w:val="FF00FF"/>
      <w:sz w:val="24"/>
      <w:szCs w:val="24"/>
      <w:bdr w:val="none" w:sz="0" w:space="0" w:color="auto"/>
    </w:rPr>
  </w:style>
  <w:style w:type="character" w:customStyle="1" w:styleId="frac-bi">
    <w:name w:val="frac-bi"/>
    <w:uiPriority w:val="1"/>
    <w:qFormat/>
    <w:rsid w:val="005F506D"/>
    <w:rPr>
      <w:rFonts w:ascii="Arial" w:eastAsia="MS Mincho" w:hAnsi="Arial"/>
      <w:b/>
      <w:i/>
      <w:color w:val="F79646"/>
      <w:szCs w:val="24"/>
      <w:bdr w:val="none" w:sz="0" w:space="0" w:color="auto"/>
    </w:rPr>
  </w:style>
  <w:style w:type="character" w:customStyle="1" w:styleId="frac-i">
    <w:name w:val="frac-i"/>
    <w:uiPriority w:val="1"/>
    <w:qFormat/>
    <w:rsid w:val="005F506D"/>
    <w:rPr>
      <w:rFonts w:ascii="Arial" w:eastAsia="MS Mincho" w:hAnsi="Arial"/>
      <w:b w:val="0"/>
      <w:i/>
      <w:color w:val="008000"/>
      <w:szCs w:val="24"/>
      <w:bdr w:val="none" w:sz="0" w:space="0" w:color="auto"/>
    </w:rPr>
  </w:style>
  <w:style w:type="paragraph" w:customStyle="1" w:styleId="fs">
    <w:name w:val="fs"/>
    <w:basedOn w:val="pf"/>
    <w:qFormat/>
    <w:rsid w:val="005F506D"/>
    <w:rPr>
      <w:rFonts w:ascii="Arial" w:hAnsi="Arial"/>
    </w:rPr>
  </w:style>
  <w:style w:type="paragraph" w:customStyle="1" w:styleId="glo">
    <w:name w:val="glo"/>
    <w:next w:val="Normal"/>
    <w:rsid w:val="005F506D"/>
    <w:pPr>
      <w:tabs>
        <w:tab w:val="left" w:pos="0"/>
      </w:tabs>
      <w:spacing w:after="0" w:line="480" w:lineRule="auto"/>
      <w:ind w:left="245" w:hanging="245"/>
      <w:jc w:val="both"/>
    </w:pPr>
    <w:rPr>
      <w:rFonts w:ascii="Times New Roman" w:eastAsia="Times New Roman" w:hAnsi="Times New Roman" w:cs="Times New Roman"/>
      <w:color w:val="000000"/>
      <w:sz w:val="24"/>
      <w:szCs w:val="20"/>
    </w:rPr>
  </w:style>
  <w:style w:type="paragraph" w:customStyle="1" w:styleId="glof">
    <w:name w:val="glof"/>
    <w:basedOn w:val="glo"/>
    <w:next w:val="glo"/>
    <w:qFormat/>
    <w:rsid w:val="005F506D"/>
    <w:pPr>
      <w:spacing w:before="200"/>
    </w:pPr>
  </w:style>
  <w:style w:type="character" w:customStyle="1" w:styleId="grc">
    <w:name w:val="grc"/>
    <w:rsid w:val="005F506D"/>
    <w:rPr>
      <w:color w:val="3366FF"/>
      <w:bdr w:val="none" w:sz="0" w:space="0" w:color="auto"/>
    </w:rPr>
  </w:style>
  <w:style w:type="character" w:customStyle="1" w:styleId="grc-b">
    <w:name w:val="grc-b"/>
    <w:uiPriority w:val="1"/>
    <w:qFormat/>
    <w:rsid w:val="005F506D"/>
    <w:rPr>
      <w:rFonts w:eastAsia="MS Mincho"/>
      <w:b/>
      <w:color w:val="3366FF"/>
      <w:bdr w:val="none" w:sz="0" w:space="0" w:color="auto"/>
    </w:rPr>
  </w:style>
  <w:style w:type="character" w:customStyle="1" w:styleId="grc-bi">
    <w:name w:val="grc-bi"/>
    <w:uiPriority w:val="1"/>
    <w:qFormat/>
    <w:rsid w:val="005F506D"/>
    <w:rPr>
      <w:rFonts w:eastAsia="MS Mincho"/>
      <w:b/>
      <w:i/>
      <w:color w:val="3366FF"/>
      <w:bdr w:val="none" w:sz="0" w:space="0" w:color="auto"/>
    </w:rPr>
  </w:style>
  <w:style w:type="character" w:customStyle="1" w:styleId="grc-i">
    <w:name w:val="grc-i"/>
    <w:rsid w:val="005F506D"/>
    <w:rPr>
      <w:rFonts w:ascii="Times New Roman" w:hAnsi="Times New Roman"/>
      <w:i/>
      <w:color w:val="3366FF"/>
      <w:szCs w:val="24"/>
      <w:bdr w:val="none" w:sz="0" w:space="0" w:color="auto"/>
    </w:rPr>
  </w:style>
  <w:style w:type="character" w:customStyle="1" w:styleId="grc-u">
    <w:name w:val="grc-u"/>
    <w:uiPriority w:val="1"/>
    <w:qFormat/>
    <w:rsid w:val="005F506D"/>
    <w:rPr>
      <w:rFonts w:eastAsia="MS Mincho"/>
      <w:color w:val="3366FF"/>
      <w:u w:val="single"/>
      <w:bdr w:val="none" w:sz="0" w:space="0" w:color="auto"/>
    </w:rPr>
  </w:style>
  <w:style w:type="character" w:customStyle="1" w:styleId="gt">
    <w:name w:val="gt"/>
    <w:rsid w:val="005F506D"/>
    <w:rPr>
      <w:color w:val="993300"/>
    </w:rPr>
  </w:style>
  <w:style w:type="character" w:customStyle="1" w:styleId="gt-i">
    <w:name w:val="gt-i"/>
    <w:uiPriority w:val="1"/>
    <w:qFormat/>
    <w:rsid w:val="005F506D"/>
    <w:rPr>
      <w:rFonts w:eastAsia="MS Mincho"/>
      <w:i/>
      <w:color w:val="993300"/>
    </w:rPr>
  </w:style>
  <w:style w:type="character" w:customStyle="1" w:styleId="gtref">
    <w:name w:val="gtref"/>
    <w:uiPriority w:val="1"/>
    <w:qFormat/>
    <w:rsid w:val="005F506D"/>
    <w:rPr>
      <w:rFonts w:eastAsia="MS Mincho"/>
      <w:color w:val="993300"/>
    </w:rPr>
  </w:style>
  <w:style w:type="character" w:customStyle="1" w:styleId="gtref-i">
    <w:name w:val="gtref-i"/>
    <w:uiPriority w:val="1"/>
    <w:qFormat/>
    <w:rsid w:val="005F506D"/>
    <w:rPr>
      <w:rFonts w:eastAsia="MS Mincho"/>
      <w:i/>
      <w:color w:val="993300"/>
    </w:rPr>
  </w:style>
  <w:style w:type="character" w:customStyle="1" w:styleId="gtref-sm">
    <w:name w:val="gtref-sm"/>
    <w:uiPriority w:val="1"/>
    <w:qFormat/>
    <w:rsid w:val="005F506D"/>
    <w:rPr>
      <w:rFonts w:ascii="Cambria" w:eastAsia="MS Mincho" w:hAnsi="Cambria"/>
      <w:i w:val="0"/>
      <w:caps w:val="0"/>
      <w:smallCaps/>
      <w:color w:val="993300"/>
    </w:rPr>
  </w:style>
  <w:style w:type="character" w:customStyle="1" w:styleId="gt-sm">
    <w:name w:val="gt-sm"/>
    <w:uiPriority w:val="1"/>
    <w:qFormat/>
    <w:rsid w:val="005F506D"/>
    <w:rPr>
      <w:rFonts w:ascii="Cambria" w:eastAsia="MS Mincho" w:hAnsi="Cambria"/>
      <w:i w:val="0"/>
      <w:caps w:val="0"/>
      <w:smallCaps/>
      <w:color w:val="993300"/>
    </w:rPr>
  </w:style>
  <w:style w:type="paragraph" w:customStyle="1" w:styleId="sec">
    <w:name w:val="sec"/>
    <w:basedOn w:val="Normal"/>
    <w:rsid w:val="005F506D"/>
    <w:pPr>
      <w:widowControl w:val="0"/>
      <w:suppressAutoHyphens/>
      <w:autoSpaceDE w:val="0"/>
      <w:autoSpaceDN w:val="0"/>
      <w:adjustRightInd w:val="0"/>
      <w:spacing w:line="360" w:lineRule="auto"/>
      <w:ind w:firstLine="0"/>
      <w:jc w:val="center"/>
      <w:textAlignment w:val="center"/>
    </w:pPr>
    <w:rPr>
      <w:rFonts w:ascii="Times Semibold" w:eastAsia="Times New Roman" w:hAnsi="Times Semibold" w:cs="Times New Roman"/>
      <w:color w:val="000000"/>
      <w:kern w:val="24"/>
      <w:sz w:val="24"/>
      <w:szCs w:val="24"/>
    </w:rPr>
  </w:style>
  <w:style w:type="paragraph" w:customStyle="1" w:styleId="hb">
    <w:name w:val="hb"/>
    <w:basedOn w:val="sec"/>
    <w:qFormat/>
    <w:rsid w:val="005F506D"/>
    <w:rPr>
      <w:rFonts w:ascii="Times New Roman" w:hAnsi="Times New Roman"/>
    </w:rPr>
  </w:style>
  <w:style w:type="paragraph" w:customStyle="1" w:styleId="hd">
    <w:name w:val="hd"/>
    <w:basedOn w:val="ah"/>
    <w:next w:val="paft"/>
    <w:qFormat/>
    <w:rsid w:val="005F506D"/>
    <w:pPr>
      <w:outlineLvl w:val="8"/>
    </w:pPr>
  </w:style>
  <w:style w:type="character" w:customStyle="1" w:styleId="heb">
    <w:name w:val="heb"/>
    <w:rsid w:val="005F506D"/>
    <w:rPr>
      <w:color w:val="31849B"/>
      <w:bdr w:val="none" w:sz="0" w:space="0" w:color="auto"/>
    </w:rPr>
  </w:style>
  <w:style w:type="character" w:customStyle="1" w:styleId="heb-b">
    <w:name w:val="heb-b"/>
    <w:uiPriority w:val="1"/>
    <w:qFormat/>
    <w:rsid w:val="005F506D"/>
    <w:rPr>
      <w:b/>
      <w:color w:val="31849B"/>
      <w:bdr w:val="none" w:sz="0" w:space="0" w:color="auto"/>
    </w:rPr>
  </w:style>
  <w:style w:type="character" w:customStyle="1" w:styleId="heb-bi">
    <w:name w:val="heb-bi"/>
    <w:uiPriority w:val="1"/>
    <w:qFormat/>
    <w:rsid w:val="005F506D"/>
    <w:rPr>
      <w:b/>
      <w:i/>
      <w:color w:val="31849B"/>
      <w:bdr w:val="none" w:sz="0" w:space="0" w:color="auto"/>
    </w:rPr>
  </w:style>
  <w:style w:type="character" w:customStyle="1" w:styleId="heb-i">
    <w:name w:val="heb-i"/>
    <w:uiPriority w:val="1"/>
    <w:qFormat/>
    <w:rsid w:val="005F506D"/>
    <w:rPr>
      <w:i/>
      <w:color w:val="31849B"/>
      <w:bdr w:val="none" w:sz="0" w:space="0" w:color="auto"/>
    </w:rPr>
  </w:style>
  <w:style w:type="character" w:customStyle="1" w:styleId="heb-u">
    <w:name w:val="heb-u"/>
    <w:uiPriority w:val="1"/>
    <w:qFormat/>
    <w:rsid w:val="005F506D"/>
    <w:rPr>
      <w:rFonts w:eastAsia="MS Mincho"/>
      <w:i w:val="0"/>
      <w:color w:val="31849B"/>
      <w:u w:val="single"/>
      <w:bdr w:val="none" w:sz="0" w:space="0" w:color="auto"/>
    </w:rPr>
  </w:style>
  <w:style w:type="character" w:customStyle="1" w:styleId="hemb">
    <w:name w:val="hemb"/>
    <w:qFormat/>
    <w:rsid w:val="005F506D"/>
    <w:rPr>
      <w:color w:val="FF6600"/>
    </w:rPr>
  </w:style>
  <w:style w:type="character" w:styleId="Hyperlink">
    <w:name w:val="Hyperlink"/>
    <w:semiHidden/>
    <w:rsid w:val="005F506D"/>
    <w:rPr>
      <w:color w:val="auto"/>
      <w:u w:val="single"/>
    </w:rPr>
  </w:style>
  <w:style w:type="character" w:customStyle="1" w:styleId="idx">
    <w:name w:val="idx"/>
    <w:rsid w:val="005F506D"/>
    <w:rPr>
      <w:color w:val="auto"/>
      <w:bdr w:val="none" w:sz="0" w:space="0" w:color="auto"/>
    </w:rPr>
  </w:style>
  <w:style w:type="character" w:customStyle="1" w:styleId="img">
    <w:name w:val="img"/>
    <w:rsid w:val="005F506D"/>
    <w:rPr>
      <w:rFonts w:ascii="Arial" w:hAnsi="Arial"/>
      <w:color w:val="FF0000"/>
    </w:rPr>
  </w:style>
  <w:style w:type="paragraph" w:customStyle="1" w:styleId="in">
    <w:name w:val="in"/>
    <w:rsid w:val="005F506D"/>
    <w:pPr>
      <w:widowControl w:val="0"/>
      <w:spacing w:after="0" w:line="480" w:lineRule="auto"/>
      <w:ind w:left="720" w:hanging="720"/>
    </w:pPr>
    <w:rPr>
      <w:rFonts w:ascii="Times New Roman" w:eastAsia="Times New Roman" w:hAnsi="Times New Roman" w:cs="Times New Roman"/>
      <w:noProof/>
      <w:sz w:val="24"/>
      <w:szCs w:val="24"/>
    </w:rPr>
  </w:style>
  <w:style w:type="paragraph" w:customStyle="1" w:styleId="in1">
    <w:name w:val="in1"/>
    <w:basedOn w:val="in"/>
    <w:rsid w:val="005F506D"/>
    <w:pPr>
      <w:ind w:left="1080"/>
    </w:pPr>
    <w:rPr>
      <w:sz w:val="22"/>
    </w:rPr>
  </w:style>
  <w:style w:type="paragraph" w:customStyle="1" w:styleId="in2">
    <w:name w:val="in2"/>
    <w:basedOn w:val="in"/>
    <w:rsid w:val="005F506D"/>
    <w:pPr>
      <w:ind w:left="1440"/>
    </w:pPr>
    <w:rPr>
      <w:sz w:val="20"/>
    </w:rPr>
  </w:style>
  <w:style w:type="paragraph" w:customStyle="1" w:styleId="in3">
    <w:name w:val="in3"/>
    <w:basedOn w:val="in"/>
    <w:rsid w:val="005F506D"/>
    <w:pPr>
      <w:ind w:left="1800"/>
    </w:pPr>
    <w:rPr>
      <w:sz w:val="20"/>
    </w:rPr>
  </w:style>
  <w:style w:type="paragraph" w:customStyle="1" w:styleId="IndentFirst">
    <w:name w:val="Indent First"/>
    <w:basedOn w:val="Normal"/>
    <w:uiPriority w:val="99"/>
    <w:rsid w:val="005F506D"/>
    <w:pPr>
      <w:ind w:firstLine="360"/>
    </w:pPr>
    <w:rPr>
      <w:rFonts w:ascii="Times New Roman" w:eastAsia="Times New Roman" w:hAnsi="Times New Roman" w:cs="Times New Roman"/>
      <w:sz w:val="20"/>
      <w:szCs w:val="20"/>
    </w:rPr>
  </w:style>
  <w:style w:type="paragraph" w:customStyle="1" w:styleId="Index">
    <w:name w:val="Index"/>
    <w:basedOn w:val="Normal"/>
    <w:rsid w:val="005F506D"/>
    <w:pPr>
      <w:suppressLineNumbers/>
      <w:ind w:firstLine="0"/>
    </w:pPr>
    <w:rPr>
      <w:rFonts w:ascii="Times New Roman" w:eastAsia="Times New Roman" w:hAnsi="Times New Roman" w:cs="Tahoma"/>
      <w:sz w:val="20"/>
      <w:szCs w:val="20"/>
    </w:rPr>
  </w:style>
  <w:style w:type="paragraph" w:customStyle="1" w:styleId="inf">
    <w:name w:val="inf"/>
    <w:basedOn w:val="in"/>
    <w:next w:val="in"/>
    <w:rsid w:val="005F506D"/>
    <w:pPr>
      <w:spacing w:before="600"/>
    </w:pPr>
  </w:style>
  <w:style w:type="paragraph" w:customStyle="1" w:styleId="inh">
    <w:name w:val="inh"/>
    <w:rsid w:val="005F506D"/>
    <w:pPr>
      <w:spacing w:before="200" w:after="100" w:line="480" w:lineRule="auto"/>
      <w:outlineLvl w:val="8"/>
    </w:pPr>
    <w:rPr>
      <w:rFonts w:ascii="Times New Roman" w:eastAsia="Times New Roman" w:hAnsi="Times New Roman" w:cs="Times New Roman"/>
      <w:sz w:val="32"/>
      <w:szCs w:val="20"/>
    </w:rPr>
  </w:style>
  <w:style w:type="paragraph" w:customStyle="1" w:styleId="inh1">
    <w:name w:val="inh1"/>
    <w:basedOn w:val="inh"/>
    <w:rsid w:val="005F506D"/>
    <w:rPr>
      <w:sz w:val="28"/>
    </w:rPr>
  </w:style>
  <w:style w:type="paragraph" w:customStyle="1" w:styleId="inhn">
    <w:name w:val="inhn"/>
    <w:basedOn w:val="in"/>
    <w:qFormat/>
    <w:rsid w:val="005F506D"/>
    <w:pPr>
      <w:ind w:left="0" w:firstLine="0"/>
    </w:pPr>
    <w:rPr>
      <w:sz w:val="20"/>
    </w:rPr>
  </w:style>
  <w:style w:type="character" w:customStyle="1" w:styleId="iu">
    <w:name w:val="iu"/>
    <w:rsid w:val="005F506D"/>
    <w:rPr>
      <w:i/>
      <w:color w:val="215868"/>
      <w:szCs w:val="24"/>
      <w:u w:val="single"/>
      <w:bdr w:val="none" w:sz="0" w:space="0" w:color="auto"/>
    </w:rPr>
  </w:style>
  <w:style w:type="character" w:customStyle="1" w:styleId="lang">
    <w:name w:val="lang"/>
    <w:rsid w:val="005F506D"/>
    <w:rPr>
      <w:color w:val="808080"/>
    </w:rPr>
  </w:style>
  <w:style w:type="character" w:customStyle="1" w:styleId="lang-b">
    <w:name w:val="lang-b"/>
    <w:uiPriority w:val="1"/>
    <w:qFormat/>
    <w:rsid w:val="005F506D"/>
    <w:rPr>
      <w:rFonts w:eastAsia="MS Mincho"/>
      <w:b/>
      <w:color w:val="808080"/>
    </w:rPr>
  </w:style>
  <w:style w:type="character" w:customStyle="1" w:styleId="lang-bi">
    <w:name w:val="lang-bi"/>
    <w:uiPriority w:val="1"/>
    <w:qFormat/>
    <w:rsid w:val="005F506D"/>
    <w:rPr>
      <w:rFonts w:eastAsia="MS Mincho"/>
      <w:b/>
      <w:i/>
      <w:color w:val="808080"/>
    </w:rPr>
  </w:style>
  <w:style w:type="character" w:customStyle="1" w:styleId="lang-i">
    <w:name w:val="lang-i"/>
    <w:uiPriority w:val="1"/>
    <w:qFormat/>
    <w:rsid w:val="005F506D"/>
    <w:rPr>
      <w:rFonts w:eastAsia="MS Mincho"/>
      <w:i/>
      <w:color w:val="808080"/>
    </w:rPr>
  </w:style>
  <w:style w:type="character" w:customStyle="1" w:styleId="l-chi">
    <w:name w:val="l-chi"/>
    <w:qFormat/>
    <w:rsid w:val="005F506D"/>
    <w:rPr>
      <w:rFonts w:ascii="Times" w:hAnsi="Times"/>
      <w:b w:val="0"/>
      <w:bCs w:val="0"/>
      <w:i w:val="0"/>
      <w:iCs w:val="0"/>
      <w:color w:val="4A442A"/>
    </w:rPr>
  </w:style>
  <w:style w:type="character" w:customStyle="1" w:styleId="l-chi-b">
    <w:name w:val="l-chi-b"/>
    <w:qFormat/>
    <w:rsid w:val="005F506D"/>
    <w:rPr>
      <w:rFonts w:ascii="Times New Roman" w:hAnsi="Times New Roman"/>
      <w:b/>
      <w:bCs w:val="0"/>
      <w:i w:val="0"/>
      <w:iCs w:val="0"/>
      <w:color w:val="4A442A"/>
    </w:rPr>
  </w:style>
  <w:style w:type="character" w:customStyle="1" w:styleId="l-chi-bi">
    <w:name w:val="l-chi-bi"/>
    <w:qFormat/>
    <w:rsid w:val="005F506D"/>
    <w:rPr>
      <w:rFonts w:ascii="Times New Roman" w:hAnsi="Times New Roman"/>
      <w:b/>
      <w:bCs w:val="0"/>
      <w:i/>
      <w:iCs w:val="0"/>
      <w:color w:val="4A442A"/>
    </w:rPr>
  </w:style>
  <w:style w:type="character" w:customStyle="1" w:styleId="l-chi-i">
    <w:name w:val="l-chi-i"/>
    <w:qFormat/>
    <w:rsid w:val="005F506D"/>
    <w:rPr>
      <w:rFonts w:ascii="Times New Roman" w:hAnsi="Times New Roman"/>
      <w:b w:val="0"/>
      <w:bCs w:val="0"/>
      <w:i/>
      <w:iCs w:val="0"/>
      <w:color w:val="4A442A"/>
    </w:rPr>
  </w:style>
  <w:style w:type="character" w:customStyle="1" w:styleId="l-fre">
    <w:name w:val="l-fre"/>
    <w:qFormat/>
    <w:rsid w:val="005F506D"/>
    <w:rPr>
      <w:color w:val="FF8000"/>
    </w:rPr>
  </w:style>
  <w:style w:type="character" w:customStyle="1" w:styleId="l-fre-b">
    <w:name w:val="l-fre-b"/>
    <w:qFormat/>
    <w:rsid w:val="005F506D"/>
    <w:rPr>
      <w:rFonts w:ascii="Times New Roman" w:hAnsi="Times New Roman"/>
      <w:b/>
      <w:bCs w:val="0"/>
      <w:i w:val="0"/>
      <w:iCs w:val="0"/>
      <w:color w:val="FF8000"/>
    </w:rPr>
  </w:style>
  <w:style w:type="character" w:customStyle="1" w:styleId="l-fre-bi">
    <w:name w:val="l-fre-bi"/>
    <w:qFormat/>
    <w:rsid w:val="005F506D"/>
    <w:rPr>
      <w:rFonts w:ascii="Times New Roman Bold Italic" w:hAnsi="Times New Roman Bold Italic"/>
      <w:b/>
      <w:bCs w:val="0"/>
      <w:i/>
      <w:iCs w:val="0"/>
      <w:color w:val="FF8000"/>
    </w:rPr>
  </w:style>
  <w:style w:type="character" w:customStyle="1" w:styleId="l-fre-i">
    <w:name w:val="l-fre-i"/>
    <w:qFormat/>
    <w:rsid w:val="005F506D"/>
    <w:rPr>
      <w:rFonts w:ascii="Times New Roman" w:hAnsi="Times New Roman"/>
      <w:b w:val="0"/>
      <w:bCs w:val="0"/>
      <w:i/>
      <w:iCs w:val="0"/>
      <w:color w:val="FF8000"/>
    </w:rPr>
  </w:style>
  <w:style w:type="character" w:customStyle="1" w:styleId="l-ger">
    <w:name w:val="l-ger"/>
    <w:qFormat/>
    <w:rsid w:val="005F506D"/>
    <w:rPr>
      <w:b w:val="0"/>
      <w:color w:val="0000FF"/>
    </w:rPr>
  </w:style>
  <w:style w:type="character" w:customStyle="1" w:styleId="l-ger-b">
    <w:name w:val="l-ger-b"/>
    <w:qFormat/>
    <w:rsid w:val="005F506D"/>
    <w:rPr>
      <w:rFonts w:ascii="Times New Roman" w:hAnsi="Times New Roman"/>
      <w:b/>
      <w:bCs w:val="0"/>
      <w:i w:val="0"/>
      <w:iCs w:val="0"/>
      <w:color w:val="0000FF"/>
    </w:rPr>
  </w:style>
  <w:style w:type="character" w:customStyle="1" w:styleId="l-ger-bi">
    <w:name w:val="l-ger-bi"/>
    <w:qFormat/>
    <w:rsid w:val="005F506D"/>
    <w:rPr>
      <w:rFonts w:ascii="Times New Roman" w:hAnsi="Times New Roman"/>
      <w:b/>
      <w:bCs w:val="0"/>
      <w:i/>
      <w:iCs w:val="0"/>
      <w:color w:val="0000FF"/>
    </w:rPr>
  </w:style>
  <w:style w:type="character" w:customStyle="1" w:styleId="l-ger-i">
    <w:name w:val="l-ger-i"/>
    <w:qFormat/>
    <w:rsid w:val="005F506D"/>
    <w:rPr>
      <w:rFonts w:ascii="Times New Roman" w:hAnsi="Times New Roman"/>
      <w:b w:val="0"/>
      <w:bCs w:val="0"/>
      <w:i/>
      <w:iCs w:val="0"/>
      <w:color w:val="0000FF"/>
    </w:rPr>
  </w:style>
  <w:style w:type="paragraph" w:styleId="List">
    <w:name w:val="List"/>
    <w:basedOn w:val="BodyText"/>
    <w:semiHidden/>
    <w:rsid w:val="005F506D"/>
    <w:rPr>
      <w:rFonts w:cs="Tahoma"/>
    </w:rPr>
  </w:style>
  <w:style w:type="character" w:customStyle="1" w:styleId="l-ita">
    <w:name w:val="l-ita"/>
    <w:qFormat/>
    <w:rsid w:val="005F506D"/>
    <w:rPr>
      <w:color w:val="FF00FF"/>
    </w:rPr>
  </w:style>
  <w:style w:type="character" w:customStyle="1" w:styleId="l-ita-b">
    <w:name w:val="l-ita-b"/>
    <w:qFormat/>
    <w:rsid w:val="005F506D"/>
    <w:rPr>
      <w:rFonts w:ascii="Times New Roman" w:hAnsi="Times New Roman"/>
      <w:b/>
      <w:bCs w:val="0"/>
      <w:i w:val="0"/>
      <w:iCs w:val="0"/>
      <w:color w:val="FF00FF"/>
    </w:rPr>
  </w:style>
  <w:style w:type="character" w:customStyle="1" w:styleId="l-ita-bi">
    <w:name w:val="l-ita-bi"/>
    <w:qFormat/>
    <w:rsid w:val="005F506D"/>
    <w:rPr>
      <w:rFonts w:ascii="Times New Roman" w:hAnsi="Times New Roman"/>
      <w:b/>
      <w:bCs w:val="0"/>
      <w:i/>
      <w:iCs w:val="0"/>
      <w:color w:val="FF00FF"/>
    </w:rPr>
  </w:style>
  <w:style w:type="character" w:customStyle="1" w:styleId="l-ita-i">
    <w:name w:val="l-ita-i"/>
    <w:qFormat/>
    <w:rsid w:val="005F506D"/>
    <w:rPr>
      <w:rFonts w:ascii="Times New Roman" w:hAnsi="Times New Roman"/>
      <w:b w:val="0"/>
      <w:bCs w:val="0"/>
      <w:i/>
      <w:iCs w:val="0"/>
      <w:color w:val="FF00FF"/>
    </w:rPr>
  </w:style>
  <w:style w:type="character" w:customStyle="1" w:styleId="l-jpn">
    <w:name w:val="l-jpn"/>
    <w:qFormat/>
    <w:rsid w:val="005F506D"/>
    <w:rPr>
      <w:rFonts w:ascii="Times New Roman" w:hAnsi="Times New Roman"/>
      <w:b w:val="0"/>
      <w:bCs w:val="0"/>
      <w:i w:val="0"/>
      <w:iCs w:val="0"/>
      <w:color w:val="000090"/>
    </w:rPr>
  </w:style>
  <w:style w:type="character" w:customStyle="1" w:styleId="l-jpn-b">
    <w:name w:val="l-jpn-b"/>
    <w:qFormat/>
    <w:rsid w:val="005F506D"/>
    <w:rPr>
      <w:rFonts w:ascii="Times New Roman" w:hAnsi="Times New Roman"/>
      <w:b/>
      <w:bCs w:val="0"/>
      <w:i w:val="0"/>
      <w:iCs w:val="0"/>
      <w:color w:val="000090"/>
    </w:rPr>
  </w:style>
  <w:style w:type="character" w:customStyle="1" w:styleId="l-jpn-bi">
    <w:name w:val="l-jpn-bi"/>
    <w:qFormat/>
    <w:rsid w:val="005F506D"/>
    <w:rPr>
      <w:rFonts w:ascii="Times New Roman" w:hAnsi="Times New Roman"/>
      <w:b/>
      <w:bCs w:val="0"/>
      <w:i/>
      <w:iCs w:val="0"/>
      <w:color w:val="000090"/>
    </w:rPr>
  </w:style>
  <w:style w:type="character" w:customStyle="1" w:styleId="l-jpn-i">
    <w:name w:val="l-jpn-i"/>
    <w:qFormat/>
    <w:rsid w:val="005F506D"/>
    <w:rPr>
      <w:rFonts w:ascii="Times New Roman" w:hAnsi="Times New Roman"/>
      <w:b w:val="0"/>
      <w:bCs w:val="0"/>
      <w:i/>
      <w:iCs w:val="0"/>
      <w:color w:val="000090"/>
    </w:rPr>
  </w:style>
  <w:style w:type="character" w:customStyle="1" w:styleId="l-kor">
    <w:name w:val="l-kor"/>
    <w:qFormat/>
    <w:rsid w:val="005F506D"/>
    <w:rPr>
      <w:rFonts w:ascii="Minion" w:hAnsi="Minion"/>
      <w:b w:val="0"/>
      <w:bCs w:val="0"/>
      <w:i w:val="0"/>
      <w:iCs w:val="0"/>
      <w:color w:val="5F497A"/>
      <w:sz w:val="24"/>
      <w:szCs w:val="20"/>
    </w:rPr>
  </w:style>
  <w:style w:type="character" w:customStyle="1" w:styleId="l-kor-b">
    <w:name w:val="l-kor-b"/>
    <w:qFormat/>
    <w:rsid w:val="005F506D"/>
    <w:rPr>
      <w:rFonts w:ascii="Times" w:eastAsia="AppleGothic" w:hAnsi="Times"/>
      <w:b/>
      <w:bCs/>
      <w:i w:val="0"/>
      <w:iCs w:val="0"/>
      <w:color w:val="5F497A"/>
      <w:sz w:val="24"/>
      <w:szCs w:val="24"/>
    </w:rPr>
  </w:style>
  <w:style w:type="character" w:customStyle="1" w:styleId="l-kor-bi">
    <w:name w:val="l-kor-bi"/>
    <w:qFormat/>
    <w:rsid w:val="005F506D"/>
    <w:rPr>
      <w:rFonts w:ascii="Times New Roman" w:hAnsi="Times New Roman"/>
      <w:b/>
      <w:bCs w:val="0"/>
      <w:i/>
      <w:iCs w:val="0"/>
      <w:color w:val="5F497A"/>
      <w:sz w:val="24"/>
      <w:szCs w:val="20"/>
    </w:rPr>
  </w:style>
  <w:style w:type="character" w:customStyle="1" w:styleId="l-kor-i">
    <w:name w:val="l-kor-i"/>
    <w:qFormat/>
    <w:rsid w:val="005F506D"/>
    <w:rPr>
      <w:rFonts w:ascii="Times New Roman" w:hAnsi="Times New Roman"/>
      <w:b w:val="0"/>
      <w:bCs w:val="0"/>
      <w:i/>
      <w:iCs w:val="0"/>
      <w:color w:val="5F497A"/>
      <w:sz w:val="24"/>
      <w:szCs w:val="20"/>
    </w:rPr>
  </w:style>
  <w:style w:type="character" w:customStyle="1" w:styleId="l-lat">
    <w:name w:val="l-lat"/>
    <w:qFormat/>
    <w:rsid w:val="005F506D"/>
    <w:rPr>
      <w:rFonts w:ascii="Times New Roman" w:hAnsi="Times New Roman"/>
      <w:b w:val="0"/>
      <w:bCs w:val="0"/>
      <w:i w:val="0"/>
      <w:iCs w:val="0"/>
      <w:color w:val="17365D"/>
    </w:rPr>
  </w:style>
  <w:style w:type="character" w:customStyle="1" w:styleId="l-lat-b">
    <w:name w:val="l-lat-b"/>
    <w:qFormat/>
    <w:rsid w:val="005F506D"/>
    <w:rPr>
      <w:rFonts w:ascii="Times New Roman" w:hAnsi="Times New Roman"/>
      <w:b/>
      <w:bCs w:val="0"/>
      <w:i w:val="0"/>
      <w:iCs w:val="0"/>
      <w:color w:val="17365D"/>
    </w:rPr>
  </w:style>
  <w:style w:type="character" w:customStyle="1" w:styleId="l-lat-bi">
    <w:name w:val="l-lat-bi"/>
    <w:qFormat/>
    <w:rsid w:val="005F506D"/>
    <w:rPr>
      <w:rFonts w:ascii="Times New Roman" w:hAnsi="Times New Roman"/>
      <w:b/>
      <w:bCs w:val="0"/>
      <w:i/>
      <w:iCs w:val="0"/>
      <w:color w:val="17365D"/>
    </w:rPr>
  </w:style>
  <w:style w:type="character" w:customStyle="1" w:styleId="l-lat-i">
    <w:name w:val="l-lat-i"/>
    <w:qFormat/>
    <w:rsid w:val="005F506D"/>
    <w:rPr>
      <w:rFonts w:ascii="Times New Roman" w:hAnsi="Times New Roman"/>
      <w:b w:val="0"/>
      <w:bCs w:val="0"/>
      <w:i/>
      <w:iCs w:val="0"/>
      <w:color w:val="17365D"/>
    </w:rPr>
  </w:style>
  <w:style w:type="paragraph" w:customStyle="1" w:styleId="lo">
    <w:name w:val="lo"/>
    <w:basedOn w:val="p"/>
    <w:rsid w:val="005F506D"/>
    <w:pPr>
      <w:spacing w:before="60" w:after="60"/>
      <w:ind w:firstLine="0"/>
    </w:pPr>
    <w:rPr>
      <w:rFonts w:ascii="Arial" w:hAnsi="Arial"/>
    </w:rPr>
  </w:style>
  <w:style w:type="paragraph" w:customStyle="1" w:styleId="ltc">
    <w:name w:val="ltc"/>
    <w:basedOn w:val="Normal"/>
    <w:rsid w:val="005F506D"/>
    <w:pPr>
      <w:widowControl w:val="0"/>
      <w:suppressAutoHyphens/>
      <w:autoSpaceDE w:val="0"/>
      <w:autoSpaceDN w:val="0"/>
      <w:adjustRightInd w:val="0"/>
      <w:spacing w:before="100" w:line="360" w:lineRule="auto"/>
      <w:ind w:left="4320" w:firstLine="0"/>
      <w:textAlignment w:val="center"/>
    </w:pPr>
    <w:rPr>
      <w:rFonts w:ascii="Times New Roman" w:eastAsia="Times New Roman" w:hAnsi="Times New Roman" w:cs="Times New Roman"/>
      <w:color w:val="000000"/>
      <w:kern w:val="24"/>
      <w:sz w:val="20"/>
      <w:szCs w:val="20"/>
    </w:rPr>
  </w:style>
  <w:style w:type="paragraph" w:customStyle="1" w:styleId="ltsigf">
    <w:name w:val="ltsigf"/>
    <w:basedOn w:val="ltc"/>
    <w:next w:val="Normal"/>
    <w:rsid w:val="005F506D"/>
  </w:style>
  <w:style w:type="paragraph" w:customStyle="1" w:styleId="ltsig">
    <w:name w:val="ltsig"/>
    <w:basedOn w:val="ltsigf"/>
    <w:rsid w:val="005F506D"/>
    <w:pPr>
      <w:spacing w:before="0"/>
    </w:pPr>
  </w:style>
  <w:style w:type="paragraph" w:customStyle="1" w:styleId="ltsigl">
    <w:name w:val="ltsigl"/>
    <w:basedOn w:val="ltsig"/>
    <w:qFormat/>
    <w:rsid w:val="005F506D"/>
    <w:pPr>
      <w:spacing w:after="120"/>
    </w:pPr>
  </w:style>
  <w:style w:type="paragraph" w:customStyle="1" w:styleId="lps">
    <w:name w:val="lps"/>
    <w:basedOn w:val="ltsigl"/>
    <w:qFormat/>
    <w:rsid w:val="005F506D"/>
  </w:style>
  <w:style w:type="character" w:customStyle="1" w:styleId="l-rus">
    <w:name w:val="l-rus"/>
    <w:qFormat/>
    <w:rsid w:val="005F506D"/>
    <w:rPr>
      <w:rFonts w:ascii="Times New Roman" w:hAnsi="Times New Roman"/>
      <w:b w:val="0"/>
      <w:bCs w:val="0"/>
      <w:i w:val="0"/>
      <w:iCs w:val="0"/>
      <w:color w:val="943634"/>
    </w:rPr>
  </w:style>
  <w:style w:type="character" w:customStyle="1" w:styleId="l-rus-b">
    <w:name w:val="l-rus-b"/>
    <w:qFormat/>
    <w:rsid w:val="005F506D"/>
    <w:rPr>
      <w:rFonts w:ascii="Times New Roman" w:hAnsi="Times New Roman"/>
      <w:b/>
      <w:bCs w:val="0"/>
      <w:i w:val="0"/>
      <w:iCs w:val="0"/>
      <w:color w:val="943634"/>
    </w:rPr>
  </w:style>
  <w:style w:type="character" w:customStyle="1" w:styleId="l-rus-bi">
    <w:name w:val="l-rus-bi"/>
    <w:qFormat/>
    <w:rsid w:val="005F506D"/>
    <w:rPr>
      <w:rFonts w:ascii="Times New Roman" w:hAnsi="Times New Roman"/>
      <w:b/>
      <w:bCs w:val="0"/>
      <w:i/>
      <w:iCs w:val="0"/>
      <w:color w:val="943634"/>
    </w:rPr>
  </w:style>
  <w:style w:type="character" w:customStyle="1" w:styleId="l-rus-i">
    <w:name w:val="l-rus-i"/>
    <w:qFormat/>
    <w:rsid w:val="005F506D"/>
    <w:rPr>
      <w:rFonts w:ascii="Times New Roman" w:hAnsi="Times New Roman"/>
      <w:b w:val="0"/>
      <w:bCs w:val="0"/>
      <w:i/>
      <w:iCs w:val="0"/>
      <w:color w:val="943634"/>
    </w:rPr>
  </w:style>
  <w:style w:type="character" w:customStyle="1" w:styleId="l-spa">
    <w:name w:val="l-spa"/>
    <w:qFormat/>
    <w:rsid w:val="005F506D"/>
    <w:rPr>
      <w:rFonts w:ascii="Times New Roman" w:hAnsi="Times New Roman"/>
      <w:b w:val="0"/>
      <w:bCs w:val="0"/>
      <w:i w:val="0"/>
      <w:iCs w:val="0"/>
      <w:color w:val="800080"/>
    </w:rPr>
  </w:style>
  <w:style w:type="character" w:customStyle="1" w:styleId="l-spa-b">
    <w:name w:val="l-spa-b"/>
    <w:qFormat/>
    <w:rsid w:val="005F506D"/>
    <w:rPr>
      <w:rFonts w:ascii="Times New Roman" w:hAnsi="Times New Roman"/>
      <w:b/>
      <w:bCs w:val="0"/>
      <w:i w:val="0"/>
      <w:iCs w:val="0"/>
      <w:color w:val="800080"/>
    </w:rPr>
  </w:style>
  <w:style w:type="character" w:customStyle="1" w:styleId="l-spa-bi">
    <w:name w:val="l-spa-bi"/>
    <w:qFormat/>
    <w:rsid w:val="005F506D"/>
    <w:rPr>
      <w:rFonts w:ascii="Times New Roman" w:hAnsi="Times New Roman"/>
      <w:b/>
      <w:bCs w:val="0"/>
      <w:i/>
      <w:iCs w:val="0"/>
      <w:color w:val="800080"/>
    </w:rPr>
  </w:style>
  <w:style w:type="character" w:customStyle="1" w:styleId="l-spa-i">
    <w:name w:val="l-spa-i"/>
    <w:qFormat/>
    <w:rsid w:val="005F506D"/>
    <w:rPr>
      <w:rFonts w:ascii="Times New Roman" w:hAnsi="Times New Roman"/>
      <w:b w:val="0"/>
      <w:bCs w:val="0"/>
      <w:i/>
      <w:iCs w:val="0"/>
      <w:color w:val="800080"/>
    </w:rPr>
  </w:style>
  <w:style w:type="paragraph" w:customStyle="1" w:styleId="lt">
    <w:name w:val="lt"/>
    <w:basedOn w:val="Normal"/>
    <w:rsid w:val="005F506D"/>
    <w:pPr>
      <w:widowControl w:val="0"/>
      <w:suppressAutoHyphens/>
      <w:autoSpaceDE w:val="0"/>
      <w:autoSpaceDN w:val="0"/>
      <w:adjustRightInd w:val="0"/>
      <w:spacing w:line="360" w:lineRule="auto"/>
      <w:ind w:left="720" w:right="720" w:firstLine="360"/>
      <w:textAlignment w:val="center"/>
    </w:pPr>
    <w:rPr>
      <w:rFonts w:ascii="Times New Roman" w:eastAsia="Times New Roman" w:hAnsi="Times New Roman" w:cs="Times New Roman"/>
      <w:color w:val="000000"/>
      <w:kern w:val="24"/>
      <w:sz w:val="20"/>
      <w:szCs w:val="20"/>
    </w:rPr>
  </w:style>
  <w:style w:type="paragraph" w:customStyle="1" w:styleId="ltdf">
    <w:name w:val="ltdf"/>
    <w:basedOn w:val="Normal"/>
    <w:next w:val="Normal"/>
    <w:rsid w:val="005F506D"/>
    <w:pPr>
      <w:widowControl w:val="0"/>
      <w:suppressAutoHyphens/>
      <w:autoSpaceDE w:val="0"/>
      <w:autoSpaceDN w:val="0"/>
      <w:adjustRightInd w:val="0"/>
      <w:spacing w:before="100" w:line="360" w:lineRule="auto"/>
      <w:ind w:left="720" w:right="720" w:firstLine="0"/>
      <w:textAlignment w:val="center"/>
    </w:pPr>
    <w:rPr>
      <w:rFonts w:ascii="Times New Roman" w:eastAsia="Times New Roman" w:hAnsi="Times New Roman" w:cs="Times New Roman"/>
      <w:color w:val="000000"/>
      <w:kern w:val="24"/>
      <w:sz w:val="20"/>
      <w:szCs w:val="20"/>
    </w:rPr>
  </w:style>
  <w:style w:type="paragraph" w:customStyle="1" w:styleId="ltd">
    <w:name w:val="ltd"/>
    <w:basedOn w:val="ltdf"/>
    <w:rsid w:val="005F506D"/>
    <w:pPr>
      <w:spacing w:before="0"/>
    </w:pPr>
  </w:style>
  <w:style w:type="paragraph" w:customStyle="1" w:styleId="lta">
    <w:name w:val="lta"/>
    <w:basedOn w:val="ltd"/>
    <w:rsid w:val="005F506D"/>
  </w:style>
  <w:style w:type="paragraph" w:customStyle="1" w:styleId="ltaf">
    <w:name w:val="ltaf"/>
    <w:basedOn w:val="ltdf"/>
    <w:next w:val="lta"/>
    <w:rsid w:val="005F506D"/>
  </w:style>
  <w:style w:type="paragraph" w:customStyle="1" w:styleId="ltf">
    <w:name w:val="ltf"/>
    <w:basedOn w:val="ltdf"/>
    <w:rsid w:val="005F506D"/>
  </w:style>
  <w:style w:type="paragraph" w:customStyle="1" w:styleId="ltfalt">
    <w:name w:val="ltfalt"/>
    <w:basedOn w:val="ltf"/>
    <w:qFormat/>
    <w:rsid w:val="005F506D"/>
    <w:rPr>
      <w:rFonts w:ascii="Arial" w:eastAsia="MS Mincho" w:hAnsi="Arial"/>
    </w:rPr>
  </w:style>
  <w:style w:type="paragraph" w:customStyle="1" w:styleId="ltg">
    <w:name w:val="ltg"/>
    <w:basedOn w:val="ltdf"/>
    <w:rsid w:val="005F506D"/>
  </w:style>
  <w:style w:type="paragraph" w:customStyle="1" w:styleId="ltl">
    <w:name w:val="ltl"/>
    <w:basedOn w:val="lt"/>
    <w:rsid w:val="005F506D"/>
    <w:pPr>
      <w:spacing w:after="200"/>
    </w:pPr>
  </w:style>
  <w:style w:type="paragraph" w:customStyle="1" w:styleId="lto">
    <w:name w:val="lto"/>
    <w:basedOn w:val="lt"/>
    <w:qFormat/>
    <w:rsid w:val="005F506D"/>
    <w:pPr>
      <w:spacing w:after="240"/>
      <w:ind w:firstLine="0"/>
    </w:pPr>
  </w:style>
  <w:style w:type="paragraph" w:customStyle="1" w:styleId="lts">
    <w:name w:val="lts"/>
    <w:basedOn w:val="ltf"/>
    <w:rsid w:val="005F506D"/>
    <w:pPr>
      <w:spacing w:before="160" w:after="200"/>
    </w:pPr>
  </w:style>
  <w:style w:type="paragraph" w:customStyle="1" w:styleId="nl1f">
    <w:name w:val="nl1f"/>
    <w:basedOn w:val="nl1"/>
    <w:next w:val="nl1"/>
    <w:rsid w:val="005F506D"/>
  </w:style>
  <w:style w:type="paragraph" w:customStyle="1" w:styleId="nl1l">
    <w:name w:val="nl1l"/>
    <w:basedOn w:val="nl1"/>
    <w:rsid w:val="005F506D"/>
  </w:style>
  <w:style w:type="paragraph" w:customStyle="1" w:styleId="ulp">
    <w:name w:val="ulp"/>
    <w:rsid w:val="005F506D"/>
    <w:pPr>
      <w:spacing w:after="0" w:line="480" w:lineRule="auto"/>
      <w:ind w:left="1440" w:firstLine="360"/>
    </w:pPr>
    <w:rPr>
      <w:rFonts w:ascii="Times New Roman" w:eastAsia="Times New Roman" w:hAnsi="Times New Roman" w:cs="Times New Roman"/>
      <w:color w:val="000000"/>
      <w:sz w:val="24"/>
      <w:szCs w:val="20"/>
    </w:rPr>
  </w:style>
  <w:style w:type="paragraph" w:customStyle="1" w:styleId="nlp">
    <w:name w:val="nlp"/>
    <w:basedOn w:val="ulp"/>
    <w:rsid w:val="005F506D"/>
    <w:pPr>
      <w:ind w:left="360"/>
    </w:pPr>
  </w:style>
  <w:style w:type="paragraph" w:customStyle="1" w:styleId="nl1p">
    <w:name w:val="nl1p"/>
    <w:basedOn w:val="nlp"/>
    <w:rsid w:val="005F506D"/>
    <w:pPr>
      <w:ind w:left="720"/>
    </w:pPr>
  </w:style>
  <w:style w:type="paragraph" w:customStyle="1" w:styleId="nl1pl">
    <w:name w:val="nl1pl"/>
    <w:basedOn w:val="nl1p"/>
    <w:qFormat/>
    <w:rsid w:val="005F506D"/>
    <w:pPr>
      <w:spacing w:after="240"/>
    </w:pPr>
  </w:style>
  <w:style w:type="paragraph" w:customStyle="1" w:styleId="nl1s">
    <w:name w:val="nl1s"/>
    <w:basedOn w:val="nl1f"/>
    <w:qFormat/>
    <w:rsid w:val="005F506D"/>
    <w:pPr>
      <w:spacing w:before="100" w:after="100"/>
    </w:pPr>
  </w:style>
  <w:style w:type="paragraph" w:customStyle="1" w:styleId="nl2">
    <w:name w:val="nl2"/>
    <w:basedOn w:val="nl1"/>
    <w:rsid w:val="005F506D"/>
  </w:style>
  <w:style w:type="paragraph" w:customStyle="1" w:styleId="nl2f">
    <w:name w:val="nl2f"/>
    <w:basedOn w:val="nl2"/>
    <w:next w:val="nl2"/>
    <w:rsid w:val="005F506D"/>
    <w:pPr>
      <w:spacing w:before="100"/>
      <w:ind w:left="1080"/>
    </w:pPr>
  </w:style>
  <w:style w:type="paragraph" w:customStyle="1" w:styleId="nl2l">
    <w:name w:val="nl2l"/>
    <w:basedOn w:val="nl2"/>
    <w:rsid w:val="005F506D"/>
    <w:pPr>
      <w:spacing w:after="100"/>
      <w:ind w:left="1080"/>
    </w:pPr>
  </w:style>
  <w:style w:type="paragraph" w:customStyle="1" w:styleId="nl2p">
    <w:name w:val="nl2p"/>
    <w:basedOn w:val="nl2"/>
    <w:rsid w:val="005F506D"/>
    <w:pPr>
      <w:ind w:left="1080" w:firstLine="360"/>
    </w:pPr>
  </w:style>
  <w:style w:type="paragraph" w:customStyle="1" w:styleId="nl2s">
    <w:name w:val="nl2s"/>
    <w:basedOn w:val="nl2f"/>
    <w:rsid w:val="005F506D"/>
    <w:pPr>
      <w:spacing w:after="100"/>
    </w:pPr>
  </w:style>
  <w:style w:type="paragraph" w:customStyle="1" w:styleId="nl3">
    <w:name w:val="nl3"/>
    <w:basedOn w:val="nl2"/>
    <w:rsid w:val="005F506D"/>
    <w:pPr>
      <w:ind w:left="1440"/>
    </w:pPr>
  </w:style>
  <w:style w:type="paragraph" w:customStyle="1" w:styleId="nl3f">
    <w:name w:val="nl3f"/>
    <w:basedOn w:val="nl3"/>
    <w:next w:val="nl3"/>
    <w:rsid w:val="005F506D"/>
    <w:pPr>
      <w:spacing w:before="100"/>
    </w:pPr>
  </w:style>
  <w:style w:type="paragraph" w:customStyle="1" w:styleId="nl3l">
    <w:name w:val="nl3l"/>
    <w:basedOn w:val="nl3"/>
    <w:rsid w:val="005F506D"/>
    <w:pPr>
      <w:spacing w:after="100"/>
    </w:pPr>
  </w:style>
  <w:style w:type="paragraph" w:customStyle="1" w:styleId="nl3p">
    <w:name w:val="nl3p"/>
    <w:basedOn w:val="nl3"/>
    <w:rsid w:val="005F506D"/>
    <w:pPr>
      <w:ind w:firstLine="360"/>
    </w:pPr>
  </w:style>
  <w:style w:type="paragraph" w:customStyle="1" w:styleId="nl3s">
    <w:name w:val="nl3s"/>
    <w:basedOn w:val="nl3"/>
    <w:rsid w:val="005F506D"/>
    <w:pPr>
      <w:spacing w:before="100" w:after="100"/>
    </w:pPr>
  </w:style>
  <w:style w:type="paragraph" w:customStyle="1" w:styleId="nl4">
    <w:name w:val="nl4"/>
    <w:basedOn w:val="nl3"/>
    <w:rsid w:val="005F506D"/>
    <w:pPr>
      <w:ind w:left="2160" w:hanging="720"/>
    </w:pPr>
  </w:style>
  <w:style w:type="paragraph" w:customStyle="1" w:styleId="nl4f">
    <w:name w:val="nl4f"/>
    <w:basedOn w:val="nl4"/>
    <w:next w:val="nl4"/>
    <w:rsid w:val="005F506D"/>
    <w:pPr>
      <w:spacing w:before="100"/>
    </w:pPr>
  </w:style>
  <w:style w:type="paragraph" w:customStyle="1" w:styleId="nl4l">
    <w:name w:val="nl4l"/>
    <w:basedOn w:val="nl4"/>
    <w:rsid w:val="005F506D"/>
    <w:pPr>
      <w:spacing w:after="100"/>
    </w:pPr>
  </w:style>
  <w:style w:type="paragraph" w:customStyle="1" w:styleId="nl4p">
    <w:name w:val="nl4p"/>
    <w:basedOn w:val="nlp"/>
    <w:rsid w:val="005F506D"/>
    <w:pPr>
      <w:ind w:left="1800"/>
    </w:pPr>
  </w:style>
  <w:style w:type="paragraph" w:customStyle="1" w:styleId="nl4s">
    <w:name w:val="nl4s"/>
    <w:basedOn w:val="p"/>
    <w:rsid w:val="005F506D"/>
    <w:pPr>
      <w:tabs>
        <w:tab w:val="left" w:pos="720"/>
      </w:tabs>
      <w:ind w:left="2160" w:hanging="720"/>
    </w:pPr>
  </w:style>
  <w:style w:type="paragraph" w:customStyle="1" w:styleId="nl5">
    <w:name w:val="nl5"/>
    <w:basedOn w:val="nl4"/>
    <w:rsid w:val="005F506D"/>
    <w:pPr>
      <w:ind w:left="2520"/>
    </w:pPr>
  </w:style>
  <w:style w:type="paragraph" w:customStyle="1" w:styleId="nl5f">
    <w:name w:val="nl5f"/>
    <w:basedOn w:val="nl5"/>
    <w:next w:val="nl5"/>
    <w:rsid w:val="005F506D"/>
    <w:pPr>
      <w:spacing w:before="100"/>
    </w:pPr>
  </w:style>
  <w:style w:type="paragraph" w:customStyle="1" w:styleId="nl5l">
    <w:name w:val="nl5l"/>
    <w:basedOn w:val="nl4"/>
    <w:rsid w:val="005F506D"/>
    <w:pPr>
      <w:spacing w:after="100"/>
      <w:ind w:left="2520"/>
    </w:pPr>
  </w:style>
  <w:style w:type="paragraph" w:customStyle="1" w:styleId="nl5p">
    <w:name w:val="nl5p"/>
    <w:basedOn w:val="nlp"/>
    <w:rsid w:val="005F506D"/>
    <w:pPr>
      <w:ind w:left="2160"/>
    </w:pPr>
  </w:style>
  <w:style w:type="paragraph" w:customStyle="1" w:styleId="nl5s">
    <w:name w:val="nl5s"/>
    <w:basedOn w:val="p"/>
    <w:rsid w:val="005F506D"/>
    <w:pPr>
      <w:ind w:left="2520" w:hanging="720"/>
    </w:pPr>
  </w:style>
  <w:style w:type="paragraph" w:customStyle="1" w:styleId="nlf">
    <w:name w:val="nlf"/>
    <w:basedOn w:val="nl"/>
    <w:next w:val="nl"/>
    <w:rsid w:val="005F506D"/>
    <w:pPr>
      <w:spacing w:before="100"/>
    </w:pPr>
  </w:style>
  <w:style w:type="paragraph" w:customStyle="1" w:styleId="nlh">
    <w:name w:val="nlh"/>
    <w:basedOn w:val="nl"/>
    <w:qFormat/>
    <w:rsid w:val="005F506D"/>
    <w:pPr>
      <w:spacing w:before="240" w:after="40" w:line="360" w:lineRule="auto"/>
    </w:pPr>
    <w:rPr>
      <w:sz w:val="28"/>
    </w:rPr>
  </w:style>
  <w:style w:type="paragraph" w:customStyle="1" w:styleId="nll">
    <w:name w:val="nll"/>
    <w:basedOn w:val="nl"/>
    <w:rsid w:val="005F506D"/>
    <w:pPr>
      <w:spacing w:after="100"/>
    </w:pPr>
  </w:style>
  <w:style w:type="paragraph" w:customStyle="1" w:styleId="nlpl">
    <w:name w:val="nlpl"/>
    <w:basedOn w:val="nlp"/>
    <w:qFormat/>
    <w:rsid w:val="005F506D"/>
    <w:pPr>
      <w:spacing w:after="240"/>
    </w:pPr>
  </w:style>
  <w:style w:type="paragraph" w:customStyle="1" w:styleId="nls">
    <w:name w:val="nls"/>
    <w:basedOn w:val="nlf"/>
    <w:qFormat/>
    <w:rsid w:val="005F506D"/>
    <w:pPr>
      <w:spacing w:after="100"/>
    </w:pPr>
  </w:style>
  <w:style w:type="paragraph" w:styleId="NormalWeb">
    <w:name w:val="Normal (Web)"/>
    <w:basedOn w:val="Normal"/>
    <w:uiPriority w:val="99"/>
    <w:semiHidden/>
    <w:rsid w:val="005F506D"/>
    <w:pPr>
      <w:spacing w:before="100" w:beforeAutospacing="1" w:after="100" w:afterAutospacing="1"/>
      <w:ind w:firstLine="0"/>
    </w:pPr>
    <w:rPr>
      <w:rFonts w:ascii="Times New Roman" w:eastAsia="Times New Roman" w:hAnsi="Times New Roman" w:cs="Times New Roman"/>
      <w:sz w:val="20"/>
      <w:szCs w:val="20"/>
    </w:rPr>
  </w:style>
  <w:style w:type="paragraph" w:customStyle="1" w:styleId="ntbqf">
    <w:name w:val="ntbqf"/>
    <w:basedOn w:val="bqf"/>
    <w:next w:val="Normal"/>
    <w:qFormat/>
    <w:rsid w:val="005F506D"/>
    <w:rPr>
      <w:sz w:val="20"/>
    </w:rPr>
  </w:style>
  <w:style w:type="paragraph" w:customStyle="1" w:styleId="ntbq">
    <w:name w:val="ntbq"/>
    <w:basedOn w:val="ntbqf"/>
    <w:qFormat/>
    <w:rsid w:val="005F506D"/>
    <w:pPr>
      <w:spacing w:before="0"/>
      <w:ind w:firstLine="360"/>
    </w:pPr>
  </w:style>
  <w:style w:type="paragraph" w:customStyle="1" w:styleId="ntbql">
    <w:name w:val="ntbql"/>
    <w:basedOn w:val="ntbq"/>
    <w:qFormat/>
    <w:rsid w:val="005F506D"/>
    <w:pPr>
      <w:spacing w:after="120"/>
    </w:pPr>
  </w:style>
  <w:style w:type="paragraph" w:customStyle="1" w:styleId="ntbqs">
    <w:name w:val="ntbqs"/>
    <w:basedOn w:val="ntbql"/>
    <w:qFormat/>
    <w:rsid w:val="005F506D"/>
  </w:style>
  <w:style w:type="paragraph" w:customStyle="1" w:styleId="ntcon">
    <w:name w:val="ntcon"/>
    <w:basedOn w:val="en"/>
    <w:qFormat/>
    <w:rsid w:val="005F506D"/>
    <w:pPr>
      <w:spacing w:line="240" w:lineRule="auto"/>
    </w:pPr>
  </w:style>
  <w:style w:type="paragraph" w:customStyle="1" w:styleId="nteq">
    <w:name w:val="nteq"/>
    <w:basedOn w:val="eq"/>
    <w:qFormat/>
    <w:rsid w:val="005F506D"/>
    <w:pPr>
      <w:spacing w:line="240" w:lineRule="auto"/>
    </w:pPr>
    <w:rPr>
      <w:sz w:val="20"/>
    </w:rPr>
  </w:style>
  <w:style w:type="paragraph" w:customStyle="1" w:styleId="ntnlf">
    <w:name w:val="ntnlf"/>
    <w:basedOn w:val="nlf"/>
    <w:next w:val="Normal"/>
    <w:qFormat/>
    <w:rsid w:val="005F506D"/>
    <w:pPr>
      <w:spacing w:line="240" w:lineRule="auto"/>
      <w:ind w:left="1440"/>
    </w:pPr>
    <w:rPr>
      <w:sz w:val="20"/>
    </w:rPr>
  </w:style>
  <w:style w:type="paragraph" w:customStyle="1" w:styleId="ntnl">
    <w:name w:val="ntnl"/>
    <w:basedOn w:val="ntnlf"/>
    <w:qFormat/>
    <w:rsid w:val="005F506D"/>
    <w:pPr>
      <w:spacing w:before="0"/>
    </w:pPr>
  </w:style>
  <w:style w:type="paragraph" w:customStyle="1" w:styleId="ntnll">
    <w:name w:val="ntnll"/>
    <w:basedOn w:val="ntnl"/>
    <w:qFormat/>
    <w:rsid w:val="005F506D"/>
    <w:pPr>
      <w:spacing w:after="120"/>
    </w:pPr>
  </w:style>
  <w:style w:type="paragraph" w:customStyle="1" w:styleId="ntslf">
    <w:name w:val="ntslf"/>
    <w:basedOn w:val="slf"/>
    <w:next w:val="Normal"/>
    <w:qFormat/>
    <w:rsid w:val="005F506D"/>
    <w:pPr>
      <w:spacing w:line="240" w:lineRule="auto"/>
    </w:pPr>
  </w:style>
  <w:style w:type="paragraph" w:customStyle="1" w:styleId="ntsl">
    <w:name w:val="ntsl"/>
    <w:basedOn w:val="ntslf"/>
    <w:qFormat/>
    <w:rsid w:val="005F506D"/>
  </w:style>
  <w:style w:type="paragraph" w:customStyle="1" w:styleId="ntsll">
    <w:name w:val="ntsll"/>
    <w:basedOn w:val="ntsl"/>
    <w:qFormat/>
    <w:rsid w:val="005F506D"/>
    <w:pPr>
      <w:spacing w:before="0" w:after="240"/>
    </w:pPr>
  </w:style>
  <w:style w:type="paragraph" w:customStyle="1" w:styleId="nttd">
    <w:name w:val="nttd"/>
    <w:basedOn w:val="Normal"/>
    <w:qFormat/>
    <w:rsid w:val="005F506D"/>
    <w:pPr>
      <w:widowControl w:val="0"/>
      <w:ind w:firstLine="0"/>
    </w:pPr>
    <w:rPr>
      <w:rFonts w:ascii="Times New Roman" w:eastAsia="Times New Roman" w:hAnsi="Times New Roman" w:cs="Times New Roman"/>
      <w:sz w:val="16"/>
      <w:szCs w:val="24"/>
    </w:rPr>
  </w:style>
  <w:style w:type="paragraph" w:customStyle="1" w:styleId="ntulf">
    <w:name w:val="ntulf"/>
    <w:basedOn w:val="ulf"/>
    <w:next w:val="Normal"/>
    <w:qFormat/>
    <w:rsid w:val="005F506D"/>
    <w:pPr>
      <w:spacing w:before="120" w:line="240" w:lineRule="auto"/>
    </w:pPr>
    <w:rPr>
      <w:sz w:val="20"/>
    </w:rPr>
  </w:style>
  <w:style w:type="paragraph" w:customStyle="1" w:styleId="ntul">
    <w:name w:val="ntul"/>
    <w:basedOn w:val="ntulf"/>
    <w:qFormat/>
    <w:rsid w:val="005F506D"/>
    <w:pPr>
      <w:spacing w:before="0"/>
    </w:pPr>
  </w:style>
  <w:style w:type="paragraph" w:customStyle="1" w:styleId="ntull">
    <w:name w:val="ntull"/>
    <w:basedOn w:val="ntul"/>
    <w:qFormat/>
    <w:rsid w:val="005F506D"/>
    <w:pPr>
      <w:spacing w:after="120"/>
    </w:pPr>
  </w:style>
  <w:style w:type="numbering" w:customStyle="1" w:styleId="NumberList1">
    <w:name w:val="Number List 1"/>
    <w:rsid w:val="005F506D"/>
    <w:pPr>
      <w:numPr>
        <w:numId w:val="14"/>
      </w:numPr>
    </w:pPr>
  </w:style>
  <w:style w:type="paragraph" w:customStyle="1" w:styleId="opt">
    <w:name w:val="opt"/>
    <w:basedOn w:val="pf"/>
    <w:qFormat/>
    <w:rsid w:val="005F506D"/>
    <w:pPr>
      <w:spacing w:before="0"/>
    </w:pPr>
    <w:rPr>
      <w:rFonts w:ascii="Arial" w:hAnsi="Arial"/>
      <w:sz w:val="20"/>
    </w:rPr>
  </w:style>
  <w:style w:type="paragraph" w:customStyle="1" w:styleId="page">
    <w:name w:val="page"/>
    <w:basedOn w:val="pf"/>
    <w:qFormat/>
    <w:rsid w:val="005F506D"/>
  </w:style>
  <w:style w:type="paragraph" w:customStyle="1" w:styleId="patr">
    <w:name w:val="patr"/>
    <w:basedOn w:val="p"/>
    <w:rsid w:val="005F506D"/>
    <w:pPr>
      <w:spacing w:before="100"/>
      <w:ind w:firstLine="0"/>
      <w:jc w:val="right"/>
    </w:pPr>
  </w:style>
  <w:style w:type="paragraph" w:customStyle="1" w:styleId="patr1">
    <w:name w:val="patr1"/>
    <w:basedOn w:val="p"/>
    <w:rsid w:val="005F506D"/>
    <w:pPr>
      <w:ind w:firstLine="0"/>
      <w:jc w:val="right"/>
    </w:pPr>
  </w:style>
  <w:style w:type="paragraph" w:customStyle="1" w:styleId="pcon">
    <w:name w:val="pcon"/>
    <w:basedOn w:val="Normal"/>
    <w:rsid w:val="005F506D"/>
    <w:pPr>
      <w:widowControl w:val="0"/>
      <w:spacing w:line="360" w:lineRule="auto"/>
      <w:ind w:firstLine="0"/>
    </w:pPr>
    <w:rPr>
      <w:rFonts w:ascii="Times New Roman" w:eastAsia="Times New Roman" w:hAnsi="Times New Roman" w:cs="Times New Roman"/>
      <w:sz w:val="24"/>
      <w:szCs w:val="24"/>
    </w:rPr>
  </w:style>
  <w:style w:type="paragraph" w:customStyle="1" w:styleId="pn">
    <w:name w:val="pn"/>
    <w:basedOn w:val="Normal"/>
    <w:rsid w:val="005F506D"/>
    <w:pPr>
      <w:pageBreakBefore/>
      <w:spacing w:line="480" w:lineRule="auto"/>
      <w:ind w:firstLine="0"/>
      <w:jc w:val="center"/>
      <w:outlineLvl w:val="0"/>
    </w:pPr>
    <w:rPr>
      <w:rFonts w:ascii="Times New Roman" w:eastAsia="Times New Roman" w:hAnsi="Times New Roman" w:cs="Times New Roman"/>
      <w:sz w:val="56"/>
      <w:szCs w:val="20"/>
    </w:rPr>
  </w:style>
  <w:style w:type="character" w:customStyle="1" w:styleId="pnum">
    <w:name w:val="pnum"/>
    <w:rsid w:val="005F506D"/>
    <w:rPr>
      <w:color w:val="FF6600"/>
    </w:rPr>
  </w:style>
  <w:style w:type="paragraph" w:customStyle="1" w:styleId="psec">
    <w:name w:val="psec"/>
    <w:basedOn w:val="Normal"/>
    <w:next w:val="p"/>
    <w:autoRedefine/>
    <w:rsid w:val="005F506D"/>
    <w:pPr>
      <w:widowControl w:val="0"/>
      <w:tabs>
        <w:tab w:val="left" w:pos="6660"/>
      </w:tabs>
      <w:suppressAutoHyphens/>
      <w:autoSpaceDE w:val="0"/>
      <w:autoSpaceDN w:val="0"/>
      <w:adjustRightInd w:val="0"/>
      <w:spacing w:before="600" w:line="360" w:lineRule="auto"/>
      <w:ind w:firstLine="0"/>
      <w:textAlignment w:val="center"/>
    </w:pPr>
    <w:rPr>
      <w:rFonts w:ascii="Times New Roman" w:eastAsia="MS Mincho" w:hAnsi="Times New Roman" w:cs="Times New Roman"/>
      <w:color w:val="000000"/>
      <w:kern w:val="24"/>
      <w:sz w:val="24"/>
      <w:szCs w:val="24"/>
    </w:rPr>
  </w:style>
  <w:style w:type="paragraph" w:customStyle="1" w:styleId="psec1">
    <w:name w:val="psec1"/>
    <w:basedOn w:val="psec"/>
    <w:qFormat/>
    <w:rsid w:val="005F506D"/>
    <w:pPr>
      <w:spacing w:before="800"/>
    </w:pPr>
  </w:style>
  <w:style w:type="paragraph" w:customStyle="1" w:styleId="qu">
    <w:name w:val="qu"/>
    <w:qFormat/>
    <w:rsid w:val="005F506D"/>
    <w:pPr>
      <w:spacing w:after="120" w:line="480" w:lineRule="auto"/>
    </w:pPr>
    <w:rPr>
      <w:rFonts w:ascii="Times New Roman" w:eastAsia="Times New Roman" w:hAnsi="Times New Roman" w:cs="Times New Roman"/>
      <w:sz w:val="24"/>
      <w:szCs w:val="24"/>
    </w:rPr>
  </w:style>
  <w:style w:type="paragraph" w:customStyle="1" w:styleId="quf">
    <w:name w:val="quf"/>
    <w:qFormat/>
    <w:rsid w:val="005F506D"/>
    <w:pPr>
      <w:spacing w:before="100" w:after="0" w:line="480" w:lineRule="auto"/>
    </w:pPr>
    <w:rPr>
      <w:rFonts w:ascii="Times New Roman" w:eastAsia="Times New Roman" w:hAnsi="Times New Roman" w:cs="Times New Roman"/>
      <w:sz w:val="24"/>
      <w:szCs w:val="24"/>
    </w:rPr>
  </w:style>
  <w:style w:type="paragraph" w:customStyle="1" w:styleId="quh">
    <w:name w:val="quh"/>
    <w:qFormat/>
    <w:rsid w:val="005F506D"/>
    <w:pPr>
      <w:spacing w:before="300" w:after="0" w:line="240" w:lineRule="auto"/>
      <w:outlineLvl w:val="8"/>
    </w:pPr>
    <w:rPr>
      <w:rFonts w:ascii="Times New Roman" w:eastAsia="Times New Roman" w:hAnsi="Times New Roman" w:cs="Times New Roman"/>
      <w:sz w:val="36"/>
      <w:szCs w:val="24"/>
    </w:rPr>
  </w:style>
  <w:style w:type="paragraph" w:customStyle="1" w:styleId="quot">
    <w:name w:val="quot"/>
    <w:basedOn w:val="ep"/>
    <w:qFormat/>
    <w:rsid w:val="005F506D"/>
    <w:pPr>
      <w:spacing w:line="480" w:lineRule="auto"/>
    </w:pPr>
  </w:style>
  <w:style w:type="paragraph" w:customStyle="1" w:styleId="quotf">
    <w:name w:val="quotf"/>
    <w:basedOn w:val="quot"/>
    <w:next w:val="quot"/>
    <w:qFormat/>
    <w:rsid w:val="005F506D"/>
    <w:pPr>
      <w:spacing w:before="100"/>
    </w:pPr>
  </w:style>
  <w:style w:type="paragraph" w:customStyle="1" w:styleId="quotl">
    <w:name w:val="quotl"/>
    <w:basedOn w:val="quot"/>
    <w:qFormat/>
    <w:rsid w:val="005F506D"/>
    <w:pPr>
      <w:spacing w:after="100"/>
    </w:pPr>
  </w:style>
  <w:style w:type="paragraph" w:customStyle="1" w:styleId="quots">
    <w:name w:val="quots"/>
    <w:basedOn w:val="quot"/>
    <w:qFormat/>
    <w:rsid w:val="005F506D"/>
    <w:pPr>
      <w:spacing w:before="100" w:after="100"/>
    </w:pPr>
  </w:style>
  <w:style w:type="paragraph" w:customStyle="1" w:styleId="quott">
    <w:name w:val="quott"/>
    <w:basedOn w:val="ept"/>
    <w:qFormat/>
    <w:rsid w:val="005F506D"/>
    <w:pPr>
      <w:spacing w:line="480" w:lineRule="auto"/>
    </w:pPr>
  </w:style>
  <w:style w:type="paragraph" w:customStyle="1" w:styleId="rb">
    <w:name w:val="rb"/>
    <w:basedOn w:val="pf"/>
    <w:qFormat/>
    <w:rsid w:val="005F506D"/>
    <w:pPr>
      <w:spacing w:before="0"/>
    </w:pPr>
    <w:rPr>
      <w:rFonts w:ascii="Arial" w:hAnsi="Arial"/>
    </w:rPr>
  </w:style>
  <w:style w:type="paragraph" w:customStyle="1" w:styleId="rbc">
    <w:name w:val="rbc"/>
    <w:basedOn w:val="pf"/>
    <w:qFormat/>
    <w:rsid w:val="005F506D"/>
    <w:pPr>
      <w:spacing w:before="0"/>
    </w:pPr>
    <w:rPr>
      <w:rFonts w:ascii="Arial" w:hAnsi="Arial"/>
    </w:rPr>
  </w:style>
  <w:style w:type="paragraph" w:customStyle="1" w:styleId="rbi">
    <w:name w:val="rbi"/>
    <w:basedOn w:val="pf"/>
    <w:qFormat/>
    <w:rsid w:val="005F506D"/>
    <w:pPr>
      <w:spacing w:before="0"/>
    </w:pPr>
    <w:rPr>
      <w:rFonts w:ascii="Arial" w:hAnsi="Arial"/>
    </w:rPr>
  </w:style>
  <w:style w:type="character" w:customStyle="1" w:styleId="rc">
    <w:name w:val="rc"/>
    <w:rsid w:val="005F506D"/>
  </w:style>
  <w:style w:type="character" w:customStyle="1" w:styleId="red">
    <w:name w:val="red"/>
    <w:rsid w:val="005F506D"/>
    <w:rPr>
      <w:color w:val="FF0000"/>
    </w:rPr>
  </w:style>
  <w:style w:type="character" w:customStyle="1" w:styleId="red-b">
    <w:name w:val="red-b"/>
    <w:qFormat/>
    <w:rsid w:val="005F506D"/>
    <w:rPr>
      <w:b/>
      <w:color w:val="FF0000"/>
    </w:rPr>
  </w:style>
  <w:style w:type="character" w:customStyle="1" w:styleId="red-i">
    <w:name w:val="red-i"/>
    <w:rsid w:val="005F506D"/>
    <w:rPr>
      <w:i/>
      <w:color w:val="FF0000"/>
    </w:rPr>
  </w:style>
  <w:style w:type="character" w:customStyle="1" w:styleId="red-ob">
    <w:name w:val="red-ob"/>
    <w:rsid w:val="005F506D"/>
    <w:rPr>
      <w:rFonts w:ascii="Arial" w:hAnsi="Arial"/>
      <w:i/>
      <w:iCs/>
      <w:color w:val="FF0000"/>
    </w:rPr>
  </w:style>
  <w:style w:type="character" w:customStyle="1" w:styleId="red-sm">
    <w:name w:val="red-sm"/>
    <w:rsid w:val="005F506D"/>
    <w:rPr>
      <w:caps w:val="0"/>
      <w:smallCaps/>
      <w:color w:val="FF0000"/>
    </w:rPr>
  </w:style>
  <w:style w:type="character" w:customStyle="1" w:styleId="red-sm-i">
    <w:name w:val="red-sm-i"/>
    <w:qFormat/>
    <w:rsid w:val="005F506D"/>
    <w:rPr>
      <w:rFonts w:ascii="Times New Roman" w:hAnsi="Times New Roman"/>
      <w:b w:val="0"/>
      <w:bCs w:val="0"/>
      <w:i/>
      <w:iCs w:val="0"/>
      <w:caps w:val="0"/>
      <w:smallCaps/>
      <w:color w:val="FF0000"/>
    </w:rPr>
  </w:style>
  <w:style w:type="character" w:customStyle="1" w:styleId="red-sm-ob">
    <w:name w:val="red-sm-ob"/>
    <w:qFormat/>
    <w:rsid w:val="005F506D"/>
    <w:rPr>
      <w:rFonts w:ascii="Helvetica Light Oblique" w:hAnsi="Helvetica Light Oblique"/>
      <w:b w:val="0"/>
      <w:bCs w:val="0"/>
      <w:i w:val="0"/>
      <w:iCs w:val="0"/>
      <w:caps w:val="0"/>
      <w:smallCaps/>
      <w:color w:val="FF0000"/>
    </w:rPr>
  </w:style>
  <w:style w:type="paragraph" w:customStyle="1" w:styleId="rf0">
    <w:name w:val="rf"/>
    <w:rsid w:val="005F506D"/>
    <w:pPr>
      <w:widowControl w:val="0"/>
      <w:spacing w:after="0" w:line="360" w:lineRule="auto"/>
      <w:ind w:left="720" w:hanging="720"/>
    </w:pPr>
    <w:rPr>
      <w:rFonts w:ascii="Times New Roman" w:eastAsia="Times New Roman" w:hAnsi="Times New Roman" w:cs="Times New Roman"/>
      <w:sz w:val="24"/>
      <w:szCs w:val="24"/>
    </w:rPr>
  </w:style>
  <w:style w:type="paragraph" w:customStyle="1" w:styleId="rf1">
    <w:name w:val="rf1"/>
    <w:basedOn w:val="rf0"/>
    <w:qFormat/>
    <w:rsid w:val="005F506D"/>
  </w:style>
  <w:style w:type="paragraph" w:customStyle="1" w:styleId="rf2">
    <w:name w:val="rf2"/>
    <w:basedOn w:val="rf0"/>
    <w:qFormat/>
    <w:rsid w:val="005F506D"/>
  </w:style>
  <w:style w:type="paragraph" w:customStyle="1" w:styleId="rp">
    <w:name w:val="rp"/>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1">
    <w:name w:val="rp1"/>
    <w:qFormat/>
    <w:rsid w:val="005F506D"/>
    <w:pPr>
      <w:spacing w:after="0" w:line="480" w:lineRule="auto"/>
      <w:ind w:left="720"/>
    </w:pPr>
    <w:rPr>
      <w:rFonts w:ascii="Times New Roman" w:eastAsia="Times New Roman" w:hAnsi="Times New Roman" w:cs="Times New Roman"/>
      <w:sz w:val="24"/>
      <w:szCs w:val="24"/>
    </w:rPr>
  </w:style>
  <w:style w:type="paragraph" w:customStyle="1" w:styleId="rp1f">
    <w:name w:val="rp1f"/>
    <w:next w:val="rp1"/>
    <w:qFormat/>
    <w:rsid w:val="005F506D"/>
    <w:pPr>
      <w:spacing w:before="100" w:after="0" w:line="480" w:lineRule="auto"/>
      <w:ind w:left="720"/>
    </w:pPr>
    <w:rPr>
      <w:rFonts w:ascii="Times New Roman" w:eastAsia="Times New Roman" w:hAnsi="Times New Roman" w:cs="Times New Roman"/>
      <w:sz w:val="24"/>
      <w:szCs w:val="24"/>
    </w:rPr>
  </w:style>
  <w:style w:type="paragraph" w:customStyle="1" w:styleId="rp1l">
    <w:name w:val="rp1l"/>
    <w:qFormat/>
    <w:rsid w:val="005F506D"/>
    <w:pPr>
      <w:spacing w:after="100" w:line="480" w:lineRule="auto"/>
      <w:ind w:left="720"/>
    </w:pPr>
    <w:rPr>
      <w:rFonts w:ascii="Times New Roman" w:eastAsia="Times New Roman" w:hAnsi="Times New Roman" w:cs="Times New Roman"/>
      <w:sz w:val="24"/>
      <w:szCs w:val="24"/>
    </w:rPr>
  </w:style>
  <w:style w:type="paragraph" w:customStyle="1" w:styleId="rp1y">
    <w:name w:val="rp1y"/>
    <w:qFormat/>
    <w:rsid w:val="005F506D"/>
    <w:pPr>
      <w:spacing w:after="0" w:line="480" w:lineRule="auto"/>
      <w:ind w:left="720"/>
    </w:pPr>
    <w:rPr>
      <w:rFonts w:ascii="Times New Roman" w:eastAsia="Times New Roman" w:hAnsi="Times New Roman" w:cs="Times New Roman"/>
      <w:sz w:val="24"/>
      <w:szCs w:val="24"/>
    </w:rPr>
  </w:style>
  <w:style w:type="paragraph" w:customStyle="1" w:styleId="rpah">
    <w:name w:val="rpah"/>
    <w:qFormat/>
    <w:rsid w:val="005F506D"/>
    <w:pPr>
      <w:spacing w:before="360" w:after="60" w:line="240" w:lineRule="auto"/>
    </w:pPr>
    <w:rPr>
      <w:rFonts w:ascii="Arial" w:eastAsia="Times New Roman" w:hAnsi="Arial" w:cs="Times New Roman"/>
      <w:sz w:val="40"/>
      <w:szCs w:val="20"/>
    </w:rPr>
  </w:style>
  <w:style w:type="paragraph" w:customStyle="1" w:styleId="rpbh">
    <w:name w:val="rpbh"/>
    <w:qFormat/>
    <w:rsid w:val="005F506D"/>
    <w:pPr>
      <w:spacing w:before="360" w:after="0" w:line="480" w:lineRule="auto"/>
    </w:pPr>
    <w:rPr>
      <w:rFonts w:ascii="Arial" w:eastAsia="Times New Roman" w:hAnsi="Arial" w:cs="Times New Roman"/>
      <w:sz w:val="28"/>
      <w:szCs w:val="20"/>
    </w:rPr>
  </w:style>
  <w:style w:type="paragraph" w:customStyle="1" w:styleId="rpch">
    <w:name w:val="rpch"/>
    <w:qFormat/>
    <w:rsid w:val="005F506D"/>
    <w:pPr>
      <w:spacing w:after="0" w:line="480" w:lineRule="auto"/>
    </w:pPr>
    <w:rPr>
      <w:rFonts w:ascii="Arial" w:eastAsia="Times New Roman" w:hAnsi="Arial" w:cs="Times New Roman"/>
      <w:sz w:val="24"/>
      <w:szCs w:val="20"/>
    </w:rPr>
  </w:style>
  <w:style w:type="paragraph" w:customStyle="1" w:styleId="rpf">
    <w:name w:val="rpf"/>
    <w:next w:val="rp"/>
    <w:qFormat/>
    <w:rsid w:val="005F506D"/>
    <w:pPr>
      <w:spacing w:before="200" w:after="0" w:line="480" w:lineRule="auto"/>
      <w:ind w:left="360"/>
    </w:pPr>
    <w:rPr>
      <w:rFonts w:ascii="Times New Roman" w:eastAsia="Times New Roman" w:hAnsi="Times New Roman" w:cs="Times New Roman"/>
      <w:sz w:val="24"/>
      <w:szCs w:val="24"/>
    </w:rPr>
  </w:style>
  <w:style w:type="paragraph" w:customStyle="1" w:styleId="rpg">
    <w:name w:val="rpg"/>
    <w:qFormat/>
    <w:rsid w:val="005F506D"/>
    <w:pPr>
      <w:spacing w:after="0" w:line="480" w:lineRule="auto"/>
      <w:ind w:left="360"/>
    </w:pPr>
    <w:rPr>
      <w:rFonts w:ascii="Times New Roman" w:eastAsia="Times New Roman" w:hAnsi="Times New Roman" w:cs="Times New Roman"/>
      <w:sz w:val="24"/>
      <w:szCs w:val="24"/>
    </w:rPr>
  </w:style>
  <w:style w:type="paragraph" w:customStyle="1" w:styleId="rpg1">
    <w:name w:val="rpg1"/>
    <w:qFormat/>
    <w:rsid w:val="005F506D"/>
    <w:pPr>
      <w:spacing w:after="0" w:line="480" w:lineRule="auto"/>
      <w:ind w:left="720"/>
    </w:pPr>
    <w:rPr>
      <w:rFonts w:ascii="Times New Roman" w:eastAsia="Times New Roman" w:hAnsi="Times New Roman" w:cs="Times New Roman"/>
      <w:sz w:val="24"/>
      <w:szCs w:val="24"/>
    </w:rPr>
  </w:style>
  <w:style w:type="paragraph" w:customStyle="1" w:styleId="rph">
    <w:name w:val="rph"/>
    <w:qFormat/>
    <w:rsid w:val="005F506D"/>
    <w:pPr>
      <w:spacing w:after="0" w:line="240" w:lineRule="auto"/>
      <w:outlineLvl w:val="8"/>
    </w:pPr>
    <w:rPr>
      <w:rFonts w:ascii="Times New Roman" w:eastAsia="Times New Roman" w:hAnsi="Times New Roman" w:cs="Times New Roman"/>
      <w:sz w:val="48"/>
      <w:szCs w:val="24"/>
    </w:rPr>
  </w:style>
  <w:style w:type="paragraph" w:customStyle="1" w:styleId="rph1">
    <w:name w:val="rph1"/>
    <w:qFormat/>
    <w:rsid w:val="005F506D"/>
    <w:pPr>
      <w:spacing w:before="100" w:after="0" w:line="240" w:lineRule="auto"/>
    </w:pPr>
    <w:rPr>
      <w:rFonts w:ascii="Arial" w:eastAsia="Times New Roman" w:hAnsi="Arial" w:cs="Times New Roman"/>
      <w:sz w:val="28"/>
      <w:szCs w:val="24"/>
    </w:rPr>
  </w:style>
  <w:style w:type="paragraph" w:customStyle="1" w:styleId="rphn">
    <w:name w:val="rphn"/>
    <w:qFormat/>
    <w:rsid w:val="005F506D"/>
    <w:pPr>
      <w:spacing w:after="0" w:line="240" w:lineRule="auto"/>
    </w:pPr>
    <w:rPr>
      <w:rFonts w:ascii="Times New Roman" w:eastAsia="Times New Roman" w:hAnsi="Times New Roman" w:cs="Times New Roman"/>
      <w:sz w:val="24"/>
      <w:szCs w:val="24"/>
    </w:rPr>
  </w:style>
  <w:style w:type="paragraph" w:customStyle="1" w:styleId="rpil">
    <w:name w:val="rpil"/>
    <w:qFormat/>
    <w:rsid w:val="005F506D"/>
    <w:pPr>
      <w:spacing w:after="0" w:line="480" w:lineRule="auto"/>
      <w:ind w:left="1440" w:hanging="360"/>
    </w:pPr>
    <w:rPr>
      <w:rFonts w:ascii="Times New Roman" w:eastAsia="Times New Roman" w:hAnsi="Times New Roman" w:cs="Times New Roman"/>
      <w:sz w:val="24"/>
      <w:szCs w:val="24"/>
    </w:rPr>
  </w:style>
  <w:style w:type="paragraph" w:customStyle="1" w:styleId="rpil1">
    <w:name w:val="rpil1"/>
    <w:qFormat/>
    <w:rsid w:val="005F506D"/>
    <w:pPr>
      <w:spacing w:after="0" w:line="480" w:lineRule="auto"/>
      <w:ind w:left="1800" w:hanging="360"/>
    </w:pPr>
    <w:rPr>
      <w:rFonts w:ascii="Times New Roman" w:eastAsia="Times New Roman" w:hAnsi="Times New Roman" w:cs="Times New Roman"/>
      <w:sz w:val="24"/>
      <w:szCs w:val="24"/>
    </w:rPr>
  </w:style>
  <w:style w:type="paragraph" w:customStyle="1" w:styleId="rpil1f">
    <w:name w:val="rpil1f"/>
    <w:next w:val="rpil1"/>
    <w:qFormat/>
    <w:rsid w:val="005F506D"/>
    <w:pPr>
      <w:spacing w:before="240" w:after="0" w:line="480" w:lineRule="auto"/>
      <w:ind w:left="1800" w:hanging="360"/>
    </w:pPr>
    <w:rPr>
      <w:rFonts w:ascii="Times New Roman" w:eastAsia="Times New Roman" w:hAnsi="Times New Roman" w:cs="Times New Roman"/>
      <w:sz w:val="24"/>
      <w:szCs w:val="24"/>
    </w:rPr>
  </w:style>
  <w:style w:type="paragraph" w:customStyle="1" w:styleId="rpil1l">
    <w:name w:val="rpil1l"/>
    <w:qFormat/>
    <w:rsid w:val="005F506D"/>
    <w:pPr>
      <w:spacing w:after="240" w:line="480" w:lineRule="auto"/>
      <w:ind w:left="1800" w:hanging="360"/>
    </w:pPr>
    <w:rPr>
      <w:rFonts w:ascii="Times New Roman" w:eastAsia="Times New Roman" w:hAnsi="Times New Roman" w:cs="Times New Roman"/>
      <w:sz w:val="24"/>
      <w:szCs w:val="24"/>
    </w:rPr>
  </w:style>
  <w:style w:type="paragraph" w:customStyle="1" w:styleId="rpil1s">
    <w:name w:val="rpil1s"/>
    <w:qFormat/>
    <w:rsid w:val="005F506D"/>
    <w:pPr>
      <w:spacing w:before="240" w:after="240" w:line="480" w:lineRule="auto"/>
      <w:ind w:left="1800" w:hanging="360"/>
    </w:pPr>
    <w:rPr>
      <w:rFonts w:ascii="Times New Roman" w:eastAsia="Times New Roman" w:hAnsi="Times New Roman" w:cs="Times New Roman"/>
      <w:sz w:val="24"/>
      <w:szCs w:val="24"/>
    </w:rPr>
  </w:style>
  <w:style w:type="paragraph" w:customStyle="1" w:styleId="rpilf">
    <w:name w:val="rpilf"/>
    <w:next w:val="rpil"/>
    <w:qFormat/>
    <w:rsid w:val="005F506D"/>
    <w:pPr>
      <w:spacing w:before="240" w:after="0" w:line="480" w:lineRule="auto"/>
      <w:ind w:left="1440" w:hanging="360"/>
    </w:pPr>
    <w:rPr>
      <w:rFonts w:ascii="Times New Roman" w:eastAsia="Times New Roman" w:hAnsi="Times New Roman" w:cs="Times New Roman"/>
      <w:color w:val="000000"/>
      <w:kern w:val="44"/>
      <w:sz w:val="24"/>
      <w:szCs w:val="20"/>
    </w:rPr>
  </w:style>
  <w:style w:type="paragraph" w:customStyle="1" w:styleId="rpill">
    <w:name w:val="rpill"/>
    <w:qFormat/>
    <w:rsid w:val="005F506D"/>
    <w:pPr>
      <w:spacing w:after="240" w:line="480" w:lineRule="auto"/>
      <w:ind w:left="1440" w:hanging="360"/>
    </w:pPr>
    <w:rPr>
      <w:rFonts w:ascii="Times New Roman" w:eastAsia="Times New Roman" w:hAnsi="Times New Roman" w:cs="Times New Roman"/>
      <w:sz w:val="24"/>
      <w:szCs w:val="24"/>
    </w:rPr>
  </w:style>
  <w:style w:type="paragraph" w:customStyle="1" w:styleId="rpils">
    <w:name w:val="rpils"/>
    <w:qFormat/>
    <w:rsid w:val="005F506D"/>
    <w:pPr>
      <w:spacing w:before="240" w:after="240" w:line="480" w:lineRule="auto"/>
      <w:ind w:left="1440" w:hanging="360"/>
    </w:pPr>
    <w:rPr>
      <w:rFonts w:ascii="Times New Roman" w:eastAsia="Times New Roman" w:hAnsi="Times New Roman" w:cs="Times New Roman"/>
      <w:sz w:val="24"/>
      <w:szCs w:val="24"/>
    </w:rPr>
  </w:style>
  <w:style w:type="paragraph" w:customStyle="1" w:styleId="rpl">
    <w:name w:val="rpl"/>
    <w:qFormat/>
    <w:rsid w:val="005F506D"/>
    <w:pPr>
      <w:spacing w:after="100" w:line="480" w:lineRule="auto"/>
      <w:ind w:left="360"/>
    </w:pPr>
    <w:rPr>
      <w:rFonts w:ascii="Times New Roman" w:eastAsia="Times New Roman" w:hAnsi="Times New Roman" w:cs="Times New Roman"/>
      <w:sz w:val="24"/>
      <w:szCs w:val="24"/>
    </w:rPr>
  </w:style>
  <w:style w:type="paragraph" w:customStyle="1" w:styleId="rpn">
    <w:name w:val="rpn"/>
    <w:qFormat/>
    <w:rsid w:val="005F506D"/>
    <w:pPr>
      <w:spacing w:after="0" w:line="480" w:lineRule="auto"/>
      <w:ind w:left="360"/>
    </w:pPr>
    <w:rPr>
      <w:rFonts w:ascii="Times New Roman" w:eastAsia="Times New Roman" w:hAnsi="Times New Roman" w:cs="Times New Roman"/>
      <w:sz w:val="20"/>
      <w:szCs w:val="24"/>
    </w:rPr>
  </w:style>
  <w:style w:type="paragraph" w:customStyle="1" w:styleId="rpn1">
    <w:name w:val="rpn1"/>
    <w:qFormat/>
    <w:rsid w:val="005F506D"/>
    <w:pPr>
      <w:spacing w:after="0" w:line="480" w:lineRule="auto"/>
      <w:ind w:left="720"/>
    </w:pPr>
    <w:rPr>
      <w:rFonts w:ascii="Times New Roman" w:eastAsia="Times New Roman" w:hAnsi="Times New Roman" w:cs="Times New Roman"/>
      <w:sz w:val="20"/>
      <w:szCs w:val="24"/>
    </w:rPr>
  </w:style>
  <w:style w:type="paragraph" w:customStyle="1" w:styleId="rpnut">
    <w:name w:val="rpnut"/>
    <w:qFormat/>
    <w:rsid w:val="005F506D"/>
    <w:pPr>
      <w:spacing w:after="0" w:line="480" w:lineRule="auto"/>
      <w:ind w:left="360"/>
    </w:pPr>
    <w:rPr>
      <w:rFonts w:ascii="Arial" w:eastAsia="Times New Roman" w:hAnsi="Arial" w:cs="Times New Roman"/>
      <w:sz w:val="20"/>
      <w:szCs w:val="24"/>
    </w:rPr>
  </w:style>
  <w:style w:type="paragraph" w:customStyle="1" w:styleId="rpnut1">
    <w:name w:val="rpnut1"/>
    <w:qFormat/>
    <w:rsid w:val="005F506D"/>
    <w:pPr>
      <w:spacing w:after="0" w:line="480" w:lineRule="auto"/>
      <w:ind w:left="720"/>
    </w:pPr>
    <w:rPr>
      <w:rFonts w:ascii="Arial" w:eastAsia="Times New Roman" w:hAnsi="Arial" w:cs="Times New Roman"/>
      <w:sz w:val="20"/>
      <w:szCs w:val="24"/>
    </w:rPr>
  </w:style>
  <w:style w:type="paragraph" w:customStyle="1" w:styleId="rpt">
    <w:name w:val="rpt"/>
    <w:qFormat/>
    <w:rsid w:val="005F506D"/>
    <w:pPr>
      <w:spacing w:after="100" w:line="240" w:lineRule="auto"/>
      <w:jc w:val="center"/>
      <w:outlineLvl w:val="8"/>
    </w:pPr>
    <w:rPr>
      <w:rFonts w:ascii="Times New Roman" w:eastAsia="Times New Roman" w:hAnsi="Times New Roman" w:cs="Times New Roman"/>
      <w:sz w:val="60"/>
      <w:szCs w:val="20"/>
    </w:rPr>
  </w:style>
  <w:style w:type="paragraph" w:customStyle="1" w:styleId="rpt1">
    <w:name w:val="rpt1"/>
    <w:qFormat/>
    <w:rsid w:val="005F506D"/>
    <w:pPr>
      <w:spacing w:after="0" w:line="240" w:lineRule="auto"/>
      <w:jc w:val="center"/>
    </w:pPr>
    <w:rPr>
      <w:rFonts w:ascii="Arial" w:eastAsia="Times New Roman" w:hAnsi="Arial" w:cs="Times New Roman"/>
      <w:sz w:val="32"/>
      <w:szCs w:val="24"/>
    </w:rPr>
  </w:style>
  <w:style w:type="paragraph" w:customStyle="1" w:styleId="rpv">
    <w:name w:val="rpv"/>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v1">
    <w:name w:val="rpv1"/>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v1f">
    <w:name w:val="rpv1f"/>
    <w:next w:val="rpv1"/>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v1h">
    <w:name w:val="rpv1h"/>
    <w:qFormat/>
    <w:rsid w:val="005F506D"/>
    <w:pPr>
      <w:spacing w:after="0" w:line="480" w:lineRule="auto"/>
    </w:pPr>
    <w:rPr>
      <w:rFonts w:ascii="Arial" w:eastAsia="Times New Roman" w:hAnsi="Arial" w:cs="Times New Roman"/>
      <w:sz w:val="28"/>
      <w:szCs w:val="24"/>
    </w:rPr>
  </w:style>
  <w:style w:type="paragraph" w:customStyle="1" w:styleId="rpv1l">
    <w:name w:val="rpv1l"/>
    <w:qFormat/>
    <w:rsid w:val="005F506D"/>
    <w:pPr>
      <w:spacing w:after="0" w:line="480" w:lineRule="auto"/>
      <w:ind w:firstLine="360"/>
    </w:pPr>
    <w:rPr>
      <w:rFonts w:ascii="Times New Roman" w:eastAsia="Times New Roman" w:hAnsi="Times New Roman" w:cs="Times New Roman"/>
      <w:sz w:val="24"/>
      <w:szCs w:val="24"/>
    </w:rPr>
  </w:style>
  <w:style w:type="paragraph" w:customStyle="1" w:styleId="rpvf">
    <w:name w:val="rpvf"/>
    <w:next w:val="rpv"/>
    <w:qFormat/>
    <w:rsid w:val="005F506D"/>
    <w:pPr>
      <w:spacing w:before="200" w:after="0" w:line="480" w:lineRule="auto"/>
      <w:ind w:left="1440" w:hanging="360"/>
    </w:pPr>
    <w:rPr>
      <w:rFonts w:ascii="Times New Roman" w:eastAsia="Times New Roman" w:hAnsi="Times New Roman" w:cs="Times New Roman"/>
      <w:sz w:val="24"/>
      <w:szCs w:val="24"/>
    </w:rPr>
  </w:style>
  <w:style w:type="paragraph" w:customStyle="1" w:styleId="rpvh">
    <w:name w:val="rpvh"/>
    <w:qFormat/>
    <w:rsid w:val="005F506D"/>
    <w:pPr>
      <w:spacing w:after="0" w:line="240" w:lineRule="auto"/>
    </w:pPr>
    <w:rPr>
      <w:rFonts w:ascii="Times New Roman" w:eastAsia="Times New Roman" w:hAnsi="Times New Roman" w:cs="Times New Roman"/>
      <w:sz w:val="48"/>
      <w:szCs w:val="24"/>
    </w:rPr>
  </w:style>
  <w:style w:type="paragraph" w:customStyle="1" w:styleId="rpvl">
    <w:name w:val="rpvl"/>
    <w:basedOn w:val="rpv"/>
    <w:rsid w:val="005F506D"/>
    <w:pPr>
      <w:spacing w:after="200"/>
    </w:pPr>
  </w:style>
  <w:style w:type="paragraph" w:customStyle="1" w:styleId="rpy">
    <w:name w:val="rpy"/>
    <w:qFormat/>
    <w:rsid w:val="005F506D"/>
    <w:pPr>
      <w:spacing w:after="0" w:line="480" w:lineRule="auto"/>
      <w:ind w:left="360"/>
    </w:pPr>
    <w:rPr>
      <w:rFonts w:ascii="Times New Roman" w:eastAsia="Times New Roman" w:hAnsi="Times New Roman" w:cs="Times New Roman"/>
      <w:sz w:val="24"/>
      <w:szCs w:val="24"/>
    </w:rPr>
  </w:style>
  <w:style w:type="paragraph" w:customStyle="1" w:styleId="rv">
    <w:name w:val="rv"/>
    <w:basedOn w:val="p"/>
    <w:rsid w:val="005F506D"/>
  </w:style>
  <w:style w:type="paragraph" w:customStyle="1" w:styleId="rvd">
    <w:name w:val="rvd"/>
    <w:rsid w:val="005F506D"/>
    <w:pPr>
      <w:spacing w:after="0" w:line="240" w:lineRule="auto"/>
    </w:pPr>
    <w:rPr>
      <w:rFonts w:ascii="Times New Roman" w:eastAsia="Times New Roman" w:hAnsi="Times New Roman" w:cs="Times New Roman"/>
      <w:sz w:val="24"/>
      <w:szCs w:val="24"/>
    </w:rPr>
  </w:style>
  <w:style w:type="paragraph" w:customStyle="1" w:styleId="rvt">
    <w:name w:val="rvt"/>
    <w:basedOn w:val="p"/>
    <w:rsid w:val="005F506D"/>
    <w:pPr>
      <w:ind w:left="4320" w:firstLine="0"/>
    </w:pPr>
  </w:style>
  <w:style w:type="paragraph" w:customStyle="1" w:styleId="sb1">
    <w:name w:val="sb1"/>
    <w:basedOn w:val="sb"/>
    <w:qFormat/>
    <w:rsid w:val="005F506D"/>
    <w:pPr>
      <w:ind w:left="1440"/>
    </w:pPr>
  </w:style>
  <w:style w:type="paragraph" w:customStyle="1" w:styleId="sb1f">
    <w:name w:val="sb1f"/>
    <w:basedOn w:val="sb1"/>
    <w:next w:val="sb1"/>
    <w:qFormat/>
    <w:rsid w:val="005F506D"/>
    <w:pPr>
      <w:spacing w:before="100"/>
      <w:ind w:firstLine="0"/>
    </w:pPr>
  </w:style>
  <w:style w:type="paragraph" w:customStyle="1" w:styleId="sb1t">
    <w:name w:val="sb1t"/>
    <w:basedOn w:val="sb1f"/>
    <w:qFormat/>
    <w:rsid w:val="005F506D"/>
    <w:rPr>
      <w:rFonts w:ascii="Arial" w:eastAsia="MS Mincho" w:hAnsi="Arial"/>
      <w:sz w:val="28"/>
    </w:rPr>
  </w:style>
  <w:style w:type="paragraph" w:customStyle="1" w:styleId="sb1h">
    <w:name w:val="sb1h"/>
    <w:basedOn w:val="sb1t"/>
    <w:qFormat/>
    <w:rsid w:val="005F506D"/>
    <w:rPr>
      <w:sz w:val="20"/>
    </w:rPr>
  </w:style>
  <w:style w:type="paragraph" w:customStyle="1" w:styleId="sb1l">
    <w:name w:val="sb1l"/>
    <w:basedOn w:val="sb1"/>
    <w:qFormat/>
    <w:rsid w:val="005F506D"/>
    <w:pPr>
      <w:spacing w:after="100"/>
    </w:pPr>
  </w:style>
  <w:style w:type="paragraph" w:customStyle="1" w:styleId="sbaft">
    <w:name w:val="sbaft"/>
    <w:basedOn w:val="sbf"/>
    <w:qFormat/>
    <w:rsid w:val="005F506D"/>
  </w:style>
  <w:style w:type="paragraph" w:customStyle="1" w:styleId="sbah">
    <w:name w:val="sbah"/>
    <w:next w:val="sbaft"/>
    <w:rsid w:val="005F506D"/>
    <w:pPr>
      <w:spacing w:before="100" w:after="0" w:line="240" w:lineRule="auto"/>
      <w:ind w:left="720"/>
    </w:pPr>
    <w:rPr>
      <w:rFonts w:ascii="Arial" w:eastAsia="Times New Roman" w:hAnsi="Arial" w:cs="Times New Roman"/>
      <w:sz w:val="32"/>
      <w:szCs w:val="20"/>
    </w:rPr>
  </w:style>
  <w:style w:type="paragraph" w:customStyle="1" w:styleId="sbahaft">
    <w:name w:val="sbahaft"/>
    <w:basedOn w:val="sbah"/>
    <w:next w:val="sbah"/>
    <w:qFormat/>
    <w:rsid w:val="005F506D"/>
    <w:pPr>
      <w:spacing w:before="0"/>
    </w:pPr>
    <w:rPr>
      <w:rFonts w:eastAsia="MS Mincho"/>
    </w:rPr>
  </w:style>
  <w:style w:type="paragraph" w:customStyle="1" w:styleId="sbbh">
    <w:name w:val="sbbh"/>
    <w:basedOn w:val="sbah"/>
    <w:rsid w:val="005F506D"/>
    <w:rPr>
      <w:sz w:val="24"/>
    </w:rPr>
  </w:style>
  <w:style w:type="paragraph" w:customStyle="1" w:styleId="sbbhaft">
    <w:name w:val="sbbhaft"/>
    <w:basedOn w:val="sbbh"/>
    <w:next w:val="sbaft"/>
    <w:qFormat/>
    <w:rsid w:val="005F506D"/>
    <w:pPr>
      <w:spacing w:before="0"/>
    </w:pPr>
  </w:style>
  <w:style w:type="paragraph" w:customStyle="1" w:styleId="sbbq">
    <w:name w:val="sbbq"/>
    <w:basedOn w:val="sb"/>
    <w:qFormat/>
    <w:rsid w:val="005F506D"/>
    <w:pPr>
      <w:spacing w:line="240" w:lineRule="auto"/>
      <w:ind w:left="1080" w:right="1080"/>
    </w:pPr>
  </w:style>
  <w:style w:type="paragraph" w:customStyle="1" w:styleId="sbbqaft">
    <w:name w:val="sbbqaft"/>
    <w:basedOn w:val="sbbq"/>
    <w:qFormat/>
    <w:rsid w:val="005F506D"/>
    <w:pPr>
      <w:spacing w:line="480" w:lineRule="auto"/>
      <w:ind w:firstLine="0"/>
    </w:pPr>
  </w:style>
  <w:style w:type="paragraph" w:customStyle="1" w:styleId="sbbqf">
    <w:name w:val="sbbqf"/>
    <w:basedOn w:val="sbbq"/>
    <w:qFormat/>
    <w:rsid w:val="005F506D"/>
    <w:pPr>
      <w:spacing w:before="100"/>
    </w:pPr>
  </w:style>
  <w:style w:type="paragraph" w:customStyle="1" w:styleId="sbbql">
    <w:name w:val="sbbql"/>
    <w:basedOn w:val="sbbq"/>
    <w:qFormat/>
    <w:rsid w:val="005F506D"/>
    <w:pPr>
      <w:spacing w:after="300"/>
    </w:pPr>
  </w:style>
  <w:style w:type="paragraph" w:customStyle="1" w:styleId="sbbqs">
    <w:name w:val="sbbqs"/>
    <w:basedOn w:val="sbbq"/>
    <w:qFormat/>
    <w:rsid w:val="005F506D"/>
    <w:pPr>
      <w:spacing w:before="100" w:after="300"/>
    </w:pPr>
  </w:style>
  <w:style w:type="paragraph" w:customStyle="1" w:styleId="sbcon">
    <w:name w:val="sbcon"/>
    <w:rsid w:val="005F506D"/>
    <w:pPr>
      <w:widowControl w:val="0"/>
      <w:suppressAutoHyphens/>
      <w:autoSpaceDE w:val="0"/>
      <w:autoSpaceDN w:val="0"/>
      <w:adjustRightInd w:val="0"/>
      <w:spacing w:after="0" w:line="480" w:lineRule="auto"/>
      <w:ind w:left="720" w:right="720"/>
      <w:textAlignment w:val="center"/>
    </w:pPr>
    <w:rPr>
      <w:rFonts w:ascii="Times New Roman" w:eastAsia="Times New Roman" w:hAnsi="Times New Roman" w:cs="Times New Roman"/>
      <w:color w:val="000000"/>
      <w:kern w:val="24"/>
      <w:sz w:val="20"/>
      <w:szCs w:val="24"/>
    </w:rPr>
  </w:style>
  <w:style w:type="paragraph" w:customStyle="1" w:styleId="sbnl2">
    <w:name w:val="sbnl2"/>
    <w:basedOn w:val="sbnl1"/>
    <w:rsid w:val="005F506D"/>
    <w:pPr>
      <w:ind w:left="2520"/>
    </w:pPr>
  </w:style>
  <w:style w:type="paragraph" w:customStyle="1" w:styleId="sbnl2f">
    <w:name w:val="sbnl2f"/>
    <w:basedOn w:val="sbnl1f"/>
    <w:rsid w:val="005F506D"/>
    <w:pPr>
      <w:ind w:left="2520"/>
    </w:pPr>
  </w:style>
  <w:style w:type="paragraph" w:customStyle="1" w:styleId="sbnl2l">
    <w:name w:val="sbnl2l"/>
    <w:basedOn w:val="sbnl1l"/>
    <w:rsid w:val="005F506D"/>
    <w:pPr>
      <w:ind w:left="2520"/>
    </w:pPr>
  </w:style>
  <w:style w:type="paragraph" w:customStyle="1" w:styleId="sbnl2p">
    <w:name w:val="sbnl2p"/>
    <w:basedOn w:val="sbnl2"/>
    <w:rsid w:val="005F506D"/>
    <w:pPr>
      <w:ind w:firstLine="360"/>
    </w:pPr>
    <w:rPr>
      <w:szCs w:val="24"/>
    </w:rPr>
  </w:style>
  <w:style w:type="paragraph" w:customStyle="1" w:styleId="sbnl2s">
    <w:name w:val="sbnl2s"/>
    <w:basedOn w:val="sbnl2"/>
    <w:rsid w:val="005F506D"/>
    <w:pPr>
      <w:spacing w:before="100" w:after="100"/>
    </w:pPr>
  </w:style>
  <w:style w:type="paragraph" w:customStyle="1" w:styleId="sbnl3">
    <w:name w:val="sbnl3"/>
    <w:basedOn w:val="p"/>
    <w:rsid w:val="005F506D"/>
    <w:pPr>
      <w:ind w:left="2160"/>
    </w:pPr>
    <w:rPr>
      <w:sz w:val="20"/>
    </w:rPr>
  </w:style>
  <w:style w:type="paragraph" w:customStyle="1" w:styleId="sbnl3f">
    <w:name w:val="sbnl3f"/>
    <w:basedOn w:val="p"/>
    <w:rsid w:val="005F506D"/>
    <w:pPr>
      <w:spacing w:before="100"/>
      <w:ind w:left="2160"/>
    </w:pPr>
    <w:rPr>
      <w:sz w:val="20"/>
    </w:rPr>
  </w:style>
  <w:style w:type="paragraph" w:customStyle="1" w:styleId="sbnl3l">
    <w:name w:val="sbnl3l"/>
    <w:basedOn w:val="p"/>
    <w:rsid w:val="005F506D"/>
    <w:pPr>
      <w:spacing w:after="100"/>
      <w:ind w:left="2160"/>
    </w:pPr>
    <w:rPr>
      <w:sz w:val="20"/>
    </w:rPr>
  </w:style>
  <w:style w:type="paragraph" w:customStyle="1" w:styleId="sbnl4">
    <w:name w:val="sbnl4"/>
    <w:basedOn w:val="p"/>
    <w:rsid w:val="005F506D"/>
    <w:pPr>
      <w:ind w:left="2520" w:right="720"/>
    </w:pPr>
    <w:rPr>
      <w:sz w:val="20"/>
    </w:rPr>
  </w:style>
  <w:style w:type="paragraph" w:customStyle="1" w:styleId="sbnl4f">
    <w:name w:val="sbnl4f"/>
    <w:basedOn w:val="p"/>
    <w:rsid w:val="005F506D"/>
    <w:pPr>
      <w:spacing w:before="100"/>
      <w:ind w:left="2520" w:right="720"/>
    </w:pPr>
    <w:rPr>
      <w:sz w:val="20"/>
    </w:rPr>
  </w:style>
  <w:style w:type="paragraph" w:customStyle="1" w:styleId="sbnl4l">
    <w:name w:val="sbnl4l"/>
    <w:basedOn w:val="p"/>
    <w:rsid w:val="005F506D"/>
    <w:pPr>
      <w:spacing w:after="100"/>
      <w:ind w:left="2520" w:right="720"/>
    </w:pPr>
    <w:rPr>
      <w:sz w:val="20"/>
    </w:rPr>
  </w:style>
  <w:style w:type="paragraph" w:customStyle="1" w:styleId="sbnl5">
    <w:name w:val="sbnl5"/>
    <w:basedOn w:val="p"/>
    <w:rsid w:val="005F506D"/>
    <w:pPr>
      <w:ind w:left="2880" w:right="720"/>
    </w:pPr>
    <w:rPr>
      <w:sz w:val="20"/>
    </w:rPr>
  </w:style>
  <w:style w:type="paragraph" w:customStyle="1" w:styleId="sbnl5f">
    <w:name w:val="sbnl5f"/>
    <w:basedOn w:val="p"/>
    <w:rsid w:val="005F506D"/>
    <w:pPr>
      <w:spacing w:before="100"/>
      <w:ind w:left="2880" w:right="720"/>
    </w:pPr>
    <w:rPr>
      <w:sz w:val="20"/>
    </w:rPr>
  </w:style>
  <w:style w:type="paragraph" w:customStyle="1" w:styleId="sbnl5l">
    <w:name w:val="sbnl5l"/>
    <w:basedOn w:val="p"/>
    <w:rsid w:val="005F506D"/>
    <w:pPr>
      <w:spacing w:after="100"/>
      <w:ind w:left="2880" w:right="720"/>
    </w:pPr>
    <w:rPr>
      <w:sz w:val="20"/>
    </w:rPr>
  </w:style>
  <w:style w:type="paragraph" w:customStyle="1" w:styleId="sbo">
    <w:name w:val="sbo"/>
    <w:basedOn w:val="sbs"/>
    <w:qFormat/>
    <w:rsid w:val="005F506D"/>
    <w:pPr>
      <w:spacing w:before="0"/>
      <w:ind w:firstLine="0"/>
    </w:pPr>
  </w:style>
  <w:style w:type="paragraph" w:customStyle="1" w:styleId="sbsl">
    <w:name w:val="sbsl"/>
    <w:basedOn w:val="sbnl"/>
    <w:qFormat/>
    <w:rsid w:val="005F506D"/>
  </w:style>
  <w:style w:type="paragraph" w:customStyle="1" w:styleId="sbsl1">
    <w:name w:val="sbsl1"/>
    <w:basedOn w:val="sbsl"/>
    <w:qFormat/>
    <w:rsid w:val="005F506D"/>
    <w:pPr>
      <w:ind w:left="2160"/>
    </w:pPr>
    <w:rPr>
      <w:rFonts w:eastAsia="MS Mincho"/>
    </w:rPr>
  </w:style>
  <w:style w:type="paragraph" w:customStyle="1" w:styleId="sbslf">
    <w:name w:val="sbslf"/>
    <w:basedOn w:val="sbnlf"/>
    <w:qFormat/>
    <w:rsid w:val="005F506D"/>
  </w:style>
  <w:style w:type="paragraph" w:customStyle="1" w:styleId="sbsl1f">
    <w:name w:val="sbsl1f"/>
    <w:basedOn w:val="sbslf"/>
    <w:qFormat/>
    <w:rsid w:val="005F506D"/>
    <w:pPr>
      <w:ind w:left="2160"/>
    </w:pPr>
    <w:rPr>
      <w:rFonts w:eastAsia="MS Mincho"/>
    </w:rPr>
  </w:style>
  <w:style w:type="paragraph" w:customStyle="1" w:styleId="sbsll">
    <w:name w:val="sbsll"/>
    <w:basedOn w:val="sbnll"/>
    <w:qFormat/>
    <w:rsid w:val="005F506D"/>
  </w:style>
  <w:style w:type="paragraph" w:customStyle="1" w:styleId="sbsl1l">
    <w:name w:val="sbsl1l"/>
    <w:basedOn w:val="sbsll"/>
    <w:qFormat/>
    <w:rsid w:val="005F506D"/>
    <w:pPr>
      <w:ind w:left="2160"/>
    </w:pPr>
    <w:rPr>
      <w:rFonts w:eastAsia="MS Mincho"/>
    </w:rPr>
  </w:style>
  <w:style w:type="paragraph" w:customStyle="1" w:styleId="sbsl1s">
    <w:name w:val="sbsl1s"/>
    <w:basedOn w:val="sbsl1f"/>
    <w:qFormat/>
    <w:rsid w:val="005F506D"/>
    <w:pPr>
      <w:spacing w:after="100"/>
    </w:pPr>
  </w:style>
  <w:style w:type="paragraph" w:customStyle="1" w:styleId="sbsl2">
    <w:name w:val="sbsl2"/>
    <w:basedOn w:val="sbsl1"/>
    <w:qFormat/>
    <w:rsid w:val="005F506D"/>
    <w:pPr>
      <w:ind w:left="2520"/>
    </w:pPr>
  </w:style>
  <w:style w:type="paragraph" w:customStyle="1" w:styleId="sbsl2f">
    <w:name w:val="sbsl2f"/>
    <w:basedOn w:val="sbsl1f"/>
    <w:qFormat/>
    <w:rsid w:val="005F506D"/>
    <w:pPr>
      <w:ind w:left="2520"/>
    </w:pPr>
  </w:style>
  <w:style w:type="paragraph" w:customStyle="1" w:styleId="sbsl2l">
    <w:name w:val="sbsl2l"/>
    <w:basedOn w:val="sbsl1l"/>
    <w:qFormat/>
    <w:rsid w:val="005F506D"/>
    <w:pPr>
      <w:ind w:left="2520"/>
    </w:pPr>
  </w:style>
  <w:style w:type="paragraph" w:customStyle="1" w:styleId="sbsl2s">
    <w:name w:val="sbsl2s"/>
    <w:basedOn w:val="sbsl2f"/>
    <w:qFormat/>
    <w:rsid w:val="005F506D"/>
    <w:pPr>
      <w:spacing w:after="100"/>
    </w:pPr>
  </w:style>
  <w:style w:type="paragraph" w:customStyle="1" w:styleId="sbsl3">
    <w:name w:val="sbsl3"/>
    <w:basedOn w:val="sbsl1"/>
    <w:qFormat/>
    <w:rsid w:val="005F506D"/>
    <w:pPr>
      <w:ind w:left="2880"/>
    </w:pPr>
  </w:style>
  <w:style w:type="paragraph" w:customStyle="1" w:styleId="sbsl3f">
    <w:name w:val="sbsl3f"/>
    <w:basedOn w:val="sbsl1f"/>
    <w:qFormat/>
    <w:rsid w:val="005F506D"/>
    <w:pPr>
      <w:ind w:left="2880"/>
    </w:pPr>
  </w:style>
  <w:style w:type="paragraph" w:customStyle="1" w:styleId="sbsl3l">
    <w:name w:val="sbsl3l"/>
    <w:basedOn w:val="sbsl1l"/>
    <w:qFormat/>
    <w:rsid w:val="005F506D"/>
    <w:pPr>
      <w:ind w:left="2880"/>
    </w:pPr>
  </w:style>
  <w:style w:type="paragraph" w:customStyle="1" w:styleId="sbsl3s">
    <w:name w:val="sbsl3s"/>
    <w:basedOn w:val="sbsl3f"/>
    <w:qFormat/>
    <w:rsid w:val="005F506D"/>
    <w:pPr>
      <w:spacing w:after="100"/>
    </w:pPr>
  </w:style>
  <w:style w:type="paragraph" w:customStyle="1" w:styleId="sbslif">
    <w:name w:val="sbslif"/>
    <w:basedOn w:val="sbslf"/>
    <w:qFormat/>
    <w:rsid w:val="005F506D"/>
    <w:pPr>
      <w:ind w:left="2520"/>
    </w:pPr>
    <w:rPr>
      <w:rFonts w:eastAsia="MS Mincho"/>
    </w:rPr>
  </w:style>
  <w:style w:type="paragraph" w:customStyle="1" w:styleId="sbsli">
    <w:name w:val="sbsli"/>
    <w:basedOn w:val="sbslif"/>
    <w:qFormat/>
    <w:rsid w:val="005F506D"/>
    <w:pPr>
      <w:spacing w:before="0"/>
    </w:pPr>
  </w:style>
  <w:style w:type="paragraph" w:customStyle="1" w:styleId="sbslil">
    <w:name w:val="sbslil"/>
    <w:basedOn w:val="sbsli"/>
    <w:qFormat/>
    <w:rsid w:val="005F506D"/>
    <w:pPr>
      <w:spacing w:after="100"/>
    </w:pPr>
  </w:style>
  <w:style w:type="paragraph" w:customStyle="1" w:styleId="sbsls">
    <w:name w:val="sbsls"/>
    <w:basedOn w:val="sbsl"/>
    <w:qFormat/>
    <w:rsid w:val="005F506D"/>
    <w:pPr>
      <w:spacing w:before="100" w:after="100"/>
    </w:pPr>
    <w:rPr>
      <w:rFonts w:eastAsia="MS Mincho"/>
    </w:rPr>
  </w:style>
  <w:style w:type="paragraph" w:customStyle="1" w:styleId="sbslt">
    <w:name w:val="sbslt"/>
    <w:basedOn w:val="sbsl"/>
    <w:qFormat/>
    <w:rsid w:val="005F506D"/>
    <w:pPr>
      <w:spacing w:after="100"/>
      <w:ind w:firstLine="0"/>
      <w:jc w:val="right"/>
    </w:pPr>
    <w:rPr>
      <w:rFonts w:eastAsia="MS Mincho"/>
    </w:rPr>
  </w:style>
  <w:style w:type="paragraph" w:customStyle="1" w:styleId="sbul2">
    <w:name w:val="sbul2"/>
    <w:basedOn w:val="sbul1"/>
    <w:rsid w:val="005F506D"/>
    <w:pPr>
      <w:ind w:left="2520"/>
    </w:pPr>
  </w:style>
  <w:style w:type="paragraph" w:customStyle="1" w:styleId="sbul2f">
    <w:name w:val="sbul2f"/>
    <w:basedOn w:val="sbul1f"/>
    <w:rsid w:val="005F506D"/>
    <w:pPr>
      <w:ind w:left="2520"/>
    </w:pPr>
  </w:style>
  <w:style w:type="paragraph" w:customStyle="1" w:styleId="sbul2l">
    <w:name w:val="sbul2l"/>
    <w:basedOn w:val="sbul1l"/>
    <w:rsid w:val="005F506D"/>
    <w:pPr>
      <w:ind w:left="2520"/>
    </w:pPr>
  </w:style>
  <w:style w:type="paragraph" w:customStyle="1" w:styleId="sbul2p">
    <w:name w:val="sbul2p"/>
    <w:basedOn w:val="sbul2"/>
    <w:rsid w:val="005F506D"/>
    <w:pPr>
      <w:ind w:firstLine="360"/>
    </w:pPr>
    <w:rPr>
      <w:szCs w:val="24"/>
    </w:rPr>
  </w:style>
  <w:style w:type="paragraph" w:customStyle="1" w:styleId="sbul2s">
    <w:name w:val="sbul2s"/>
    <w:basedOn w:val="sbul2f"/>
    <w:rsid w:val="005F506D"/>
    <w:pPr>
      <w:spacing w:after="100"/>
    </w:pPr>
  </w:style>
  <w:style w:type="paragraph" w:customStyle="1" w:styleId="secbot">
    <w:name w:val="secbot"/>
    <w:qFormat/>
    <w:rsid w:val="005F506D"/>
    <w:pPr>
      <w:spacing w:after="0" w:line="480" w:lineRule="auto"/>
      <w:ind w:firstLine="360"/>
    </w:pPr>
    <w:rPr>
      <w:rFonts w:ascii="Times New Roman" w:eastAsia="Times New Roman" w:hAnsi="Times New Roman" w:cs="Times New Roman"/>
      <w:sz w:val="24"/>
      <w:szCs w:val="24"/>
    </w:rPr>
  </w:style>
  <w:style w:type="paragraph" w:customStyle="1" w:styleId="sectop">
    <w:name w:val="sectop"/>
    <w:qFormat/>
    <w:rsid w:val="005F506D"/>
    <w:pPr>
      <w:spacing w:after="0" w:line="480" w:lineRule="auto"/>
      <w:ind w:firstLine="360"/>
    </w:pPr>
    <w:rPr>
      <w:rFonts w:ascii="Times New Roman" w:eastAsia="Times New Roman" w:hAnsi="Times New Roman" w:cs="Times New Roman"/>
      <w:sz w:val="24"/>
      <w:szCs w:val="24"/>
    </w:rPr>
  </w:style>
  <w:style w:type="paragraph" w:customStyle="1" w:styleId="ser">
    <w:name w:val="ser"/>
    <w:basedOn w:val="Normal"/>
    <w:uiPriority w:val="99"/>
    <w:rsid w:val="005F506D"/>
    <w:pPr>
      <w:widowControl w:val="0"/>
      <w:suppressAutoHyphens/>
      <w:autoSpaceDE w:val="0"/>
      <w:autoSpaceDN w:val="0"/>
      <w:adjustRightInd w:val="0"/>
      <w:spacing w:line="360" w:lineRule="auto"/>
      <w:ind w:firstLine="0"/>
      <w:textAlignment w:val="center"/>
    </w:pPr>
    <w:rPr>
      <w:rFonts w:ascii="Times New Roman" w:eastAsia="Times New Roman" w:hAnsi="Times New Roman" w:cs="Times New Roman"/>
      <w:color w:val="000000"/>
      <w:kern w:val="24"/>
      <w:sz w:val="24"/>
      <w:szCs w:val="24"/>
    </w:rPr>
  </w:style>
  <w:style w:type="paragraph" w:customStyle="1" w:styleId="ser1">
    <w:name w:val="ser1"/>
    <w:basedOn w:val="p"/>
    <w:rsid w:val="005F506D"/>
  </w:style>
  <w:style w:type="paragraph" w:customStyle="1" w:styleId="ser2">
    <w:name w:val="ser2"/>
    <w:basedOn w:val="p"/>
    <w:rsid w:val="005F506D"/>
    <w:pPr>
      <w:ind w:left="720"/>
    </w:pPr>
  </w:style>
  <w:style w:type="paragraph" w:customStyle="1" w:styleId="serp">
    <w:name w:val="serp"/>
    <w:basedOn w:val="ser"/>
    <w:uiPriority w:val="99"/>
    <w:qFormat/>
    <w:rsid w:val="005F506D"/>
    <w:pPr>
      <w:ind w:firstLine="720"/>
    </w:pPr>
  </w:style>
  <w:style w:type="paragraph" w:customStyle="1" w:styleId="seraft">
    <w:name w:val="seraft"/>
    <w:basedOn w:val="serp"/>
    <w:rsid w:val="005F506D"/>
    <w:pPr>
      <w:ind w:firstLine="0"/>
    </w:pPr>
    <w:rPr>
      <w:rFonts w:eastAsia="MS Mincho"/>
    </w:rPr>
  </w:style>
  <w:style w:type="paragraph" w:customStyle="1" w:styleId="serah">
    <w:name w:val="serah"/>
    <w:basedOn w:val="Normal"/>
    <w:uiPriority w:val="99"/>
    <w:rsid w:val="005F506D"/>
    <w:pPr>
      <w:widowControl w:val="0"/>
      <w:suppressAutoHyphens/>
      <w:autoSpaceDE w:val="0"/>
      <w:autoSpaceDN w:val="0"/>
      <w:adjustRightInd w:val="0"/>
      <w:spacing w:before="100" w:line="360" w:lineRule="auto"/>
      <w:ind w:firstLine="0"/>
      <w:textAlignment w:val="center"/>
    </w:pPr>
    <w:rPr>
      <w:rFonts w:ascii="Arial" w:eastAsia="Times New Roman" w:hAnsi="Arial" w:cs="Times New Roman"/>
      <w:color w:val="000000"/>
      <w:kern w:val="24"/>
      <w:sz w:val="28"/>
      <w:szCs w:val="24"/>
    </w:rPr>
  </w:style>
  <w:style w:type="paragraph" w:customStyle="1" w:styleId="serahaft">
    <w:name w:val="serahaft"/>
    <w:basedOn w:val="serah"/>
    <w:qFormat/>
    <w:rsid w:val="005F506D"/>
    <w:pPr>
      <w:spacing w:before="0"/>
    </w:pPr>
  </w:style>
  <w:style w:type="paragraph" w:customStyle="1" w:styleId="serau">
    <w:name w:val="serau"/>
    <w:basedOn w:val="Normal"/>
    <w:rsid w:val="005F506D"/>
    <w:pPr>
      <w:widowControl w:val="0"/>
      <w:suppressAutoHyphens/>
      <w:autoSpaceDE w:val="0"/>
      <w:autoSpaceDN w:val="0"/>
      <w:adjustRightInd w:val="0"/>
      <w:spacing w:after="100" w:line="360" w:lineRule="auto"/>
      <w:ind w:firstLine="0"/>
      <w:textAlignment w:val="center"/>
    </w:pPr>
    <w:rPr>
      <w:rFonts w:ascii="Times New Roman" w:eastAsia="Times New Roman" w:hAnsi="Times New Roman" w:cs="Times New Roman"/>
      <w:color w:val="000000"/>
      <w:kern w:val="24"/>
      <w:sz w:val="24"/>
      <w:szCs w:val="24"/>
    </w:rPr>
  </w:style>
  <w:style w:type="paragraph" w:customStyle="1" w:styleId="serbh">
    <w:name w:val="serbh"/>
    <w:basedOn w:val="p"/>
    <w:uiPriority w:val="99"/>
    <w:rsid w:val="005F506D"/>
    <w:pPr>
      <w:spacing w:before="100"/>
      <w:ind w:firstLine="0"/>
    </w:pPr>
    <w:rPr>
      <w:rFonts w:ascii="Arial" w:hAnsi="Arial"/>
    </w:rPr>
  </w:style>
  <w:style w:type="paragraph" w:customStyle="1" w:styleId="serf">
    <w:name w:val="serf"/>
    <w:basedOn w:val="ser"/>
    <w:rsid w:val="005F506D"/>
    <w:pPr>
      <w:spacing w:before="240"/>
    </w:pPr>
  </w:style>
  <w:style w:type="paragraph" w:customStyle="1" w:styleId="serpf">
    <w:name w:val="serpf"/>
    <w:basedOn w:val="serp"/>
    <w:qFormat/>
    <w:rsid w:val="005F506D"/>
    <w:pPr>
      <w:spacing w:before="240"/>
      <w:ind w:firstLine="0"/>
    </w:pPr>
  </w:style>
  <w:style w:type="paragraph" w:customStyle="1" w:styleId="sers">
    <w:name w:val="sers"/>
    <w:basedOn w:val="Normal"/>
    <w:rsid w:val="005F506D"/>
    <w:pPr>
      <w:widowControl w:val="0"/>
      <w:suppressAutoHyphens/>
      <w:autoSpaceDE w:val="0"/>
      <w:autoSpaceDN w:val="0"/>
      <w:adjustRightInd w:val="0"/>
      <w:spacing w:line="360" w:lineRule="auto"/>
      <w:ind w:firstLine="0"/>
      <w:textAlignment w:val="center"/>
    </w:pPr>
    <w:rPr>
      <w:rFonts w:ascii="Times Semibold" w:eastAsia="Times New Roman" w:hAnsi="Times Semibold" w:cs="Times New Roman"/>
      <w:color w:val="000000"/>
      <w:kern w:val="24"/>
      <w:sz w:val="24"/>
      <w:szCs w:val="24"/>
    </w:rPr>
  </w:style>
  <w:style w:type="paragraph" w:customStyle="1" w:styleId="sert">
    <w:name w:val="sert"/>
    <w:basedOn w:val="Normal"/>
    <w:uiPriority w:val="99"/>
    <w:rsid w:val="005F506D"/>
    <w:pPr>
      <w:widowControl w:val="0"/>
      <w:suppressAutoHyphens/>
      <w:autoSpaceDE w:val="0"/>
      <w:autoSpaceDN w:val="0"/>
      <w:adjustRightInd w:val="0"/>
      <w:spacing w:line="360" w:lineRule="auto"/>
      <w:ind w:firstLine="0"/>
      <w:textAlignment w:val="center"/>
    </w:pPr>
    <w:rPr>
      <w:rFonts w:ascii="Times New Roman" w:eastAsia="Times New Roman" w:hAnsi="Times New Roman" w:cs="Times New Roman"/>
      <w:color w:val="000000"/>
      <w:kern w:val="24"/>
      <w:sz w:val="40"/>
      <w:szCs w:val="24"/>
    </w:rPr>
  </w:style>
  <w:style w:type="paragraph" w:customStyle="1" w:styleId="sh">
    <w:name w:val="sh"/>
    <w:basedOn w:val="pt"/>
    <w:qFormat/>
    <w:rsid w:val="005F506D"/>
    <w:pPr>
      <w:outlineLvl w:val="8"/>
    </w:pPr>
  </w:style>
  <w:style w:type="paragraph" w:customStyle="1" w:styleId="sl1">
    <w:name w:val="sl1"/>
    <w:basedOn w:val="sl"/>
    <w:qFormat/>
    <w:rsid w:val="005F506D"/>
    <w:pPr>
      <w:ind w:left="1080"/>
    </w:pPr>
  </w:style>
  <w:style w:type="paragraph" w:customStyle="1" w:styleId="sl1f">
    <w:name w:val="sl1f"/>
    <w:basedOn w:val="sl1"/>
    <w:next w:val="sl1"/>
    <w:qFormat/>
    <w:rsid w:val="005F506D"/>
    <w:pPr>
      <w:spacing w:before="100"/>
    </w:pPr>
  </w:style>
  <w:style w:type="paragraph" w:customStyle="1" w:styleId="sl1l">
    <w:name w:val="sl1l"/>
    <w:basedOn w:val="sl1f"/>
    <w:qFormat/>
    <w:rsid w:val="005F506D"/>
    <w:pPr>
      <w:spacing w:before="0" w:after="100"/>
    </w:pPr>
  </w:style>
  <w:style w:type="paragraph" w:customStyle="1" w:styleId="sl2">
    <w:name w:val="sl2"/>
    <w:basedOn w:val="sl1"/>
    <w:qFormat/>
    <w:rsid w:val="005F506D"/>
    <w:pPr>
      <w:ind w:left="1440"/>
    </w:pPr>
  </w:style>
  <w:style w:type="paragraph" w:customStyle="1" w:styleId="sl2f">
    <w:name w:val="sl2f"/>
    <w:basedOn w:val="sl2"/>
    <w:next w:val="sl2"/>
    <w:qFormat/>
    <w:rsid w:val="005F506D"/>
    <w:pPr>
      <w:spacing w:before="100"/>
    </w:pPr>
  </w:style>
  <w:style w:type="paragraph" w:customStyle="1" w:styleId="sl2l">
    <w:name w:val="sl2l"/>
    <w:basedOn w:val="sl2f"/>
    <w:qFormat/>
    <w:rsid w:val="005F506D"/>
    <w:pPr>
      <w:spacing w:before="0" w:after="100"/>
    </w:pPr>
  </w:style>
  <w:style w:type="paragraph" w:customStyle="1" w:styleId="sl3">
    <w:name w:val="sl3"/>
    <w:basedOn w:val="sl2"/>
    <w:qFormat/>
    <w:rsid w:val="005F506D"/>
    <w:pPr>
      <w:ind w:left="1800"/>
    </w:pPr>
  </w:style>
  <w:style w:type="paragraph" w:customStyle="1" w:styleId="sl3f">
    <w:name w:val="sl3f"/>
    <w:basedOn w:val="sl3"/>
    <w:next w:val="sl3"/>
    <w:qFormat/>
    <w:rsid w:val="005F506D"/>
    <w:pPr>
      <w:spacing w:before="100"/>
    </w:pPr>
  </w:style>
  <w:style w:type="paragraph" w:customStyle="1" w:styleId="sl3l">
    <w:name w:val="sl3l"/>
    <w:basedOn w:val="sl3f"/>
    <w:qFormat/>
    <w:rsid w:val="005F506D"/>
    <w:pPr>
      <w:spacing w:before="0" w:after="100"/>
    </w:pPr>
  </w:style>
  <w:style w:type="paragraph" w:customStyle="1" w:styleId="sl4">
    <w:name w:val="sl4"/>
    <w:basedOn w:val="sl1"/>
    <w:qFormat/>
    <w:rsid w:val="005F506D"/>
    <w:pPr>
      <w:ind w:left="2160" w:right="2160"/>
    </w:pPr>
    <w:rPr>
      <w:rFonts w:eastAsia="MS Mincho"/>
    </w:rPr>
  </w:style>
  <w:style w:type="paragraph" w:customStyle="1" w:styleId="sl4f">
    <w:name w:val="sl4f"/>
    <w:basedOn w:val="sl1f"/>
    <w:next w:val="sl4"/>
    <w:qFormat/>
    <w:rsid w:val="005F506D"/>
    <w:pPr>
      <w:ind w:left="2160" w:right="2160"/>
    </w:pPr>
    <w:rPr>
      <w:rFonts w:eastAsia="MS Mincho"/>
    </w:rPr>
  </w:style>
  <w:style w:type="paragraph" w:customStyle="1" w:styleId="sl4l">
    <w:name w:val="sl4l"/>
    <w:basedOn w:val="sl1l"/>
    <w:qFormat/>
    <w:rsid w:val="005F506D"/>
    <w:pPr>
      <w:ind w:left="2160" w:right="2160"/>
    </w:pPr>
    <w:rPr>
      <w:rFonts w:eastAsia="MS Mincho"/>
    </w:rPr>
  </w:style>
  <w:style w:type="paragraph" w:customStyle="1" w:styleId="sl5">
    <w:name w:val="sl5"/>
    <w:basedOn w:val="sl4"/>
    <w:qFormat/>
    <w:rsid w:val="005F506D"/>
    <w:pPr>
      <w:ind w:left="2520" w:right="2520"/>
    </w:pPr>
  </w:style>
  <w:style w:type="paragraph" w:customStyle="1" w:styleId="sl5f">
    <w:name w:val="sl5f"/>
    <w:basedOn w:val="sl4f"/>
    <w:next w:val="sl5"/>
    <w:qFormat/>
    <w:rsid w:val="005F506D"/>
    <w:pPr>
      <w:ind w:left="2520" w:right="2520"/>
    </w:pPr>
  </w:style>
  <w:style w:type="paragraph" w:customStyle="1" w:styleId="sl5l">
    <w:name w:val="sl5l"/>
    <w:basedOn w:val="sl4l"/>
    <w:qFormat/>
    <w:rsid w:val="005F506D"/>
    <w:pPr>
      <w:ind w:left="2520" w:right="2520"/>
    </w:pPr>
  </w:style>
  <w:style w:type="paragraph" w:customStyle="1" w:styleId="sl6">
    <w:name w:val="sl6"/>
    <w:basedOn w:val="sl4"/>
    <w:qFormat/>
    <w:rsid w:val="005F506D"/>
    <w:pPr>
      <w:ind w:left="2880" w:right="2880"/>
    </w:pPr>
  </w:style>
  <w:style w:type="paragraph" w:customStyle="1" w:styleId="sl6f">
    <w:name w:val="sl6f"/>
    <w:basedOn w:val="sl4f"/>
    <w:next w:val="sl6"/>
    <w:qFormat/>
    <w:rsid w:val="005F506D"/>
    <w:pPr>
      <w:ind w:left="2880" w:right="2880"/>
    </w:pPr>
  </w:style>
  <w:style w:type="paragraph" w:customStyle="1" w:styleId="sl6l">
    <w:name w:val="sl6l"/>
    <w:basedOn w:val="sl4l"/>
    <w:qFormat/>
    <w:rsid w:val="005F506D"/>
    <w:pPr>
      <w:ind w:left="2880" w:right="2880"/>
    </w:pPr>
  </w:style>
  <w:style w:type="paragraph" w:customStyle="1" w:styleId="sl7">
    <w:name w:val="sl7"/>
    <w:basedOn w:val="sl4"/>
    <w:qFormat/>
    <w:rsid w:val="005F506D"/>
    <w:pPr>
      <w:ind w:left="3240" w:right="3240"/>
    </w:pPr>
  </w:style>
  <w:style w:type="paragraph" w:customStyle="1" w:styleId="sl7f">
    <w:name w:val="sl7f"/>
    <w:basedOn w:val="sl4f"/>
    <w:next w:val="sl7"/>
    <w:qFormat/>
    <w:rsid w:val="005F506D"/>
    <w:pPr>
      <w:ind w:left="3240" w:right="3240"/>
    </w:pPr>
  </w:style>
  <w:style w:type="paragraph" w:customStyle="1" w:styleId="sl7l">
    <w:name w:val="sl7l"/>
    <w:basedOn w:val="sl4l"/>
    <w:qFormat/>
    <w:rsid w:val="005F506D"/>
    <w:pPr>
      <w:ind w:left="3240" w:right="3240"/>
    </w:pPr>
  </w:style>
  <w:style w:type="paragraph" w:customStyle="1" w:styleId="sl8">
    <w:name w:val="sl8"/>
    <w:basedOn w:val="sl4"/>
    <w:qFormat/>
    <w:rsid w:val="005F506D"/>
    <w:pPr>
      <w:ind w:left="3600" w:right="2880"/>
    </w:pPr>
  </w:style>
  <w:style w:type="paragraph" w:customStyle="1" w:styleId="sl8f">
    <w:name w:val="sl8f"/>
    <w:basedOn w:val="sl4f"/>
    <w:next w:val="sl8"/>
    <w:qFormat/>
    <w:rsid w:val="005F506D"/>
    <w:pPr>
      <w:ind w:left="3600" w:right="2880"/>
    </w:pPr>
  </w:style>
  <w:style w:type="paragraph" w:customStyle="1" w:styleId="sl8l">
    <w:name w:val="sl8l"/>
    <w:basedOn w:val="sl4l"/>
    <w:qFormat/>
    <w:rsid w:val="005F506D"/>
    <w:pPr>
      <w:ind w:left="3600" w:right="2880"/>
    </w:pPr>
  </w:style>
  <w:style w:type="paragraph" w:customStyle="1" w:styleId="sl9f">
    <w:name w:val="sl9f"/>
    <w:basedOn w:val="sl4f"/>
    <w:next w:val="Normal"/>
    <w:qFormat/>
    <w:rsid w:val="005F506D"/>
    <w:pPr>
      <w:ind w:left="3960"/>
    </w:pPr>
  </w:style>
  <w:style w:type="paragraph" w:customStyle="1" w:styleId="sl9">
    <w:name w:val="sl9"/>
    <w:basedOn w:val="sl9f"/>
    <w:qFormat/>
    <w:rsid w:val="005F506D"/>
    <w:pPr>
      <w:spacing w:before="0"/>
    </w:pPr>
  </w:style>
  <w:style w:type="paragraph" w:customStyle="1" w:styleId="sl9l">
    <w:name w:val="sl9l"/>
    <w:basedOn w:val="sl4l"/>
    <w:qFormat/>
    <w:rsid w:val="005F506D"/>
    <w:pPr>
      <w:ind w:left="3960"/>
    </w:pPr>
  </w:style>
  <w:style w:type="paragraph" w:customStyle="1" w:styleId="slh">
    <w:name w:val="slh"/>
    <w:basedOn w:val="sbh"/>
    <w:qFormat/>
    <w:rsid w:val="005F506D"/>
    <w:pPr>
      <w:spacing w:before="100" w:after="40" w:line="240" w:lineRule="auto"/>
    </w:pPr>
    <w:rPr>
      <w:sz w:val="28"/>
    </w:rPr>
  </w:style>
  <w:style w:type="paragraph" w:customStyle="1" w:styleId="slif">
    <w:name w:val="slif"/>
    <w:basedOn w:val="sl"/>
    <w:next w:val="Normal"/>
    <w:qFormat/>
    <w:rsid w:val="005F506D"/>
    <w:pPr>
      <w:spacing w:before="240"/>
      <w:ind w:left="4320" w:firstLine="720"/>
    </w:pPr>
  </w:style>
  <w:style w:type="paragraph" w:customStyle="1" w:styleId="sli">
    <w:name w:val="sli"/>
    <w:basedOn w:val="slif"/>
    <w:qFormat/>
    <w:rsid w:val="005F506D"/>
    <w:pPr>
      <w:spacing w:before="0"/>
    </w:pPr>
    <w:rPr>
      <w:rFonts w:eastAsia="MS Mincho"/>
    </w:rPr>
  </w:style>
  <w:style w:type="paragraph" w:customStyle="1" w:styleId="slil">
    <w:name w:val="slil"/>
    <w:basedOn w:val="slif"/>
    <w:qFormat/>
    <w:rsid w:val="005F506D"/>
    <w:pPr>
      <w:spacing w:before="0" w:after="240"/>
    </w:pPr>
    <w:rPr>
      <w:rFonts w:eastAsia="MS Mincho"/>
    </w:rPr>
  </w:style>
  <w:style w:type="paragraph" w:customStyle="1" w:styleId="sll">
    <w:name w:val="sll"/>
    <w:basedOn w:val="sl"/>
    <w:rsid w:val="005F506D"/>
    <w:pPr>
      <w:spacing w:after="240"/>
    </w:pPr>
  </w:style>
  <w:style w:type="paragraph" w:customStyle="1" w:styleId="sls">
    <w:name w:val="sls"/>
    <w:basedOn w:val="sl"/>
    <w:rsid w:val="005F506D"/>
    <w:pPr>
      <w:spacing w:before="100" w:after="100"/>
    </w:pPr>
  </w:style>
  <w:style w:type="paragraph" w:customStyle="1" w:styleId="slt">
    <w:name w:val="slt"/>
    <w:basedOn w:val="ept"/>
    <w:qFormat/>
    <w:rsid w:val="005F506D"/>
    <w:rPr>
      <w:sz w:val="20"/>
    </w:rPr>
  </w:style>
  <w:style w:type="character" w:customStyle="1" w:styleId="sm">
    <w:name w:val="sm"/>
    <w:rsid w:val="005F506D"/>
    <w:rPr>
      <w:rFonts w:ascii="Times New Roman" w:hAnsi="Times New Roman"/>
      <w:caps w:val="0"/>
      <w:smallCaps/>
      <w:color w:val="800000"/>
      <w:sz w:val="24"/>
      <w:szCs w:val="24"/>
      <w:bdr w:val="none" w:sz="0" w:space="0" w:color="auto"/>
    </w:rPr>
  </w:style>
  <w:style w:type="character" w:customStyle="1" w:styleId="SmallCaps">
    <w:name w:val="Small Caps"/>
    <w:rsid w:val="005F506D"/>
    <w:rPr>
      <w:smallCaps/>
    </w:rPr>
  </w:style>
  <w:style w:type="character" w:customStyle="1" w:styleId="sm-b">
    <w:name w:val="sm-b"/>
    <w:rsid w:val="005F506D"/>
    <w:rPr>
      <w:b/>
      <w:smallCaps/>
      <w:color w:val="800000"/>
    </w:rPr>
  </w:style>
  <w:style w:type="character" w:customStyle="1" w:styleId="sm-bi">
    <w:name w:val="sm-bi"/>
    <w:rsid w:val="005F506D"/>
    <w:rPr>
      <w:b/>
      <w:i/>
      <w:smallCaps/>
      <w:color w:val="800000"/>
      <w:u w:val="none"/>
    </w:rPr>
  </w:style>
  <w:style w:type="character" w:customStyle="1" w:styleId="sm-i">
    <w:name w:val="sm-i"/>
    <w:rsid w:val="005F506D"/>
    <w:rPr>
      <w:rFonts w:ascii="Times New Roman" w:hAnsi="Times New Roman"/>
      <w:i/>
      <w:caps w:val="0"/>
      <w:smallCaps/>
      <w:color w:val="800000"/>
      <w:sz w:val="24"/>
      <w:szCs w:val="20"/>
      <w:bdr w:val="none" w:sz="0" w:space="0" w:color="auto"/>
    </w:rPr>
  </w:style>
  <w:style w:type="character" w:customStyle="1" w:styleId="sm-ob">
    <w:name w:val="sm-ob"/>
    <w:uiPriority w:val="1"/>
    <w:qFormat/>
    <w:rsid w:val="005F506D"/>
    <w:rPr>
      <w:rFonts w:ascii="Arial" w:hAnsi="Arial"/>
      <w:i/>
      <w:iCs/>
      <w:caps w:val="0"/>
      <w:smallCaps/>
      <w:color w:val="800000"/>
      <w:sz w:val="20"/>
      <w:szCs w:val="20"/>
      <w:bdr w:val="none" w:sz="0" w:space="0" w:color="auto"/>
    </w:rPr>
  </w:style>
  <w:style w:type="character" w:customStyle="1" w:styleId="smver">
    <w:name w:val="smver"/>
    <w:uiPriority w:val="1"/>
    <w:qFormat/>
    <w:rsid w:val="005F506D"/>
    <w:rPr>
      <w:rFonts w:ascii="Times New Roman" w:hAnsi="Times New Roman"/>
      <w:caps/>
      <w:smallCaps w:val="0"/>
      <w:color w:val="800000"/>
      <w:sz w:val="24"/>
      <w:szCs w:val="24"/>
      <w:bdr w:val="none" w:sz="0" w:space="0" w:color="auto"/>
      <w:vertAlign w:val="superscript"/>
    </w:rPr>
  </w:style>
  <w:style w:type="character" w:customStyle="1" w:styleId="speaker">
    <w:name w:val="speaker"/>
    <w:uiPriority w:val="1"/>
    <w:qFormat/>
    <w:rsid w:val="005F506D"/>
    <w:rPr>
      <w:rFonts w:ascii="Arial" w:eastAsia="MS Mincho" w:hAnsi="Arial"/>
      <w:color w:val="C0504D"/>
    </w:rPr>
  </w:style>
  <w:style w:type="character" w:customStyle="1" w:styleId="speaker-i">
    <w:name w:val="speaker-i"/>
    <w:uiPriority w:val="1"/>
    <w:qFormat/>
    <w:rsid w:val="005F506D"/>
    <w:rPr>
      <w:rFonts w:ascii="Arial" w:eastAsia="MS Mincho" w:hAnsi="Arial"/>
      <w:i/>
      <w:color w:val="C0504D"/>
    </w:rPr>
  </w:style>
  <w:style w:type="paragraph" w:customStyle="1" w:styleId="st">
    <w:name w:val="st"/>
    <w:qFormat/>
    <w:rsid w:val="005F506D"/>
    <w:pPr>
      <w:spacing w:after="0" w:line="480" w:lineRule="auto"/>
      <w:ind w:firstLine="720"/>
    </w:pPr>
    <w:rPr>
      <w:rFonts w:ascii="Times New Roman" w:eastAsia="Times New Roman" w:hAnsi="Times New Roman" w:cs="Times New Roman"/>
      <w:sz w:val="24"/>
      <w:szCs w:val="24"/>
    </w:rPr>
  </w:style>
  <w:style w:type="paragraph" w:customStyle="1" w:styleId="stf">
    <w:name w:val="stf"/>
    <w:qFormat/>
    <w:rsid w:val="005F506D"/>
    <w:pPr>
      <w:spacing w:before="100" w:after="0" w:line="480" w:lineRule="auto"/>
      <w:ind w:left="720" w:right="720"/>
    </w:pPr>
    <w:rPr>
      <w:rFonts w:ascii="Times New Roman" w:eastAsia="Times New Roman" w:hAnsi="Times New Roman" w:cs="Times New Roman"/>
      <w:sz w:val="24"/>
      <w:szCs w:val="24"/>
    </w:rPr>
  </w:style>
  <w:style w:type="paragraph" w:customStyle="1" w:styleId="sth">
    <w:name w:val="sth"/>
    <w:qFormat/>
    <w:rsid w:val="005F506D"/>
    <w:pPr>
      <w:spacing w:after="0" w:line="480" w:lineRule="auto"/>
      <w:jc w:val="center"/>
      <w:outlineLvl w:val="8"/>
    </w:pPr>
    <w:rPr>
      <w:rFonts w:ascii="Times New Roman" w:eastAsia="Times New Roman" w:hAnsi="Times New Roman" w:cs="Times New Roman"/>
      <w:sz w:val="40"/>
      <w:szCs w:val="24"/>
    </w:rPr>
  </w:style>
  <w:style w:type="paragraph" w:customStyle="1" w:styleId="sth1">
    <w:name w:val="sth1"/>
    <w:basedOn w:val="sth"/>
    <w:qFormat/>
    <w:rsid w:val="005F506D"/>
    <w:rPr>
      <w:rFonts w:eastAsia="MS Mincho"/>
      <w:sz w:val="32"/>
    </w:rPr>
  </w:style>
  <w:style w:type="paragraph" w:customStyle="1" w:styleId="sth2">
    <w:name w:val="sth2"/>
    <w:basedOn w:val="sth1"/>
    <w:qFormat/>
    <w:rsid w:val="005F506D"/>
    <w:rPr>
      <w:sz w:val="28"/>
    </w:rPr>
  </w:style>
  <w:style w:type="paragraph" w:customStyle="1" w:styleId="stl">
    <w:name w:val="stl"/>
    <w:qFormat/>
    <w:rsid w:val="005F506D"/>
    <w:pPr>
      <w:spacing w:after="100" w:line="480" w:lineRule="auto"/>
      <w:ind w:left="720" w:right="720"/>
    </w:pPr>
    <w:rPr>
      <w:rFonts w:ascii="Times New Roman" w:eastAsia="Times New Roman" w:hAnsi="Times New Roman" w:cs="Times New Roman"/>
      <w:sz w:val="24"/>
      <w:szCs w:val="24"/>
    </w:rPr>
  </w:style>
  <w:style w:type="character" w:customStyle="1" w:styleId="strk">
    <w:name w:val="strk"/>
    <w:rsid w:val="005F506D"/>
    <w:rPr>
      <w:strike/>
      <w:dstrike w:val="0"/>
    </w:rPr>
  </w:style>
  <w:style w:type="paragraph" w:customStyle="1" w:styleId="structure">
    <w:name w:val="structure"/>
    <w:basedOn w:val="ah"/>
    <w:qFormat/>
    <w:rsid w:val="005F506D"/>
    <w:rPr>
      <w:rFonts w:eastAsia="MS Mincho"/>
      <w:color w:val="BFBFBF"/>
      <w:sz w:val="24"/>
    </w:rPr>
  </w:style>
  <w:style w:type="paragraph" w:customStyle="1" w:styleId="sts">
    <w:name w:val="sts"/>
    <w:qFormat/>
    <w:rsid w:val="005F506D"/>
    <w:pPr>
      <w:spacing w:before="100" w:after="100" w:line="480" w:lineRule="auto"/>
      <w:ind w:left="720" w:right="720"/>
    </w:pPr>
    <w:rPr>
      <w:rFonts w:ascii="Times New Roman" w:eastAsia="Times New Roman" w:hAnsi="Times New Roman" w:cs="Times New Roman"/>
      <w:sz w:val="24"/>
      <w:szCs w:val="24"/>
    </w:rPr>
  </w:style>
  <w:style w:type="character" w:customStyle="1" w:styleId="sub">
    <w:name w:val="sub"/>
    <w:rsid w:val="005F506D"/>
    <w:rPr>
      <w:color w:val="800080"/>
      <w:sz w:val="24"/>
      <w:szCs w:val="24"/>
      <w:bdr w:val="none" w:sz="0" w:space="0" w:color="auto"/>
      <w:vertAlign w:val="subscript"/>
    </w:rPr>
  </w:style>
  <w:style w:type="character" w:customStyle="1" w:styleId="sub-b">
    <w:name w:val="sub-b"/>
    <w:rsid w:val="005F506D"/>
    <w:rPr>
      <w:b/>
      <w:color w:val="FF00FF"/>
      <w:sz w:val="24"/>
      <w:szCs w:val="24"/>
      <w:bdr w:val="none" w:sz="0" w:space="0" w:color="auto"/>
      <w:vertAlign w:val="subscript"/>
    </w:rPr>
  </w:style>
  <w:style w:type="character" w:customStyle="1" w:styleId="sub-bi">
    <w:name w:val="sub-bi"/>
    <w:qFormat/>
    <w:rsid w:val="005F506D"/>
    <w:rPr>
      <w:b/>
      <w:i/>
      <w:color w:val="F79646"/>
      <w:sz w:val="24"/>
      <w:szCs w:val="24"/>
      <w:bdr w:val="none" w:sz="0" w:space="0" w:color="auto"/>
      <w:vertAlign w:val="subscript"/>
    </w:rPr>
  </w:style>
  <w:style w:type="character" w:customStyle="1" w:styleId="sub-i">
    <w:name w:val="sub-i"/>
    <w:rsid w:val="005F506D"/>
    <w:rPr>
      <w:i/>
      <w:color w:val="008000"/>
      <w:sz w:val="24"/>
      <w:szCs w:val="24"/>
      <w:bdr w:val="none" w:sz="0" w:space="0" w:color="auto"/>
      <w:vertAlign w:val="subscript"/>
    </w:rPr>
  </w:style>
  <w:style w:type="character" w:customStyle="1" w:styleId="sub-u">
    <w:name w:val="sub-u"/>
    <w:uiPriority w:val="1"/>
    <w:qFormat/>
    <w:rsid w:val="005F506D"/>
    <w:rPr>
      <w:rFonts w:ascii="Times New Roman" w:hAnsi="Times New Roman"/>
      <w:color w:val="4BACC6"/>
      <w:u w:val="single"/>
      <w:vertAlign w:val="subscript"/>
    </w:rPr>
  </w:style>
  <w:style w:type="character" w:customStyle="1" w:styleId="sup">
    <w:name w:val="sup"/>
    <w:rsid w:val="005F506D"/>
    <w:rPr>
      <w:color w:val="800080"/>
      <w:sz w:val="24"/>
      <w:szCs w:val="24"/>
      <w:bdr w:val="none" w:sz="0" w:space="0" w:color="auto"/>
      <w:vertAlign w:val="superscript"/>
    </w:rPr>
  </w:style>
  <w:style w:type="character" w:customStyle="1" w:styleId="sup-b">
    <w:name w:val="sup-b"/>
    <w:rsid w:val="005F506D"/>
    <w:rPr>
      <w:b/>
      <w:color w:val="FF00FF"/>
      <w:sz w:val="24"/>
      <w:szCs w:val="24"/>
      <w:bdr w:val="none" w:sz="0" w:space="0" w:color="auto"/>
      <w:vertAlign w:val="superscript"/>
    </w:rPr>
  </w:style>
  <w:style w:type="character" w:customStyle="1" w:styleId="sup-bi">
    <w:name w:val="sup-bi"/>
    <w:qFormat/>
    <w:rsid w:val="005F506D"/>
    <w:rPr>
      <w:b/>
      <w:bCs/>
      <w:i/>
      <w:color w:val="F79646"/>
      <w:sz w:val="24"/>
      <w:szCs w:val="24"/>
      <w:bdr w:val="none" w:sz="0" w:space="0" w:color="auto"/>
      <w:vertAlign w:val="superscript"/>
    </w:rPr>
  </w:style>
  <w:style w:type="character" w:customStyle="1" w:styleId="sup-i">
    <w:name w:val="sup-i"/>
    <w:rsid w:val="005F506D"/>
    <w:rPr>
      <w:i/>
      <w:color w:val="008000"/>
      <w:sz w:val="24"/>
      <w:szCs w:val="24"/>
      <w:bdr w:val="none" w:sz="0" w:space="0" w:color="auto"/>
      <w:vertAlign w:val="superscript"/>
    </w:rPr>
  </w:style>
  <w:style w:type="character" w:customStyle="1" w:styleId="sup-u">
    <w:name w:val="sup-u"/>
    <w:uiPriority w:val="1"/>
    <w:qFormat/>
    <w:rsid w:val="005F506D"/>
    <w:rPr>
      <w:rFonts w:ascii="Times New Roman" w:hAnsi="Times New Roman"/>
      <w:color w:val="4BACC6"/>
      <w:u w:val="single"/>
      <w:vertAlign w:val="superscript"/>
    </w:rPr>
  </w:style>
  <w:style w:type="character" w:customStyle="1" w:styleId="symb">
    <w:name w:val="symb"/>
    <w:rsid w:val="005F506D"/>
    <w:rPr>
      <w:rFonts w:ascii="Symbol" w:hAnsi="Symbol"/>
      <w:color w:val="auto"/>
      <w:bdr w:val="none" w:sz="0" w:space="0" w:color="auto"/>
    </w:rPr>
  </w:style>
  <w:style w:type="character" w:customStyle="1" w:styleId="symb-b">
    <w:name w:val="symb-b"/>
    <w:rsid w:val="005F506D"/>
    <w:rPr>
      <w:rFonts w:ascii="Symbol" w:hAnsi="Symbol"/>
      <w:b/>
      <w:color w:val="FF00FF"/>
      <w:bdr w:val="none" w:sz="0" w:space="0" w:color="auto"/>
    </w:rPr>
  </w:style>
  <w:style w:type="character" w:customStyle="1" w:styleId="symb-i">
    <w:name w:val="symb-i"/>
    <w:rsid w:val="005F506D"/>
    <w:rPr>
      <w:rFonts w:ascii="Symbol" w:hAnsi="Symbol"/>
      <w:i/>
      <w:color w:val="008000"/>
      <w:bdr w:val="none" w:sz="0" w:space="0" w:color="auto"/>
    </w:rPr>
  </w:style>
  <w:style w:type="character" w:customStyle="1" w:styleId="symb-sub">
    <w:name w:val="symb-sub"/>
    <w:rsid w:val="005F506D"/>
    <w:rPr>
      <w:rFonts w:ascii="Symbol" w:hAnsi="Symbol"/>
      <w:color w:val="auto"/>
      <w:szCs w:val="24"/>
      <w:bdr w:val="none" w:sz="0" w:space="0" w:color="auto"/>
      <w:vertAlign w:val="subscript"/>
    </w:rPr>
  </w:style>
  <w:style w:type="character" w:customStyle="1" w:styleId="symb-sub-b">
    <w:name w:val="symb-sub-b"/>
    <w:uiPriority w:val="1"/>
    <w:qFormat/>
    <w:rsid w:val="005F506D"/>
    <w:rPr>
      <w:rFonts w:ascii="Symbol" w:hAnsi="Symbol"/>
      <w:b/>
      <w:bCs/>
      <w:color w:val="FF00FF"/>
      <w:bdr w:val="none" w:sz="0" w:space="0" w:color="auto"/>
      <w:vertAlign w:val="subscript"/>
    </w:rPr>
  </w:style>
  <w:style w:type="character" w:customStyle="1" w:styleId="symb-sub-bi">
    <w:name w:val="symb-sub-bi"/>
    <w:uiPriority w:val="1"/>
    <w:qFormat/>
    <w:rsid w:val="005F506D"/>
    <w:rPr>
      <w:rFonts w:ascii="Symbol" w:eastAsia="MS Mincho" w:hAnsi="Symbol"/>
      <w:b/>
      <w:bCs/>
      <w:i/>
      <w:color w:val="FF00FF"/>
      <w:bdr w:val="none" w:sz="0" w:space="0" w:color="auto"/>
      <w:vertAlign w:val="subscript"/>
    </w:rPr>
  </w:style>
  <w:style w:type="character" w:customStyle="1" w:styleId="symb-sub-i">
    <w:name w:val="symb-sub-i"/>
    <w:rsid w:val="005F506D"/>
    <w:rPr>
      <w:rFonts w:ascii="Symbol" w:hAnsi="Symbol"/>
      <w:i/>
      <w:color w:val="008000"/>
      <w:bdr w:val="none" w:sz="0" w:space="0" w:color="auto"/>
      <w:vertAlign w:val="subscript"/>
    </w:rPr>
  </w:style>
  <w:style w:type="character" w:customStyle="1" w:styleId="symb-sup">
    <w:name w:val="symb-sup"/>
    <w:rsid w:val="005F506D"/>
    <w:rPr>
      <w:rFonts w:ascii="Symbol" w:hAnsi="Symbol"/>
      <w:color w:val="auto"/>
      <w:bdr w:val="none" w:sz="0" w:space="0" w:color="auto"/>
      <w:vertAlign w:val="superscript"/>
    </w:rPr>
  </w:style>
  <w:style w:type="character" w:customStyle="1" w:styleId="symb-sup-b">
    <w:name w:val="symb-sup-b"/>
    <w:uiPriority w:val="1"/>
    <w:qFormat/>
    <w:rsid w:val="005F506D"/>
    <w:rPr>
      <w:rFonts w:ascii="Symbol" w:hAnsi="Symbol"/>
      <w:b/>
      <w:bCs/>
      <w:color w:val="FF00FF"/>
      <w:bdr w:val="none" w:sz="0" w:space="0" w:color="auto"/>
      <w:vertAlign w:val="superscript"/>
    </w:rPr>
  </w:style>
  <w:style w:type="character" w:customStyle="1" w:styleId="symb-sup-bi">
    <w:name w:val="symb-sup-bi"/>
    <w:uiPriority w:val="1"/>
    <w:qFormat/>
    <w:rsid w:val="005F506D"/>
    <w:rPr>
      <w:rFonts w:ascii="Symbol" w:eastAsia="MS Mincho" w:hAnsi="Symbol"/>
      <w:b/>
      <w:bCs/>
      <w:i/>
      <w:iCs/>
      <w:color w:val="FF00FF"/>
      <w:bdr w:val="none" w:sz="0" w:space="0" w:color="auto"/>
      <w:vertAlign w:val="superscript"/>
    </w:rPr>
  </w:style>
  <w:style w:type="character" w:customStyle="1" w:styleId="symb-sup-i">
    <w:name w:val="symb-sup-i"/>
    <w:rsid w:val="005F506D"/>
    <w:rPr>
      <w:rFonts w:ascii="Symbol" w:hAnsi="Symbol"/>
      <w:i/>
      <w:color w:val="008000"/>
      <w:bdr w:val="none" w:sz="0" w:space="0" w:color="auto"/>
      <w:vertAlign w:val="superscript"/>
    </w:rPr>
  </w:style>
  <w:style w:type="character" w:customStyle="1" w:styleId="SYSHYPERTEXT">
    <w:name w:val="SYS_HYPERTEXT"/>
    <w:rsid w:val="005F506D"/>
    <w:rPr>
      <w:color w:val="0000FF"/>
      <w:u w:val="single"/>
    </w:rPr>
  </w:style>
  <w:style w:type="paragraph" w:customStyle="1" w:styleId="TableCell">
    <w:name w:val="Table Cell"/>
    <w:basedOn w:val="Normal"/>
    <w:rsid w:val="005F506D"/>
    <w:pPr>
      <w:ind w:firstLine="0"/>
    </w:pPr>
    <w:rPr>
      <w:rFonts w:ascii="Times New Roman" w:eastAsia="Times New Roman" w:hAnsi="Times New Roman" w:cs="Times New Roman"/>
      <w:sz w:val="20"/>
      <w:szCs w:val="20"/>
    </w:rPr>
  </w:style>
  <w:style w:type="table" w:styleId="TableGrid">
    <w:name w:val="Table Grid"/>
    <w:basedOn w:val="TableNormal"/>
    <w:uiPriority w:val="59"/>
    <w:rsid w:val="005F506D"/>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tr">
    <w:name w:val="tatr"/>
    <w:basedOn w:val="Normal"/>
    <w:rsid w:val="005F506D"/>
    <w:pPr>
      <w:spacing w:line="480" w:lineRule="auto"/>
      <w:ind w:firstLine="0"/>
    </w:pPr>
    <w:rPr>
      <w:rFonts w:ascii="Times New Roman" w:eastAsia="Times New Roman" w:hAnsi="Times New Roman" w:cs="Times New Roman"/>
      <w:sz w:val="20"/>
      <w:szCs w:val="24"/>
    </w:rPr>
  </w:style>
  <w:style w:type="character" w:customStyle="1" w:styleId="taxclass">
    <w:name w:val="taxclass"/>
    <w:uiPriority w:val="1"/>
    <w:qFormat/>
    <w:rsid w:val="005F506D"/>
    <w:rPr>
      <w:rFonts w:ascii="Arial" w:eastAsia="MS Mincho" w:hAnsi="Arial"/>
      <w:color w:val="93A03C"/>
    </w:rPr>
  </w:style>
  <w:style w:type="character" w:customStyle="1" w:styleId="taxfamily">
    <w:name w:val="taxfamily"/>
    <w:uiPriority w:val="1"/>
    <w:qFormat/>
    <w:rsid w:val="005F506D"/>
    <w:rPr>
      <w:rFonts w:ascii="Arial" w:eastAsia="MS Mincho" w:hAnsi="Arial"/>
      <w:color w:val="CBBE4B"/>
    </w:rPr>
  </w:style>
  <w:style w:type="character" w:customStyle="1" w:styleId="taxgenus">
    <w:name w:val="taxgenus"/>
    <w:uiPriority w:val="1"/>
    <w:qFormat/>
    <w:rsid w:val="005F506D"/>
    <w:rPr>
      <w:rFonts w:ascii="Arial" w:eastAsia="MS Mincho" w:hAnsi="Arial"/>
      <w:color w:val="CEA451"/>
    </w:rPr>
  </w:style>
  <w:style w:type="character" w:customStyle="1" w:styleId="taxkingdom">
    <w:name w:val="taxkingdom"/>
    <w:uiPriority w:val="1"/>
    <w:qFormat/>
    <w:rsid w:val="005F506D"/>
    <w:rPr>
      <w:rFonts w:ascii="Arial" w:eastAsia="MS Mincho" w:hAnsi="Arial"/>
      <w:color w:val="4F6228"/>
    </w:rPr>
  </w:style>
  <w:style w:type="character" w:customStyle="1" w:styleId="taxorder">
    <w:name w:val="taxorder"/>
    <w:uiPriority w:val="1"/>
    <w:qFormat/>
    <w:rsid w:val="005F506D"/>
    <w:rPr>
      <w:rFonts w:ascii="Arial" w:eastAsia="MS Mincho" w:hAnsi="Arial"/>
      <w:color w:val="D1D55D"/>
    </w:rPr>
  </w:style>
  <w:style w:type="character" w:customStyle="1" w:styleId="taxphylum">
    <w:name w:val="taxphylum"/>
    <w:uiPriority w:val="1"/>
    <w:qFormat/>
    <w:rsid w:val="005F506D"/>
    <w:rPr>
      <w:rFonts w:ascii="Arial" w:eastAsia="MS Mincho" w:hAnsi="Arial"/>
      <w:color w:val="76923C"/>
    </w:rPr>
  </w:style>
  <w:style w:type="character" w:customStyle="1" w:styleId="taxspecies">
    <w:name w:val="taxspecies"/>
    <w:uiPriority w:val="1"/>
    <w:qFormat/>
    <w:rsid w:val="005F506D"/>
    <w:rPr>
      <w:rFonts w:ascii="Arial" w:eastAsia="MS Mincho" w:hAnsi="Arial"/>
      <w:color w:val="BA7336"/>
    </w:rPr>
  </w:style>
  <w:style w:type="paragraph" w:customStyle="1" w:styleId="td">
    <w:name w:val="td"/>
    <w:rsid w:val="005F506D"/>
    <w:pPr>
      <w:widowControl w:val="0"/>
      <w:spacing w:after="0" w:line="240" w:lineRule="auto"/>
    </w:pPr>
    <w:rPr>
      <w:rFonts w:ascii="Times New Roman" w:eastAsia="Times New Roman" w:hAnsi="Times New Roman" w:cs="Times New Roman"/>
      <w:sz w:val="20"/>
      <w:szCs w:val="24"/>
    </w:rPr>
  </w:style>
  <w:style w:type="paragraph" w:customStyle="1" w:styleId="tdf">
    <w:name w:val="tdf"/>
    <w:basedOn w:val="td"/>
    <w:next w:val="td"/>
    <w:rsid w:val="005F506D"/>
    <w:pPr>
      <w:spacing w:before="100"/>
    </w:pPr>
  </w:style>
  <w:style w:type="paragraph" w:customStyle="1" w:styleId="tch">
    <w:name w:val="tch"/>
    <w:basedOn w:val="tdf"/>
    <w:qFormat/>
    <w:rsid w:val="005F506D"/>
    <w:rPr>
      <w:rFonts w:eastAsia="MS Mincho"/>
    </w:rPr>
  </w:style>
  <w:style w:type="paragraph" w:customStyle="1" w:styleId="tch1">
    <w:name w:val="tch1"/>
    <w:basedOn w:val="tdf"/>
    <w:qFormat/>
    <w:rsid w:val="005F506D"/>
    <w:rPr>
      <w:rFonts w:ascii="Arial" w:eastAsia="MS Mincho" w:hAnsi="Arial"/>
      <w:sz w:val="16"/>
    </w:rPr>
  </w:style>
  <w:style w:type="paragraph" w:customStyle="1" w:styleId="tch2">
    <w:name w:val="tch2"/>
    <w:basedOn w:val="tdf"/>
    <w:qFormat/>
    <w:rsid w:val="005F506D"/>
    <w:rPr>
      <w:rFonts w:eastAsia="MS Mincho"/>
      <w:sz w:val="18"/>
    </w:rPr>
  </w:style>
  <w:style w:type="paragraph" w:customStyle="1" w:styleId="tdl">
    <w:name w:val="tdl"/>
    <w:basedOn w:val="td"/>
    <w:rsid w:val="005F506D"/>
    <w:pPr>
      <w:spacing w:after="100"/>
    </w:pPr>
  </w:style>
  <w:style w:type="paragraph" w:customStyle="1" w:styleId="tdnl">
    <w:name w:val="tdnl"/>
    <w:basedOn w:val="nl"/>
    <w:qFormat/>
    <w:rsid w:val="005F506D"/>
    <w:pPr>
      <w:spacing w:line="240" w:lineRule="auto"/>
    </w:pPr>
    <w:rPr>
      <w:rFonts w:eastAsia="MS Mincho"/>
      <w:sz w:val="20"/>
    </w:rPr>
  </w:style>
  <w:style w:type="paragraph" w:customStyle="1" w:styleId="tdp">
    <w:name w:val="tdp"/>
    <w:basedOn w:val="td"/>
    <w:qFormat/>
    <w:rsid w:val="005F506D"/>
    <w:pPr>
      <w:ind w:firstLine="360"/>
    </w:pPr>
    <w:rPr>
      <w:rFonts w:eastAsia="MS Mincho"/>
    </w:rPr>
  </w:style>
  <w:style w:type="paragraph" w:customStyle="1" w:styleId="tdul">
    <w:name w:val="tdul"/>
    <w:basedOn w:val="ul"/>
    <w:qFormat/>
    <w:rsid w:val="005F506D"/>
    <w:pPr>
      <w:spacing w:line="240" w:lineRule="auto"/>
      <w:ind w:left="360"/>
    </w:pPr>
    <w:rPr>
      <w:rFonts w:eastAsia="MS Mincho"/>
      <w:sz w:val="20"/>
    </w:rPr>
  </w:style>
  <w:style w:type="character" w:customStyle="1" w:styleId="tel">
    <w:name w:val="tel"/>
    <w:qFormat/>
    <w:rsid w:val="005F506D"/>
    <w:rPr>
      <w:rFonts w:ascii="Courier New" w:hAnsi="Courier New"/>
      <w:b/>
      <w:bCs/>
      <w:i w:val="0"/>
      <w:iCs w:val="0"/>
      <w:color w:val="E36C0A"/>
    </w:rPr>
  </w:style>
  <w:style w:type="character" w:customStyle="1" w:styleId="tetr">
    <w:name w:val="tetr"/>
    <w:uiPriority w:val="1"/>
    <w:qFormat/>
    <w:rsid w:val="005F506D"/>
    <w:rPr>
      <w:rFonts w:ascii="Times" w:hAnsi="Times"/>
      <w:caps w:val="0"/>
      <w:smallCaps/>
      <w:color w:val="auto"/>
      <w:sz w:val="20"/>
      <w:szCs w:val="20"/>
      <w:bdr w:val="none" w:sz="0" w:space="0" w:color="auto"/>
    </w:rPr>
  </w:style>
  <w:style w:type="character" w:customStyle="1" w:styleId="tetr-b">
    <w:name w:val="tetr-b"/>
    <w:uiPriority w:val="1"/>
    <w:qFormat/>
    <w:rsid w:val="005F506D"/>
    <w:rPr>
      <w:rFonts w:ascii="Times" w:eastAsia="MS Mincho" w:hAnsi="Times"/>
      <w:b/>
      <w:caps w:val="0"/>
      <w:smallCaps/>
      <w:color w:val="auto"/>
      <w:sz w:val="20"/>
      <w:szCs w:val="20"/>
      <w:bdr w:val="none" w:sz="0" w:space="0" w:color="auto"/>
    </w:rPr>
  </w:style>
  <w:style w:type="character" w:customStyle="1" w:styleId="tetr-i">
    <w:name w:val="tetr-i"/>
    <w:uiPriority w:val="1"/>
    <w:qFormat/>
    <w:rsid w:val="005F506D"/>
    <w:rPr>
      <w:rFonts w:ascii="Times" w:eastAsia="MS Mincho" w:hAnsi="Times"/>
      <w:i/>
      <w:caps w:val="0"/>
      <w:smallCaps/>
      <w:color w:val="auto"/>
      <w:sz w:val="20"/>
      <w:szCs w:val="20"/>
      <w:bdr w:val="none" w:sz="0" w:space="0" w:color="auto"/>
    </w:rPr>
  </w:style>
  <w:style w:type="character" w:customStyle="1" w:styleId="tetr-red">
    <w:name w:val="tetr-red"/>
    <w:uiPriority w:val="1"/>
    <w:rsid w:val="005F506D"/>
    <w:rPr>
      <w:rFonts w:ascii="Times" w:hAnsi="Times"/>
      <w:caps w:val="0"/>
      <w:smallCaps/>
      <w:color w:val="FF0000"/>
      <w:sz w:val="20"/>
      <w:szCs w:val="20"/>
      <w:bdr w:val="none" w:sz="0" w:space="0" w:color="auto"/>
    </w:rPr>
  </w:style>
  <w:style w:type="character" w:customStyle="1" w:styleId="tetr-red-i">
    <w:name w:val="tetr-red-i"/>
    <w:uiPriority w:val="1"/>
    <w:qFormat/>
    <w:rsid w:val="005F506D"/>
    <w:rPr>
      <w:rFonts w:ascii="Times" w:eastAsia="MS Mincho" w:hAnsi="Times"/>
      <w:i/>
      <w:caps w:val="0"/>
      <w:smallCaps/>
      <w:color w:val="FF0000"/>
      <w:sz w:val="20"/>
      <w:szCs w:val="20"/>
      <w:bdr w:val="none" w:sz="0" w:space="0" w:color="auto"/>
    </w:rPr>
  </w:style>
  <w:style w:type="character" w:customStyle="1" w:styleId="tetr-red-ob">
    <w:name w:val="tetr-red-ob"/>
    <w:uiPriority w:val="1"/>
    <w:qFormat/>
    <w:rsid w:val="005F506D"/>
    <w:rPr>
      <w:rFonts w:ascii="Arial" w:eastAsia="MS Mincho" w:hAnsi="Arial"/>
      <w:i/>
      <w:caps w:val="0"/>
      <w:smallCaps/>
      <w:color w:val="FF0000"/>
      <w:sz w:val="20"/>
      <w:szCs w:val="20"/>
      <w:bdr w:val="none" w:sz="0" w:space="0" w:color="auto"/>
    </w:rPr>
  </w:style>
  <w:style w:type="character" w:customStyle="1" w:styleId="tgrc">
    <w:name w:val="tgrc"/>
    <w:rsid w:val="005F506D"/>
    <w:rPr>
      <w:color w:val="FFCC00"/>
      <w:sz w:val="24"/>
      <w:szCs w:val="24"/>
      <w:bdr w:val="none" w:sz="0" w:space="0" w:color="auto"/>
    </w:rPr>
  </w:style>
  <w:style w:type="character" w:customStyle="1" w:styleId="tgrc-b">
    <w:name w:val="tgrc-b"/>
    <w:uiPriority w:val="1"/>
    <w:qFormat/>
    <w:rsid w:val="005F506D"/>
    <w:rPr>
      <w:rFonts w:eastAsia="MS Mincho"/>
      <w:b/>
      <w:color w:val="FFCC00"/>
      <w:sz w:val="24"/>
      <w:szCs w:val="24"/>
      <w:bdr w:val="none" w:sz="0" w:space="0" w:color="auto"/>
    </w:rPr>
  </w:style>
  <w:style w:type="character" w:customStyle="1" w:styleId="tgrc-bi">
    <w:name w:val="tgrc-bi"/>
    <w:uiPriority w:val="1"/>
    <w:qFormat/>
    <w:rsid w:val="005F506D"/>
    <w:rPr>
      <w:rFonts w:eastAsia="MS Mincho"/>
      <w:b/>
      <w:i/>
      <w:color w:val="FFCC00"/>
      <w:sz w:val="24"/>
      <w:szCs w:val="24"/>
      <w:bdr w:val="none" w:sz="0" w:space="0" w:color="auto"/>
    </w:rPr>
  </w:style>
  <w:style w:type="character" w:customStyle="1" w:styleId="tgrc-i">
    <w:name w:val="tgrc-i"/>
    <w:uiPriority w:val="1"/>
    <w:qFormat/>
    <w:rsid w:val="005F506D"/>
    <w:rPr>
      <w:rFonts w:eastAsia="MS Mincho"/>
      <w:b w:val="0"/>
      <w:i/>
      <w:color w:val="FFCC00"/>
      <w:sz w:val="24"/>
      <w:szCs w:val="24"/>
      <w:bdr w:val="none" w:sz="0" w:space="0" w:color="auto"/>
    </w:rPr>
  </w:style>
  <w:style w:type="paragraph" w:customStyle="1" w:styleId="th">
    <w:name w:val="th"/>
    <w:rsid w:val="005F506D"/>
    <w:pPr>
      <w:widowControl w:val="0"/>
      <w:pBdr>
        <w:top w:val="single" w:sz="8" w:space="1" w:color="auto"/>
        <w:bottom w:val="single" w:sz="8" w:space="1" w:color="auto"/>
      </w:pBdr>
      <w:spacing w:before="100" w:after="0" w:line="240" w:lineRule="auto"/>
      <w:outlineLvl w:val="8"/>
    </w:pPr>
    <w:rPr>
      <w:rFonts w:ascii="Arial" w:eastAsia="Times New Roman" w:hAnsi="Arial" w:cs="Times New Roman"/>
      <w:noProof/>
      <w:sz w:val="32"/>
      <w:szCs w:val="20"/>
    </w:rPr>
  </w:style>
  <w:style w:type="paragraph" w:customStyle="1" w:styleId="th1">
    <w:name w:val="th1"/>
    <w:rsid w:val="005F506D"/>
    <w:pPr>
      <w:widowControl w:val="0"/>
      <w:pBdr>
        <w:bottom w:val="single" w:sz="8" w:space="1" w:color="auto"/>
      </w:pBdr>
      <w:spacing w:after="0" w:line="240" w:lineRule="auto"/>
    </w:pPr>
    <w:rPr>
      <w:rFonts w:ascii="Arial" w:eastAsia="Times New Roman" w:hAnsi="Arial" w:cs="Times New Roman"/>
      <w:sz w:val="24"/>
      <w:szCs w:val="20"/>
    </w:rPr>
  </w:style>
  <w:style w:type="paragraph" w:customStyle="1" w:styleId="th2">
    <w:name w:val="th2"/>
    <w:qFormat/>
    <w:rsid w:val="005F506D"/>
    <w:pPr>
      <w:spacing w:after="0" w:line="240" w:lineRule="auto"/>
    </w:pPr>
    <w:rPr>
      <w:rFonts w:ascii="Arial" w:eastAsia="Times New Roman" w:hAnsi="Arial" w:cs="Times New Roman"/>
      <w:sz w:val="24"/>
      <w:szCs w:val="20"/>
    </w:rPr>
  </w:style>
  <w:style w:type="character" w:customStyle="1" w:styleId="theb">
    <w:name w:val="theb"/>
    <w:rsid w:val="005F506D"/>
    <w:rPr>
      <w:color w:val="993366"/>
      <w:bdr w:val="none" w:sz="0" w:space="0" w:color="auto"/>
    </w:rPr>
  </w:style>
  <w:style w:type="character" w:customStyle="1" w:styleId="theb-i">
    <w:name w:val="theb-i"/>
    <w:uiPriority w:val="1"/>
    <w:qFormat/>
    <w:rsid w:val="005F506D"/>
    <w:rPr>
      <w:rFonts w:eastAsia="MS Mincho"/>
      <w:i/>
      <w:color w:val="993366"/>
      <w:bdr w:val="none" w:sz="0" w:space="0" w:color="auto"/>
    </w:rPr>
  </w:style>
  <w:style w:type="character" w:customStyle="1" w:styleId="thn">
    <w:name w:val="thn"/>
    <w:rsid w:val="005F506D"/>
    <w:rPr>
      <w:color w:val="800080"/>
    </w:rPr>
  </w:style>
  <w:style w:type="paragraph" w:customStyle="1" w:styleId="tn">
    <w:name w:val="tn"/>
    <w:rsid w:val="005F506D"/>
    <w:pPr>
      <w:widowControl w:val="0"/>
      <w:pBdr>
        <w:top w:val="single" w:sz="8" w:space="1" w:color="auto"/>
      </w:pBdr>
      <w:spacing w:after="100" w:line="480" w:lineRule="auto"/>
    </w:pPr>
    <w:rPr>
      <w:rFonts w:ascii="Times New Roman" w:eastAsia="Times New Roman" w:hAnsi="Times New Roman" w:cs="Times New Roman"/>
      <w:sz w:val="20"/>
      <w:szCs w:val="20"/>
    </w:rPr>
  </w:style>
  <w:style w:type="paragraph" w:styleId="TOC10">
    <w:name w:val="toc 1"/>
    <w:basedOn w:val="Normal"/>
    <w:next w:val="Normal"/>
    <w:autoRedefine/>
    <w:semiHidden/>
    <w:rsid w:val="005F506D"/>
    <w:pPr>
      <w:ind w:firstLine="0"/>
    </w:pPr>
    <w:rPr>
      <w:rFonts w:ascii="Times New Roman" w:eastAsia="Times New Roman" w:hAnsi="Times New Roman" w:cs="Times New Roman"/>
      <w:sz w:val="20"/>
      <w:szCs w:val="20"/>
    </w:rPr>
  </w:style>
  <w:style w:type="paragraph" w:styleId="TOC2">
    <w:name w:val="toc 2"/>
    <w:basedOn w:val="Normal"/>
    <w:next w:val="Normal"/>
    <w:autoRedefine/>
    <w:semiHidden/>
    <w:rsid w:val="005F506D"/>
    <w:pPr>
      <w:ind w:left="200" w:firstLine="0"/>
    </w:pPr>
    <w:rPr>
      <w:rFonts w:ascii="Times New Roman" w:eastAsia="Times New Roman" w:hAnsi="Times New Roman" w:cs="Times New Roman"/>
      <w:sz w:val="20"/>
      <w:szCs w:val="20"/>
    </w:rPr>
  </w:style>
  <w:style w:type="paragraph" w:styleId="TOC3">
    <w:name w:val="toc 3"/>
    <w:basedOn w:val="Normal"/>
    <w:next w:val="Normal"/>
    <w:autoRedefine/>
    <w:semiHidden/>
    <w:rsid w:val="005F506D"/>
    <w:pPr>
      <w:ind w:left="400" w:firstLine="0"/>
    </w:pPr>
    <w:rPr>
      <w:rFonts w:ascii="Times New Roman" w:eastAsia="Times New Roman" w:hAnsi="Times New Roman" w:cs="Times New Roman"/>
      <w:sz w:val="20"/>
      <w:szCs w:val="20"/>
    </w:rPr>
  </w:style>
  <w:style w:type="paragraph" w:styleId="TOC4">
    <w:name w:val="toc 4"/>
    <w:basedOn w:val="Normal"/>
    <w:next w:val="Normal"/>
    <w:autoRedefine/>
    <w:semiHidden/>
    <w:rsid w:val="005F506D"/>
    <w:pPr>
      <w:ind w:left="600" w:firstLine="0"/>
    </w:pPr>
    <w:rPr>
      <w:rFonts w:ascii="Times New Roman" w:eastAsia="Times New Roman" w:hAnsi="Times New Roman" w:cs="Times New Roman"/>
      <w:sz w:val="20"/>
      <w:szCs w:val="20"/>
    </w:rPr>
  </w:style>
  <w:style w:type="paragraph" w:styleId="TOC5">
    <w:name w:val="toc 5"/>
    <w:basedOn w:val="Normal"/>
    <w:next w:val="Normal"/>
    <w:autoRedefine/>
    <w:semiHidden/>
    <w:rsid w:val="005F506D"/>
    <w:pPr>
      <w:ind w:left="800" w:firstLine="0"/>
    </w:pPr>
    <w:rPr>
      <w:rFonts w:ascii="Times New Roman" w:eastAsia="Times New Roman" w:hAnsi="Times New Roman" w:cs="Times New Roman"/>
      <w:sz w:val="20"/>
      <w:szCs w:val="20"/>
    </w:rPr>
  </w:style>
  <w:style w:type="paragraph" w:styleId="TOC6">
    <w:name w:val="toc 6"/>
    <w:basedOn w:val="Normal"/>
    <w:next w:val="Normal"/>
    <w:autoRedefine/>
    <w:semiHidden/>
    <w:rsid w:val="005F506D"/>
    <w:pPr>
      <w:ind w:left="1000" w:firstLine="0"/>
    </w:pPr>
    <w:rPr>
      <w:rFonts w:ascii="Times New Roman" w:eastAsia="Times New Roman" w:hAnsi="Times New Roman" w:cs="Times New Roman"/>
      <w:sz w:val="20"/>
      <w:szCs w:val="20"/>
    </w:rPr>
  </w:style>
  <w:style w:type="paragraph" w:styleId="TOC7">
    <w:name w:val="toc 7"/>
    <w:basedOn w:val="Normal"/>
    <w:next w:val="Normal"/>
    <w:autoRedefine/>
    <w:semiHidden/>
    <w:rsid w:val="005F506D"/>
    <w:pPr>
      <w:ind w:left="1200" w:firstLine="0"/>
    </w:pPr>
    <w:rPr>
      <w:rFonts w:ascii="Times New Roman" w:eastAsia="Times New Roman" w:hAnsi="Times New Roman" w:cs="Times New Roman"/>
      <w:sz w:val="20"/>
      <w:szCs w:val="20"/>
    </w:rPr>
  </w:style>
  <w:style w:type="paragraph" w:styleId="TOC8">
    <w:name w:val="toc 8"/>
    <w:basedOn w:val="Normal"/>
    <w:next w:val="Normal"/>
    <w:autoRedefine/>
    <w:semiHidden/>
    <w:rsid w:val="005F506D"/>
    <w:pPr>
      <w:ind w:left="1400" w:firstLine="0"/>
    </w:pPr>
    <w:rPr>
      <w:rFonts w:ascii="Times New Roman" w:eastAsia="Times New Roman" w:hAnsi="Times New Roman" w:cs="Times New Roman"/>
      <w:sz w:val="20"/>
      <w:szCs w:val="20"/>
    </w:rPr>
  </w:style>
  <w:style w:type="paragraph" w:styleId="TOC9">
    <w:name w:val="toc 9"/>
    <w:basedOn w:val="Normal"/>
    <w:next w:val="Normal"/>
    <w:autoRedefine/>
    <w:semiHidden/>
    <w:rsid w:val="005F506D"/>
    <w:pPr>
      <w:ind w:left="1600" w:firstLine="0"/>
    </w:pPr>
    <w:rPr>
      <w:rFonts w:ascii="Times New Roman" w:eastAsia="Times New Roman" w:hAnsi="Times New Roman" w:cs="Times New Roman"/>
      <w:sz w:val="20"/>
      <w:szCs w:val="20"/>
    </w:rPr>
  </w:style>
  <w:style w:type="paragraph" w:customStyle="1" w:styleId="toc20">
    <w:name w:val="toc2"/>
    <w:basedOn w:val="toc"/>
    <w:rsid w:val="005F506D"/>
    <w:pPr>
      <w:tabs>
        <w:tab w:val="left" w:pos="360"/>
      </w:tabs>
      <w:spacing w:before="100"/>
      <w:ind w:left="2880" w:hanging="1440"/>
    </w:pPr>
    <w:rPr>
      <w:sz w:val="22"/>
    </w:rPr>
  </w:style>
  <w:style w:type="paragraph" w:customStyle="1" w:styleId="toc30">
    <w:name w:val="toc3"/>
    <w:basedOn w:val="toc"/>
    <w:rsid w:val="005F506D"/>
    <w:pPr>
      <w:spacing w:before="0"/>
      <w:ind w:left="1800"/>
    </w:pPr>
    <w:rPr>
      <w:sz w:val="20"/>
    </w:rPr>
  </w:style>
  <w:style w:type="paragraph" w:customStyle="1" w:styleId="toc40">
    <w:name w:val="toc4"/>
    <w:rsid w:val="005F506D"/>
    <w:pPr>
      <w:tabs>
        <w:tab w:val="left" w:pos="4320"/>
      </w:tabs>
      <w:spacing w:after="0" w:line="240" w:lineRule="auto"/>
      <w:ind w:left="2160"/>
    </w:pPr>
    <w:rPr>
      <w:rFonts w:ascii="Times New Roman" w:eastAsia="Times New Roman" w:hAnsi="Times New Roman" w:cs="Times New Roman"/>
      <w:sz w:val="20"/>
      <w:szCs w:val="24"/>
    </w:rPr>
  </w:style>
  <w:style w:type="paragraph" w:customStyle="1" w:styleId="toc50">
    <w:name w:val="toc5"/>
    <w:rsid w:val="005F506D"/>
    <w:pPr>
      <w:tabs>
        <w:tab w:val="left" w:pos="4320"/>
      </w:tabs>
      <w:spacing w:after="0" w:line="240" w:lineRule="auto"/>
      <w:ind w:left="2520"/>
    </w:pPr>
    <w:rPr>
      <w:rFonts w:ascii="Times New Roman" w:eastAsia="Times New Roman" w:hAnsi="Times New Roman" w:cs="Times New Roman"/>
      <w:sz w:val="20"/>
      <w:szCs w:val="24"/>
    </w:rPr>
  </w:style>
  <w:style w:type="paragraph" w:customStyle="1" w:styleId="tocau">
    <w:name w:val="tocau"/>
    <w:rsid w:val="005F506D"/>
    <w:pPr>
      <w:spacing w:after="60" w:line="240" w:lineRule="auto"/>
    </w:pPr>
    <w:rPr>
      <w:rFonts w:ascii="Times New Roman" w:eastAsia="Times New Roman" w:hAnsi="Times New Roman" w:cs="Times New Roman"/>
      <w:color w:val="000000"/>
      <w:szCs w:val="20"/>
    </w:rPr>
  </w:style>
  <w:style w:type="paragraph" w:customStyle="1" w:styleId="tocbm">
    <w:name w:val="tocbm"/>
    <w:basedOn w:val="toc"/>
    <w:uiPriority w:val="99"/>
    <w:rsid w:val="005F506D"/>
  </w:style>
  <w:style w:type="paragraph" w:customStyle="1" w:styleId="tocfm">
    <w:name w:val="tocfm"/>
    <w:basedOn w:val="toc"/>
    <w:uiPriority w:val="99"/>
    <w:rsid w:val="005F506D"/>
  </w:style>
  <w:style w:type="paragraph" w:customStyle="1" w:styleId="tocpt">
    <w:name w:val="tocpt"/>
    <w:basedOn w:val="toc"/>
    <w:rsid w:val="005F506D"/>
    <w:pPr>
      <w:tabs>
        <w:tab w:val="clear" w:pos="4320"/>
        <w:tab w:val="left" w:pos="1080"/>
        <w:tab w:val="left" w:pos="8640"/>
      </w:tabs>
    </w:pPr>
    <w:rPr>
      <w:sz w:val="28"/>
    </w:rPr>
  </w:style>
  <w:style w:type="paragraph" w:customStyle="1" w:styleId="tocut">
    <w:name w:val="tocut"/>
    <w:qFormat/>
    <w:rsid w:val="005F506D"/>
    <w:pPr>
      <w:tabs>
        <w:tab w:val="left" w:pos="4320"/>
      </w:tabs>
      <w:spacing w:after="100" w:line="240" w:lineRule="auto"/>
    </w:pPr>
    <w:rPr>
      <w:rFonts w:ascii="Times New Roman" w:eastAsia="Times New Roman" w:hAnsi="Times New Roman" w:cs="Times New Roman"/>
      <w:sz w:val="28"/>
      <w:szCs w:val="24"/>
    </w:rPr>
  </w:style>
  <w:style w:type="character" w:customStyle="1" w:styleId="trh">
    <w:name w:val="trh"/>
    <w:uiPriority w:val="1"/>
    <w:qFormat/>
    <w:rsid w:val="005F506D"/>
    <w:rPr>
      <w:rFonts w:eastAsia="MS Mincho"/>
      <w:b/>
      <w:color w:val="auto"/>
    </w:rPr>
  </w:style>
  <w:style w:type="character" w:customStyle="1" w:styleId="trh-i">
    <w:name w:val="trh-i"/>
    <w:uiPriority w:val="1"/>
    <w:qFormat/>
    <w:rsid w:val="005F506D"/>
    <w:rPr>
      <w:rFonts w:eastAsia="MS Mincho"/>
      <w:b/>
      <w:i/>
      <w:color w:val="008000"/>
    </w:rPr>
  </w:style>
  <w:style w:type="character" w:customStyle="1" w:styleId="u">
    <w:name w:val="u"/>
    <w:rsid w:val="005F506D"/>
    <w:rPr>
      <w:color w:val="4BACC6"/>
      <w:u w:val="single"/>
    </w:rPr>
  </w:style>
  <w:style w:type="paragraph" w:customStyle="1" w:styleId="ul1p">
    <w:name w:val="ul1p"/>
    <w:basedOn w:val="ul1"/>
    <w:qFormat/>
    <w:rsid w:val="005F506D"/>
    <w:pPr>
      <w:ind w:left="1800" w:firstLine="360"/>
    </w:pPr>
  </w:style>
  <w:style w:type="paragraph" w:customStyle="1" w:styleId="ul1pl">
    <w:name w:val="ul1pl"/>
    <w:basedOn w:val="ul1p"/>
    <w:qFormat/>
    <w:rsid w:val="005F506D"/>
    <w:pPr>
      <w:spacing w:after="240"/>
    </w:pPr>
  </w:style>
  <w:style w:type="paragraph" w:customStyle="1" w:styleId="ul2">
    <w:name w:val="ul2"/>
    <w:basedOn w:val="nl2"/>
    <w:rsid w:val="005F506D"/>
    <w:pPr>
      <w:ind w:left="2160"/>
    </w:pPr>
  </w:style>
  <w:style w:type="paragraph" w:customStyle="1" w:styleId="ul2f">
    <w:name w:val="ul2f"/>
    <w:basedOn w:val="ul2"/>
    <w:next w:val="ul2"/>
    <w:rsid w:val="005F506D"/>
    <w:pPr>
      <w:spacing w:before="240"/>
    </w:pPr>
    <w:rPr>
      <w:szCs w:val="20"/>
    </w:rPr>
  </w:style>
  <w:style w:type="paragraph" w:customStyle="1" w:styleId="ul2l">
    <w:name w:val="ul2l"/>
    <w:basedOn w:val="ul2"/>
    <w:rsid w:val="005F506D"/>
    <w:pPr>
      <w:spacing w:after="240"/>
    </w:pPr>
    <w:rPr>
      <w:szCs w:val="20"/>
    </w:rPr>
  </w:style>
  <w:style w:type="paragraph" w:customStyle="1" w:styleId="ul2p">
    <w:name w:val="ul2p"/>
    <w:basedOn w:val="ul2"/>
    <w:rsid w:val="005F506D"/>
    <w:pPr>
      <w:ind w:firstLine="360"/>
    </w:pPr>
  </w:style>
  <w:style w:type="paragraph" w:customStyle="1" w:styleId="ul2s">
    <w:name w:val="ul2s"/>
    <w:basedOn w:val="ul2"/>
    <w:qFormat/>
    <w:rsid w:val="005F506D"/>
    <w:pPr>
      <w:spacing w:before="240" w:after="240"/>
    </w:pPr>
  </w:style>
  <w:style w:type="paragraph" w:customStyle="1" w:styleId="ul3">
    <w:name w:val="ul3"/>
    <w:basedOn w:val="nl3"/>
    <w:rsid w:val="005F506D"/>
    <w:pPr>
      <w:ind w:left="2520"/>
    </w:pPr>
  </w:style>
  <w:style w:type="paragraph" w:customStyle="1" w:styleId="ul3f">
    <w:name w:val="ul3f"/>
    <w:basedOn w:val="ul3"/>
    <w:next w:val="ul3"/>
    <w:rsid w:val="005F506D"/>
    <w:pPr>
      <w:spacing w:before="240"/>
    </w:pPr>
    <w:rPr>
      <w:color w:val="000000"/>
    </w:rPr>
  </w:style>
  <w:style w:type="paragraph" w:customStyle="1" w:styleId="ul3l">
    <w:name w:val="ul3l"/>
    <w:basedOn w:val="ul3"/>
    <w:rsid w:val="005F506D"/>
    <w:pPr>
      <w:spacing w:after="240"/>
    </w:pPr>
  </w:style>
  <w:style w:type="paragraph" w:customStyle="1" w:styleId="ul3p">
    <w:name w:val="ul3p"/>
    <w:basedOn w:val="ul3"/>
    <w:rsid w:val="005F506D"/>
    <w:pPr>
      <w:ind w:firstLine="360"/>
    </w:pPr>
  </w:style>
  <w:style w:type="paragraph" w:customStyle="1" w:styleId="ul3s">
    <w:name w:val="ul3s"/>
    <w:basedOn w:val="ul3"/>
    <w:rsid w:val="005F506D"/>
    <w:pPr>
      <w:spacing w:before="240" w:after="240"/>
    </w:pPr>
  </w:style>
  <w:style w:type="paragraph" w:customStyle="1" w:styleId="ul4">
    <w:name w:val="ul4"/>
    <w:basedOn w:val="nl4"/>
    <w:rsid w:val="005F506D"/>
    <w:pPr>
      <w:ind w:left="2880"/>
    </w:pPr>
  </w:style>
  <w:style w:type="paragraph" w:customStyle="1" w:styleId="ul4f">
    <w:name w:val="ul4f"/>
    <w:basedOn w:val="ul4"/>
    <w:next w:val="ul4"/>
    <w:rsid w:val="005F506D"/>
    <w:pPr>
      <w:spacing w:before="240"/>
    </w:pPr>
  </w:style>
  <w:style w:type="paragraph" w:customStyle="1" w:styleId="ul4l">
    <w:name w:val="ul4l"/>
    <w:basedOn w:val="ul4"/>
    <w:rsid w:val="005F506D"/>
    <w:pPr>
      <w:spacing w:after="240"/>
    </w:pPr>
  </w:style>
  <w:style w:type="paragraph" w:customStyle="1" w:styleId="ul4p">
    <w:name w:val="ul4p"/>
    <w:basedOn w:val="ul4"/>
    <w:rsid w:val="005F506D"/>
    <w:pPr>
      <w:ind w:firstLine="360"/>
    </w:pPr>
  </w:style>
  <w:style w:type="paragraph" w:customStyle="1" w:styleId="ul4s">
    <w:name w:val="ul4s"/>
    <w:basedOn w:val="ul4"/>
    <w:rsid w:val="005F506D"/>
    <w:pPr>
      <w:spacing w:before="240" w:after="240"/>
    </w:pPr>
  </w:style>
  <w:style w:type="paragraph" w:customStyle="1" w:styleId="ul5">
    <w:name w:val="ul5"/>
    <w:basedOn w:val="nl5"/>
    <w:rsid w:val="005F506D"/>
    <w:pPr>
      <w:ind w:left="3240"/>
    </w:pPr>
  </w:style>
  <w:style w:type="paragraph" w:customStyle="1" w:styleId="ul5f">
    <w:name w:val="ul5f"/>
    <w:basedOn w:val="ul5"/>
    <w:next w:val="ul5"/>
    <w:rsid w:val="005F506D"/>
  </w:style>
  <w:style w:type="paragraph" w:customStyle="1" w:styleId="ul5l">
    <w:name w:val="ul5l"/>
    <w:basedOn w:val="ul5"/>
    <w:rsid w:val="005F506D"/>
    <w:pPr>
      <w:spacing w:after="240"/>
    </w:pPr>
  </w:style>
  <w:style w:type="paragraph" w:customStyle="1" w:styleId="ul5p">
    <w:name w:val="ul5p"/>
    <w:basedOn w:val="ul5"/>
    <w:rsid w:val="005F506D"/>
    <w:pPr>
      <w:ind w:firstLine="360"/>
    </w:pPr>
  </w:style>
  <w:style w:type="paragraph" w:customStyle="1" w:styleId="ul5s">
    <w:name w:val="ul5s"/>
    <w:basedOn w:val="ul5"/>
    <w:rsid w:val="005F506D"/>
    <w:pPr>
      <w:spacing w:before="240" w:after="240"/>
    </w:pPr>
  </w:style>
  <w:style w:type="paragraph" w:customStyle="1" w:styleId="ulh">
    <w:name w:val="ulh"/>
    <w:basedOn w:val="ul"/>
    <w:qFormat/>
    <w:rsid w:val="005F506D"/>
    <w:pPr>
      <w:spacing w:before="240" w:after="120"/>
      <w:outlineLvl w:val="8"/>
    </w:pPr>
  </w:style>
  <w:style w:type="paragraph" w:customStyle="1" w:styleId="ulpl">
    <w:name w:val="ulpl"/>
    <w:basedOn w:val="nlpl"/>
    <w:qFormat/>
    <w:rsid w:val="005F506D"/>
    <w:pPr>
      <w:ind w:left="1440"/>
    </w:pPr>
  </w:style>
  <w:style w:type="paragraph" w:customStyle="1" w:styleId="un">
    <w:name w:val="un"/>
    <w:qFormat/>
    <w:rsid w:val="005F506D"/>
    <w:pPr>
      <w:spacing w:after="0" w:line="240" w:lineRule="auto"/>
      <w:jc w:val="center"/>
      <w:outlineLvl w:val="0"/>
    </w:pPr>
    <w:rPr>
      <w:rFonts w:ascii="Times New Roman" w:eastAsia="Times New Roman" w:hAnsi="Times New Roman" w:cs="Times New Roman"/>
      <w:sz w:val="44"/>
      <w:szCs w:val="20"/>
    </w:rPr>
  </w:style>
  <w:style w:type="character" w:customStyle="1" w:styleId="url">
    <w:name w:val="url"/>
    <w:rsid w:val="005F506D"/>
    <w:rPr>
      <w:color w:val="99CCFF"/>
      <w:bdr w:val="none" w:sz="0" w:space="0" w:color="auto"/>
    </w:rPr>
  </w:style>
  <w:style w:type="paragraph" w:customStyle="1" w:styleId="us">
    <w:name w:val="us"/>
    <w:qFormat/>
    <w:rsid w:val="005F506D"/>
    <w:pPr>
      <w:spacing w:after="0" w:line="240" w:lineRule="auto"/>
      <w:jc w:val="center"/>
      <w:outlineLvl w:val="0"/>
    </w:pPr>
    <w:rPr>
      <w:rFonts w:ascii="Arial" w:eastAsia="Times New Roman" w:hAnsi="Arial" w:cs="Times New Roman"/>
      <w:sz w:val="44"/>
      <w:szCs w:val="20"/>
    </w:rPr>
  </w:style>
  <w:style w:type="paragraph" w:customStyle="1" w:styleId="ut">
    <w:name w:val="ut"/>
    <w:qFormat/>
    <w:rsid w:val="005F506D"/>
    <w:pPr>
      <w:spacing w:after="100" w:line="240" w:lineRule="auto"/>
      <w:jc w:val="center"/>
      <w:outlineLvl w:val="0"/>
    </w:pPr>
    <w:rPr>
      <w:rFonts w:ascii="Times New Roman" w:eastAsia="Times New Roman" w:hAnsi="Times New Roman" w:cs="Times New Roman"/>
      <w:sz w:val="60"/>
      <w:szCs w:val="20"/>
    </w:rPr>
  </w:style>
  <w:style w:type="character" w:customStyle="1" w:styleId="ver">
    <w:name w:val="ver"/>
    <w:rsid w:val="005F506D"/>
    <w:rPr>
      <w:caps w:val="0"/>
      <w:smallCaps w:val="0"/>
      <w:vertAlign w:val="superscript"/>
    </w:rPr>
  </w:style>
  <w:style w:type="paragraph" w:customStyle="1" w:styleId="wlf">
    <w:name w:val="wlf"/>
    <w:next w:val="Normal"/>
    <w:qFormat/>
    <w:rsid w:val="005F506D"/>
    <w:pPr>
      <w:spacing w:before="100" w:after="0" w:line="240" w:lineRule="auto"/>
      <w:ind w:left="720" w:right="720"/>
    </w:pPr>
    <w:rPr>
      <w:rFonts w:ascii="Arial" w:eastAsia="Times New Roman" w:hAnsi="Arial" w:cs="Times New Roman"/>
      <w:sz w:val="24"/>
      <w:szCs w:val="24"/>
    </w:rPr>
  </w:style>
  <w:style w:type="paragraph" w:customStyle="1" w:styleId="wl">
    <w:name w:val="wl"/>
    <w:basedOn w:val="wlf"/>
    <w:qFormat/>
    <w:rsid w:val="005F506D"/>
    <w:pPr>
      <w:spacing w:before="0"/>
    </w:pPr>
  </w:style>
  <w:style w:type="paragraph" w:customStyle="1" w:styleId="wl1f">
    <w:name w:val="wl1f"/>
    <w:next w:val="Normal"/>
    <w:qFormat/>
    <w:rsid w:val="005F506D"/>
    <w:pPr>
      <w:spacing w:before="100" w:after="0" w:line="240" w:lineRule="auto"/>
      <w:ind w:left="1080" w:right="720"/>
    </w:pPr>
    <w:rPr>
      <w:rFonts w:ascii="Arial" w:eastAsia="Times New Roman" w:hAnsi="Arial" w:cs="Times New Roman"/>
      <w:sz w:val="24"/>
      <w:szCs w:val="24"/>
    </w:rPr>
  </w:style>
  <w:style w:type="paragraph" w:customStyle="1" w:styleId="wl1">
    <w:name w:val="wl1"/>
    <w:basedOn w:val="wl1f"/>
    <w:qFormat/>
    <w:rsid w:val="005F506D"/>
    <w:pPr>
      <w:spacing w:before="0"/>
    </w:pPr>
  </w:style>
  <w:style w:type="paragraph" w:customStyle="1" w:styleId="wl1h">
    <w:name w:val="wl1h"/>
    <w:qFormat/>
    <w:rsid w:val="005F506D"/>
    <w:pPr>
      <w:spacing w:after="0" w:line="240" w:lineRule="auto"/>
      <w:ind w:left="1080" w:right="1080"/>
    </w:pPr>
    <w:rPr>
      <w:rFonts w:ascii="Arial" w:eastAsia="Times New Roman" w:hAnsi="Arial" w:cs="Times New Roman"/>
      <w:sz w:val="40"/>
      <w:szCs w:val="24"/>
    </w:rPr>
  </w:style>
  <w:style w:type="paragraph" w:customStyle="1" w:styleId="wl1h1">
    <w:name w:val="wl1h1"/>
    <w:basedOn w:val="wl1h"/>
    <w:qFormat/>
    <w:rsid w:val="005F506D"/>
    <w:rPr>
      <w:sz w:val="36"/>
      <w:szCs w:val="44"/>
    </w:rPr>
  </w:style>
  <w:style w:type="paragraph" w:customStyle="1" w:styleId="wl1l">
    <w:name w:val="wl1l"/>
    <w:qFormat/>
    <w:rsid w:val="005F506D"/>
    <w:pPr>
      <w:spacing w:after="100" w:line="480" w:lineRule="auto"/>
      <w:ind w:left="1080" w:right="720"/>
    </w:pPr>
    <w:rPr>
      <w:rFonts w:ascii="Arial" w:eastAsia="Times New Roman" w:hAnsi="Arial" w:cs="Times New Roman"/>
      <w:sz w:val="24"/>
      <w:szCs w:val="24"/>
    </w:rPr>
  </w:style>
  <w:style w:type="paragraph" w:customStyle="1" w:styleId="wl1s">
    <w:name w:val="wl1s"/>
    <w:basedOn w:val="wl1f"/>
    <w:qFormat/>
    <w:rsid w:val="005F506D"/>
    <w:pPr>
      <w:spacing w:after="100" w:line="480" w:lineRule="auto"/>
      <w:ind w:right="1080"/>
    </w:pPr>
  </w:style>
  <w:style w:type="paragraph" w:customStyle="1" w:styleId="wl2">
    <w:name w:val="wl2"/>
    <w:qFormat/>
    <w:rsid w:val="005F506D"/>
    <w:pPr>
      <w:spacing w:after="0" w:line="240" w:lineRule="auto"/>
      <w:ind w:left="1440" w:right="1440"/>
    </w:pPr>
    <w:rPr>
      <w:rFonts w:ascii="Times New Roman" w:eastAsia="Times New Roman" w:hAnsi="Times New Roman" w:cs="Times New Roman"/>
      <w:sz w:val="24"/>
      <w:szCs w:val="24"/>
    </w:rPr>
  </w:style>
  <w:style w:type="paragraph" w:customStyle="1" w:styleId="wl2f">
    <w:name w:val="wl2f"/>
    <w:next w:val="wl2"/>
    <w:qFormat/>
    <w:rsid w:val="005F506D"/>
    <w:pPr>
      <w:spacing w:before="100" w:after="0" w:line="240" w:lineRule="auto"/>
      <w:ind w:left="1440" w:right="1440"/>
    </w:pPr>
    <w:rPr>
      <w:rFonts w:ascii="Times New Roman" w:eastAsia="Times New Roman" w:hAnsi="Times New Roman" w:cs="Times New Roman"/>
      <w:sz w:val="24"/>
      <w:szCs w:val="24"/>
    </w:rPr>
  </w:style>
  <w:style w:type="paragraph" w:customStyle="1" w:styleId="wl2h">
    <w:name w:val="wl2h"/>
    <w:qFormat/>
    <w:rsid w:val="005F506D"/>
    <w:pPr>
      <w:spacing w:before="100" w:after="0" w:line="240" w:lineRule="auto"/>
      <w:ind w:left="1440" w:right="1440"/>
    </w:pPr>
    <w:rPr>
      <w:rFonts w:ascii="Times New Roman" w:eastAsia="Times New Roman" w:hAnsi="Times New Roman" w:cs="Times New Roman"/>
      <w:sz w:val="32"/>
      <w:szCs w:val="24"/>
    </w:rPr>
  </w:style>
  <w:style w:type="paragraph" w:customStyle="1" w:styleId="wl2h1">
    <w:name w:val="wl2h1"/>
    <w:basedOn w:val="wl2h"/>
    <w:qFormat/>
    <w:rsid w:val="005F506D"/>
    <w:pPr>
      <w:spacing w:before="0"/>
      <w:outlineLvl w:val="1"/>
    </w:pPr>
    <w:rPr>
      <w:sz w:val="28"/>
      <w:szCs w:val="20"/>
    </w:rPr>
  </w:style>
  <w:style w:type="paragraph" w:customStyle="1" w:styleId="wl2l">
    <w:name w:val="wl2l"/>
    <w:qFormat/>
    <w:rsid w:val="005F506D"/>
    <w:pPr>
      <w:spacing w:after="100" w:line="240" w:lineRule="auto"/>
      <w:ind w:left="1440" w:right="1440"/>
    </w:pPr>
    <w:rPr>
      <w:rFonts w:ascii="Times New Roman" w:eastAsia="Times New Roman" w:hAnsi="Times New Roman" w:cs="Times New Roman"/>
      <w:sz w:val="24"/>
      <w:szCs w:val="24"/>
    </w:rPr>
  </w:style>
  <w:style w:type="paragraph" w:customStyle="1" w:styleId="wl2s">
    <w:name w:val="wl2s"/>
    <w:basedOn w:val="wl1s"/>
    <w:qFormat/>
    <w:rsid w:val="005F506D"/>
    <w:pPr>
      <w:ind w:left="1440" w:right="1440"/>
    </w:pPr>
    <w:rPr>
      <w:rFonts w:ascii="Times New Roman" w:hAnsi="Times New Roman"/>
    </w:rPr>
  </w:style>
  <w:style w:type="paragraph" w:customStyle="1" w:styleId="wl3f">
    <w:name w:val="wl3f"/>
    <w:next w:val="Normal"/>
    <w:qFormat/>
    <w:rsid w:val="005F506D"/>
    <w:pPr>
      <w:spacing w:after="0" w:line="240" w:lineRule="auto"/>
      <w:ind w:left="1800" w:right="1800"/>
    </w:pPr>
    <w:rPr>
      <w:rFonts w:ascii="Times New Roman" w:eastAsia="Times New Roman" w:hAnsi="Times New Roman" w:cs="Times New Roman"/>
      <w:sz w:val="18"/>
      <w:szCs w:val="24"/>
    </w:rPr>
  </w:style>
  <w:style w:type="paragraph" w:customStyle="1" w:styleId="wl3">
    <w:name w:val="wl3"/>
    <w:basedOn w:val="wl3f"/>
    <w:qFormat/>
    <w:rsid w:val="005F506D"/>
  </w:style>
  <w:style w:type="paragraph" w:customStyle="1" w:styleId="wl3h">
    <w:name w:val="wl3h"/>
    <w:qFormat/>
    <w:rsid w:val="005F506D"/>
    <w:pPr>
      <w:spacing w:before="100" w:after="0" w:line="240" w:lineRule="auto"/>
      <w:ind w:left="1800" w:right="1800"/>
    </w:pPr>
    <w:rPr>
      <w:rFonts w:ascii="Times New Roman" w:eastAsia="Times New Roman" w:hAnsi="Times New Roman" w:cs="Times New Roman"/>
      <w:sz w:val="24"/>
      <w:szCs w:val="24"/>
    </w:rPr>
  </w:style>
  <w:style w:type="paragraph" w:customStyle="1" w:styleId="wl3h1">
    <w:name w:val="wl3h1"/>
    <w:basedOn w:val="wl3h"/>
    <w:qFormat/>
    <w:rsid w:val="005F506D"/>
    <w:pPr>
      <w:spacing w:before="0"/>
      <w:outlineLvl w:val="1"/>
    </w:pPr>
    <w:rPr>
      <w:sz w:val="20"/>
    </w:rPr>
  </w:style>
  <w:style w:type="paragraph" w:customStyle="1" w:styleId="wl3l">
    <w:name w:val="wl3l"/>
    <w:qFormat/>
    <w:rsid w:val="005F506D"/>
    <w:pPr>
      <w:spacing w:after="100" w:line="240" w:lineRule="auto"/>
      <w:ind w:left="1800" w:right="1800"/>
    </w:pPr>
    <w:rPr>
      <w:rFonts w:ascii="Times New Roman" w:eastAsia="Times New Roman" w:hAnsi="Times New Roman" w:cs="Times New Roman"/>
      <w:sz w:val="18"/>
      <w:szCs w:val="24"/>
    </w:rPr>
  </w:style>
  <w:style w:type="paragraph" w:customStyle="1" w:styleId="wl3s">
    <w:name w:val="wl3s"/>
    <w:basedOn w:val="wl2s"/>
    <w:qFormat/>
    <w:rsid w:val="005F506D"/>
    <w:pPr>
      <w:ind w:left="1800" w:right="720"/>
    </w:pPr>
    <w:rPr>
      <w:sz w:val="18"/>
    </w:rPr>
  </w:style>
  <w:style w:type="paragraph" w:customStyle="1" w:styleId="wlh">
    <w:name w:val="wlh"/>
    <w:qFormat/>
    <w:rsid w:val="005F506D"/>
    <w:pPr>
      <w:spacing w:after="0" w:line="240" w:lineRule="auto"/>
      <w:ind w:left="720" w:right="720"/>
      <w:outlineLvl w:val="8"/>
    </w:pPr>
    <w:rPr>
      <w:rFonts w:ascii="Arial" w:eastAsia="Times New Roman" w:hAnsi="Arial" w:cs="Times New Roman"/>
      <w:sz w:val="48"/>
      <w:szCs w:val="24"/>
    </w:rPr>
  </w:style>
  <w:style w:type="paragraph" w:customStyle="1" w:styleId="wlh1">
    <w:name w:val="wlh1"/>
    <w:basedOn w:val="wlh"/>
    <w:qFormat/>
    <w:rsid w:val="005F506D"/>
    <w:pPr>
      <w:spacing w:before="360" w:after="60"/>
      <w:outlineLvl w:val="1"/>
    </w:pPr>
    <w:rPr>
      <w:sz w:val="44"/>
      <w:szCs w:val="20"/>
    </w:rPr>
  </w:style>
  <w:style w:type="paragraph" w:customStyle="1" w:styleId="wll">
    <w:name w:val="wll"/>
    <w:qFormat/>
    <w:rsid w:val="005F506D"/>
    <w:pPr>
      <w:spacing w:after="100" w:line="240" w:lineRule="auto"/>
      <w:ind w:left="720" w:right="720"/>
    </w:pPr>
    <w:rPr>
      <w:rFonts w:ascii="Arial" w:eastAsia="Times New Roman" w:hAnsi="Arial" w:cs="Times New Roman"/>
      <w:sz w:val="24"/>
      <w:szCs w:val="24"/>
    </w:rPr>
  </w:style>
  <w:style w:type="paragraph" w:customStyle="1" w:styleId="wls">
    <w:name w:val="wls"/>
    <w:basedOn w:val="wl"/>
    <w:qFormat/>
    <w:rsid w:val="005F506D"/>
    <w:pPr>
      <w:spacing w:before="100" w:after="300"/>
    </w:pPr>
  </w:style>
  <w:style w:type="paragraph" w:customStyle="1" w:styleId="wsh">
    <w:name w:val="wsh"/>
    <w:qFormat/>
    <w:rsid w:val="005F506D"/>
    <w:pPr>
      <w:spacing w:after="0" w:line="240" w:lineRule="auto"/>
      <w:outlineLvl w:val="8"/>
    </w:pPr>
    <w:rPr>
      <w:rFonts w:ascii="Arial" w:eastAsia="Times New Roman" w:hAnsi="Arial" w:cs="Times New Roman"/>
      <w:sz w:val="24"/>
      <w:szCs w:val="24"/>
    </w:rPr>
  </w:style>
  <w:style w:type="character" w:customStyle="1" w:styleId="xbk">
    <w:name w:val="xbk"/>
    <w:rsid w:val="005F506D"/>
  </w:style>
  <w:style w:type="character" w:customStyle="1" w:styleId="xbr">
    <w:name w:val="xbr"/>
    <w:rsid w:val="005F506D"/>
    <w:rPr>
      <w:color w:val="800080"/>
    </w:rPr>
  </w:style>
  <w:style w:type="character" w:customStyle="1" w:styleId="xref">
    <w:name w:val="xref"/>
    <w:rsid w:val="005F506D"/>
    <w:rPr>
      <w:color w:val="FF6600"/>
      <w:bdr w:val="none" w:sz="0" w:space="0" w:color="auto"/>
    </w:rPr>
  </w:style>
  <w:style w:type="character" w:customStyle="1" w:styleId="xref-i">
    <w:name w:val="xref-i"/>
    <w:uiPriority w:val="1"/>
    <w:qFormat/>
    <w:rsid w:val="005F506D"/>
    <w:rPr>
      <w:rFonts w:eastAsia="MS Mincho"/>
      <w:i/>
      <w:color w:val="FF6600"/>
      <w:bdr w:val="none" w:sz="0" w:space="0" w:color="auto"/>
    </w:rPr>
  </w:style>
  <w:style w:type="character" w:customStyle="1" w:styleId="sm-sub-i">
    <w:name w:val="sm-sub-i"/>
    <w:rsid w:val="005F506D"/>
    <w:rPr>
      <w:b/>
    </w:rPr>
  </w:style>
  <w:style w:type="character" w:customStyle="1" w:styleId="sm-sup-i">
    <w:name w:val="sm-sup-i"/>
    <w:rsid w:val="005F506D"/>
    <w:rPr>
      <w:b/>
    </w:rPr>
  </w:style>
  <w:style w:type="character" w:customStyle="1" w:styleId="sm-sup">
    <w:name w:val="sm-sup"/>
    <w:rsid w:val="005F506D"/>
    <w:rPr>
      <w:b/>
    </w:rPr>
  </w:style>
  <w:style w:type="character" w:customStyle="1" w:styleId="sm-sub">
    <w:name w:val="sm-sub"/>
    <w:rsid w:val="005F506D"/>
    <w:rPr>
      <w:b/>
    </w:rPr>
  </w:style>
  <w:style w:type="paragraph" w:customStyle="1" w:styleId="Plain">
    <w:name w:val="Plain"/>
    <w:basedOn w:val="ct0"/>
    <w:link w:val="PlainChar"/>
    <w:qFormat/>
    <w:rsid w:val="005F506D"/>
    <w:pPr>
      <w:jc w:val="left"/>
    </w:pPr>
    <w:rPr>
      <w:rFonts w:ascii="Courier New" w:hAnsi="Courier New" w:cs="Courier New"/>
      <w:noProof w:val="0"/>
      <w:sz w:val="22"/>
    </w:rPr>
  </w:style>
  <w:style w:type="character" w:customStyle="1" w:styleId="ctChar">
    <w:name w:val="ct Char"/>
    <w:link w:val="ct0"/>
    <w:rsid w:val="005F506D"/>
    <w:rPr>
      <w:rFonts w:ascii="Times New Roman" w:eastAsia="Times New Roman" w:hAnsi="Times New Roman" w:cs="Times New Roman"/>
      <w:noProof/>
      <w:sz w:val="60"/>
      <w:szCs w:val="20"/>
    </w:rPr>
  </w:style>
  <w:style w:type="character" w:customStyle="1" w:styleId="PlainChar">
    <w:name w:val="Plain Char"/>
    <w:link w:val="Plain"/>
    <w:rsid w:val="005F506D"/>
    <w:rPr>
      <w:rFonts w:ascii="Courier New" w:eastAsia="Times New Roman" w:hAnsi="Courier New" w:cs="Courier New"/>
      <w:szCs w:val="20"/>
    </w:rPr>
  </w:style>
  <w:style w:type="character" w:customStyle="1" w:styleId="medium-font">
    <w:name w:val="medium-font"/>
    <w:basedOn w:val="DefaultParagraphFont"/>
    <w:rsid w:val="009C0D26"/>
  </w:style>
  <w:style w:type="character" w:customStyle="1" w:styleId="a">
    <w:name w:val="a"/>
    <w:basedOn w:val="DefaultParagraphFont"/>
    <w:rsid w:val="00F5577F"/>
  </w:style>
  <w:style w:type="character" w:customStyle="1" w:styleId="a-size-large">
    <w:name w:val="a-size-large"/>
    <w:basedOn w:val="DefaultParagraphFont"/>
    <w:rsid w:val="002F1D32"/>
  </w:style>
  <w:style w:type="character" w:customStyle="1" w:styleId="itempublisher">
    <w:name w:val="itempublisher"/>
    <w:basedOn w:val="DefaultParagraphFont"/>
    <w:rsid w:val="000A5D90"/>
  </w:style>
  <w:style w:type="character" w:styleId="Strong">
    <w:name w:val="Strong"/>
    <w:basedOn w:val="DefaultParagraphFont"/>
    <w:uiPriority w:val="22"/>
    <w:qFormat/>
    <w:rsid w:val="00A96CC9"/>
    <w:rPr>
      <w:b/>
      <w:bCs/>
    </w:rPr>
  </w:style>
  <w:style w:type="character" w:styleId="HTMLCite">
    <w:name w:val="HTML Cite"/>
    <w:basedOn w:val="DefaultParagraphFont"/>
    <w:uiPriority w:val="99"/>
    <w:semiHidden/>
    <w:unhideWhenUsed/>
    <w:rsid w:val="00D65AE4"/>
    <w:rPr>
      <w:i/>
      <w:iCs/>
    </w:rPr>
  </w:style>
  <w:style w:type="character" w:customStyle="1" w:styleId="italics">
    <w:name w:val="italics"/>
    <w:basedOn w:val="DefaultParagraphFont"/>
    <w:rsid w:val="00F764F6"/>
  </w:style>
  <w:style w:type="character" w:customStyle="1" w:styleId="interlinear">
    <w:name w:val="interlinear"/>
    <w:basedOn w:val="DefaultParagraphFont"/>
    <w:rsid w:val="00CE67B2"/>
  </w:style>
  <w:style w:type="paragraph" w:customStyle="1" w:styleId="Titel">
    <w:name w:val="Titel"/>
    <w:basedOn w:val="Default"/>
    <w:next w:val="Default"/>
    <w:uiPriority w:val="99"/>
    <w:rsid w:val="006D5921"/>
    <w:pPr>
      <w:widowControl/>
    </w:pPr>
    <w:rPr>
      <w:rFonts w:ascii="MPNLIB+TimesNewRoman" w:eastAsiaTheme="minorHAnsi" w:hAnsi="MPNLIB+TimesNewRoman" w:cstheme="minorBidi"/>
      <w:color w:val="auto"/>
    </w:rPr>
  </w:style>
  <w:style w:type="character" w:customStyle="1" w:styleId="addmd">
    <w:name w:val="addmd"/>
    <w:basedOn w:val="DefaultParagraphFont"/>
    <w:rsid w:val="00543561"/>
  </w:style>
  <w:style w:type="character" w:customStyle="1" w:styleId="descrip">
    <w:name w:val="descrip"/>
    <w:basedOn w:val="DefaultParagraphFont"/>
    <w:rsid w:val="00543561"/>
  </w:style>
  <w:style w:type="character" w:customStyle="1" w:styleId="italic0">
    <w:name w:val="italic"/>
    <w:basedOn w:val="DefaultParagraphFont"/>
    <w:rsid w:val="00C052D1"/>
  </w:style>
  <w:style w:type="paragraph" w:customStyle="1" w:styleId="Title1">
    <w:name w:val="Title1"/>
    <w:basedOn w:val="Normal"/>
    <w:rsid w:val="00FB2A07"/>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
    <w:name w:val="auth"/>
    <w:basedOn w:val="Normal"/>
    <w:rsid w:val="00FB2A07"/>
    <w:pPr>
      <w:spacing w:before="100" w:beforeAutospacing="1" w:after="100" w:afterAutospacing="1"/>
      <w:ind w:firstLine="0"/>
    </w:pPr>
    <w:rPr>
      <w:rFonts w:ascii="Times New Roman" w:eastAsia="Times New Roman" w:hAnsi="Times New Roman" w:cs="Times New Roman"/>
      <w:sz w:val="24"/>
      <w:szCs w:val="24"/>
    </w:rPr>
  </w:style>
  <w:style w:type="paragraph" w:customStyle="1" w:styleId="detail">
    <w:name w:val="detail"/>
    <w:basedOn w:val="Normal"/>
    <w:rsid w:val="00FB2A07"/>
    <w:pPr>
      <w:spacing w:before="100" w:beforeAutospacing="1" w:after="100" w:afterAutospacing="1"/>
      <w:ind w:firstLine="0"/>
    </w:pPr>
    <w:rPr>
      <w:rFonts w:ascii="Times New Roman" w:eastAsia="Times New Roman" w:hAnsi="Times New Roman" w:cs="Times New Roman"/>
      <w:sz w:val="24"/>
      <w:szCs w:val="24"/>
    </w:rPr>
  </w:style>
  <w:style w:type="paragraph" w:customStyle="1" w:styleId="author">
    <w:name w:val="author"/>
    <w:basedOn w:val="Normal"/>
    <w:rsid w:val="0053413D"/>
    <w:pPr>
      <w:spacing w:before="100" w:beforeAutospacing="1" w:after="100" w:afterAutospacing="1"/>
      <w:ind w:firstLine="0"/>
    </w:pPr>
    <w:rPr>
      <w:rFonts w:ascii="Times New Roman" w:eastAsia="Times New Roman" w:hAnsi="Times New Roman" w:cs="Times New Roman"/>
      <w:sz w:val="24"/>
      <w:szCs w:val="24"/>
    </w:rPr>
  </w:style>
  <w:style w:type="character" w:customStyle="1" w:styleId="nlmyear">
    <w:name w:val="nlm_year"/>
    <w:basedOn w:val="DefaultParagraphFont"/>
    <w:rsid w:val="003C562F"/>
  </w:style>
  <w:style w:type="character" w:customStyle="1" w:styleId="nlmarticle-title">
    <w:name w:val="nlm_article-title"/>
    <w:basedOn w:val="DefaultParagraphFont"/>
    <w:rsid w:val="003C562F"/>
  </w:style>
  <w:style w:type="character" w:customStyle="1" w:styleId="nlmfpage">
    <w:name w:val="nlm_fpage"/>
    <w:basedOn w:val="DefaultParagraphFont"/>
    <w:rsid w:val="003C562F"/>
  </w:style>
  <w:style w:type="character" w:customStyle="1" w:styleId="nlmlpage">
    <w:name w:val="nlm_lpage"/>
    <w:basedOn w:val="DefaultParagraphFont"/>
    <w:rsid w:val="003C562F"/>
  </w:style>
  <w:style w:type="character" w:customStyle="1" w:styleId="l6">
    <w:name w:val="l6"/>
    <w:basedOn w:val="DefaultParagraphFont"/>
    <w:rsid w:val="0007747D"/>
  </w:style>
  <w:style w:type="character" w:customStyle="1" w:styleId="hlfld-title">
    <w:name w:val="hlfld-title"/>
    <w:basedOn w:val="DefaultParagraphFont"/>
    <w:rsid w:val="00446FC0"/>
  </w:style>
  <w:style w:type="character" w:customStyle="1" w:styleId="aqj">
    <w:name w:val="aqj"/>
    <w:basedOn w:val="DefaultParagraphFont"/>
    <w:rsid w:val="008C70A4"/>
  </w:style>
  <w:style w:type="character" w:customStyle="1" w:styleId="call-number">
    <w:name w:val="call-number"/>
    <w:basedOn w:val="DefaultParagraphFont"/>
    <w:rsid w:val="00DA4AB5"/>
  </w:style>
  <w:style w:type="character" w:customStyle="1" w:styleId="Title2">
    <w:name w:val="Title2"/>
    <w:basedOn w:val="DefaultParagraphFont"/>
    <w:rsid w:val="00191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384">
      <w:bodyDiv w:val="1"/>
      <w:marLeft w:val="0"/>
      <w:marRight w:val="0"/>
      <w:marTop w:val="0"/>
      <w:marBottom w:val="0"/>
      <w:divBdr>
        <w:top w:val="none" w:sz="0" w:space="0" w:color="auto"/>
        <w:left w:val="none" w:sz="0" w:space="0" w:color="auto"/>
        <w:bottom w:val="none" w:sz="0" w:space="0" w:color="auto"/>
        <w:right w:val="none" w:sz="0" w:space="0" w:color="auto"/>
      </w:divBdr>
    </w:div>
    <w:div w:id="182938492">
      <w:bodyDiv w:val="1"/>
      <w:marLeft w:val="0"/>
      <w:marRight w:val="0"/>
      <w:marTop w:val="0"/>
      <w:marBottom w:val="0"/>
      <w:divBdr>
        <w:top w:val="none" w:sz="0" w:space="0" w:color="auto"/>
        <w:left w:val="none" w:sz="0" w:space="0" w:color="auto"/>
        <w:bottom w:val="none" w:sz="0" w:space="0" w:color="auto"/>
        <w:right w:val="none" w:sz="0" w:space="0" w:color="auto"/>
      </w:divBdr>
    </w:div>
    <w:div w:id="206650020">
      <w:bodyDiv w:val="1"/>
      <w:marLeft w:val="0"/>
      <w:marRight w:val="0"/>
      <w:marTop w:val="0"/>
      <w:marBottom w:val="0"/>
      <w:divBdr>
        <w:top w:val="none" w:sz="0" w:space="0" w:color="auto"/>
        <w:left w:val="none" w:sz="0" w:space="0" w:color="auto"/>
        <w:bottom w:val="none" w:sz="0" w:space="0" w:color="auto"/>
        <w:right w:val="none" w:sz="0" w:space="0" w:color="auto"/>
      </w:divBdr>
      <w:divsChild>
        <w:div w:id="616375976">
          <w:marLeft w:val="0"/>
          <w:marRight w:val="0"/>
          <w:marTop w:val="0"/>
          <w:marBottom w:val="0"/>
          <w:divBdr>
            <w:top w:val="none" w:sz="0" w:space="0" w:color="auto"/>
            <w:left w:val="none" w:sz="0" w:space="0" w:color="auto"/>
            <w:bottom w:val="none" w:sz="0" w:space="0" w:color="auto"/>
            <w:right w:val="none" w:sz="0" w:space="0" w:color="auto"/>
          </w:divBdr>
        </w:div>
      </w:divsChild>
    </w:div>
    <w:div w:id="253510874">
      <w:bodyDiv w:val="1"/>
      <w:marLeft w:val="0"/>
      <w:marRight w:val="0"/>
      <w:marTop w:val="0"/>
      <w:marBottom w:val="0"/>
      <w:divBdr>
        <w:top w:val="none" w:sz="0" w:space="0" w:color="auto"/>
        <w:left w:val="none" w:sz="0" w:space="0" w:color="auto"/>
        <w:bottom w:val="none" w:sz="0" w:space="0" w:color="auto"/>
        <w:right w:val="none" w:sz="0" w:space="0" w:color="auto"/>
      </w:divBdr>
    </w:div>
    <w:div w:id="263264664">
      <w:bodyDiv w:val="1"/>
      <w:marLeft w:val="0"/>
      <w:marRight w:val="0"/>
      <w:marTop w:val="0"/>
      <w:marBottom w:val="0"/>
      <w:divBdr>
        <w:top w:val="none" w:sz="0" w:space="0" w:color="auto"/>
        <w:left w:val="none" w:sz="0" w:space="0" w:color="auto"/>
        <w:bottom w:val="none" w:sz="0" w:space="0" w:color="auto"/>
        <w:right w:val="none" w:sz="0" w:space="0" w:color="auto"/>
      </w:divBdr>
    </w:div>
    <w:div w:id="268706480">
      <w:bodyDiv w:val="1"/>
      <w:marLeft w:val="0"/>
      <w:marRight w:val="0"/>
      <w:marTop w:val="0"/>
      <w:marBottom w:val="0"/>
      <w:divBdr>
        <w:top w:val="none" w:sz="0" w:space="0" w:color="auto"/>
        <w:left w:val="none" w:sz="0" w:space="0" w:color="auto"/>
        <w:bottom w:val="none" w:sz="0" w:space="0" w:color="auto"/>
        <w:right w:val="none" w:sz="0" w:space="0" w:color="auto"/>
      </w:divBdr>
    </w:div>
    <w:div w:id="301621405">
      <w:bodyDiv w:val="1"/>
      <w:marLeft w:val="0"/>
      <w:marRight w:val="0"/>
      <w:marTop w:val="0"/>
      <w:marBottom w:val="0"/>
      <w:divBdr>
        <w:top w:val="none" w:sz="0" w:space="0" w:color="auto"/>
        <w:left w:val="none" w:sz="0" w:space="0" w:color="auto"/>
        <w:bottom w:val="none" w:sz="0" w:space="0" w:color="auto"/>
        <w:right w:val="none" w:sz="0" w:space="0" w:color="auto"/>
      </w:divBdr>
      <w:divsChild>
        <w:div w:id="1028796026">
          <w:marLeft w:val="0"/>
          <w:marRight w:val="0"/>
          <w:marTop w:val="0"/>
          <w:marBottom w:val="0"/>
          <w:divBdr>
            <w:top w:val="none" w:sz="0" w:space="0" w:color="auto"/>
            <w:left w:val="none" w:sz="0" w:space="0" w:color="auto"/>
            <w:bottom w:val="none" w:sz="0" w:space="0" w:color="auto"/>
            <w:right w:val="none" w:sz="0" w:space="0" w:color="auto"/>
          </w:divBdr>
        </w:div>
      </w:divsChild>
    </w:div>
    <w:div w:id="328212784">
      <w:bodyDiv w:val="1"/>
      <w:marLeft w:val="0"/>
      <w:marRight w:val="0"/>
      <w:marTop w:val="0"/>
      <w:marBottom w:val="0"/>
      <w:divBdr>
        <w:top w:val="none" w:sz="0" w:space="0" w:color="auto"/>
        <w:left w:val="none" w:sz="0" w:space="0" w:color="auto"/>
        <w:bottom w:val="none" w:sz="0" w:space="0" w:color="auto"/>
        <w:right w:val="none" w:sz="0" w:space="0" w:color="auto"/>
      </w:divBdr>
    </w:div>
    <w:div w:id="329989444">
      <w:bodyDiv w:val="1"/>
      <w:marLeft w:val="0"/>
      <w:marRight w:val="0"/>
      <w:marTop w:val="0"/>
      <w:marBottom w:val="0"/>
      <w:divBdr>
        <w:top w:val="none" w:sz="0" w:space="0" w:color="auto"/>
        <w:left w:val="none" w:sz="0" w:space="0" w:color="auto"/>
        <w:bottom w:val="none" w:sz="0" w:space="0" w:color="auto"/>
        <w:right w:val="none" w:sz="0" w:space="0" w:color="auto"/>
      </w:divBdr>
    </w:div>
    <w:div w:id="448747790">
      <w:bodyDiv w:val="1"/>
      <w:marLeft w:val="0"/>
      <w:marRight w:val="0"/>
      <w:marTop w:val="0"/>
      <w:marBottom w:val="0"/>
      <w:divBdr>
        <w:top w:val="none" w:sz="0" w:space="0" w:color="auto"/>
        <w:left w:val="none" w:sz="0" w:space="0" w:color="auto"/>
        <w:bottom w:val="none" w:sz="0" w:space="0" w:color="auto"/>
        <w:right w:val="none" w:sz="0" w:space="0" w:color="auto"/>
      </w:divBdr>
      <w:divsChild>
        <w:div w:id="700323802">
          <w:marLeft w:val="0"/>
          <w:marRight w:val="0"/>
          <w:marTop w:val="0"/>
          <w:marBottom w:val="0"/>
          <w:divBdr>
            <w:top w:val="none" w:sz="0" w:space="0" w:color="auto"/>
            <w:left w:val="none" w:sz="0" w:space="0" w:color="auto"/>
            <w:bottom w:val="none" w:sz="0" w:space="0" w:color="auto"/>
            <w:right w:val="none" w:sz="0" w:space="0" w:color="auto"/>
          </w:divBdr>
        </w:div>
      </w:divsChild>
    </w:div>
    <w:div w:id="470751769">
      <w:bodyDiv w:val="1"/>
      <w:marLeft w:val="0"/>
      <w:marRight w:val="0"/>
      <w:marTop w:val="0"/>
      <w:marBottom w:val="0"/>
      <w:divBdr>
        <w:top w:val="none" w:sz="0" w:space="0" w:color="auto"/>
        <w:left w:val="none" w:sz="0" w:space="0" w:color="auto"/>
        <w:bottom w:val="none" w:sz="0" w:space="0" w:color="auto"/>
        <w:right w:val="none" w:sz="0" w:space="0" w:color="auto"/>
      </w:divBdr>
    </w:div>
    <w:div w:id="495221595">
      <w:bodyDiv w:val="1"/>
      <w:marLeft w:val="0"/>
      <w:marRight w:val="0"/>
      <w:marTop w:val="0"/>
      <w:marBottom w:val="0"/>
      <w:divBdr>
        <w:top w:val="none" w:sz="0" w:space="0" w:color="auto"/>
        <w:left w:val="none" w:sz="0" w:space="0" w:color="auto"/>
        <w:bottom w:val="none" w:sz="0" w:space="0" w:color="auto"/>
        <w:right w:val="none" w:sz="0" w:space="0" w:color="auto"/>
      </w:divBdr>
    </w:div>
    <w:div w:id="505632236">
      <w:bodyDiv w:val="1"/>
      <w:marLeft w:val="0"/>
      <w:marRight w:val="0"/>
      <w:marTop w:val="0"/>
      <w:marBottom w:val="0"/>
      <w:divBdr>
        <w:top w:val="none" w:sz="0" w:space="0" w:color="auto"/>
        <w:left w:val="none" w:sz="0" w:space="0" w:color="auto"/>
        <w:bottom w:val="none" w:sz="0" w:space="0" w:color="auto"/>
        <w:right w:val="none" w:sz="0" w:space="0" w:color="auto"/>
      </w:divBdr>
    </w:div>
    <w:div w:id="530648827">
      <w:bodyDiv w:val="1"/>
      <w:marLeft w:val="0"/>
      <w:marRight w:val="0"/>
      <w:marTop w:val="0"/>
      <w:marBottom w:val="0"/>
      <w:divBdr>
        <w:top w:val="none" w:sz="0" w:space="0" w:color="auto"/>
        <w:left w:val="none" w:sz="0" w:space="0" w:color="auto"/>
        <w:bottom w:val="none" w:sz="0" w:space="0" w:color="auto"/>
        <w:right w:val="none" w:sz="0" w:space="0" w:color="auto"/>
      </w:divBdr>
    </w:div>
    <w:div w:id="535696162">
      <w:bodyDiv w:val="1"/>
      <w:marLeft w:val="0"/>
      <w:marRight w:val="0"/>
      <w:marTop w:val="0"/>
      <w:marBottom w:val="0"/>
      <w:divBdr>
        <w:top w:val="none" w:sz="0" w:space="0" w:color="auto"/>
        <w:left w:val="none" w:sz="0" w:space="0" w:color="auto"/>
        <w:bottom w:val="none" w:sz="0" w:space="0" w:color="auto"/>
        <w:right w:val="none" w:sz="0" w:space="0" w:color="auto"/>
      </w:divBdr>
    </w:div>
    <w:div w:id="543563089">
      <w:bodyDiv w:val="1"/>
      <w:marLeft w:val="0"/>
      <w:marRight w:val="0"/>
      <w:marTop w:val="0"/>
      <w:marBottom w:val="0"/>
      <w:divBdr>
        <w:top w:val="none" w:sz="0" w:space="0" w:color="auto"/>
        <w:left w:val="none" w:sz="0" w:space="0" w:color="auto"/>
        <w:bottom w:val="none" w:sz="0" w:space="0" w:color="auto"/>
        <w:right w:val="none" w:sz="0" w:space="0" w:color="auto"/>
      </w:divBdr>
      <w:divsChild>
        <w:div w:id="1588148662">
          <w:marLeft w:val="0"/>
          <w:marRight w:val="0"/>
          <w:marTop w:val="0"/>
          <w:marBottom w:val="0"/>
          <w:divBdr>
            <w:top w:val="none" w:sz="0" w:space="0" w:color="auto"/>
            <w:left w:val="none" w:sz="0" w:space="0" w:color="auto"/>
            <w:bottom w:val="none" w:sz="0" w:space="0" w:color="auto"/>
            <w:right w:val="none" w:sz="0" w:space="0" w:color="auto"/>
          </w:divBdr>
          <w:divsChild>
            <w:div w:id="1914465517">
              <w:marLeft w:val="0"/>
              <w:marRight w:val="0"/>
              <w:marTop w:val="0"/>
              <w:marBottom w:val="0"/>
              <w:divBdr>
                <w:top w:val="none" w:sz="0" w:space="0" w:color="auto"/>
                <w:left w:val="none" w:sz="0" w:space="0" w:color="auto"/>
                <w:bottom w:val="none" w:sz="0" w:space="0" w:color="auto"/>
                <w:right w:val="none" w:sz="0" w:space="0" w:color="auto"/>
              </w:divBdr>
              <w:divsChild>
                <w:div w:id="2091609395">
                  <w:marLeft w:val="0"/>
                  <w:marRight w:val="0"/>
                  <w:marTop w:val="0"/>
                  <w:marBottom w:val="0"/>
                  <w:divBdr>
                    <w:top w:val="none" w:sz="0" w:space="0" w:color="auto"/>
                    <w:left w:val="none" w:sz="0" w:space="0" w:color="auto"/>
                    <w:bottom w:val="none" w:sz="0" w:space="0" w:color="auto"/>
                    <w:right w:val="none" w:sz="0" w:space="0" w:color="auto"/>
                  </w:divBdr>
                  <w:divsChild>
                    <w:div w:id="13939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64528">
      <w:bodyDiv w:val="1"/>
      <w:marLeft w:val="0"/>
      <w:marRight w:val="0"/>
      <w:marTop w:val="0"/>
      <w:marBottom w:val="0"/>
      <w:divBdr>
        <w:top w:val="none" w:sz="0" w:space="0" w:color="auto"/>
        <w:left w:val="none" w:sz="0" w:space="0" w:color="auto"/>
        <w:bottom w:val="none" w:sz="0" w:space="0" w:color="auto"/>
        <w:right w:val="none" w:sz="0" w:space="0" w:color="auto"/>
      </w:divBdr>
      <w:divsChild>
        <w:div w:id="1357999673">
          <w:marLeft w:val="0"/>
          <w:marRight w:val="0"/>
          <w:marTop w:val="0"/>
          <w:marBottom w:val="0"/>
          <w:divBdr>
            <w:top w:val="none" w:sz="0" w:space="0" w:color="auto"/>
            <w:left w:val="none" w:sz="0" w:space="0" w:color="auto"/>
            <w:bottom w:val="none" w:sz="0" w:space="0" w:color="auto"/>
            <w:right w:val="none" w:sz="0" w:space="0" w:color="auto"/>
          </w:divBdr>
        </w:div>
      </w:divsChild>
    </w:div>
    <w:div w:id="568345330">
      <w:bodyDiv w:val="1"/>
      <w:marLeft w:val="0"/>
      <w:marRight w:val="0"/>
      <w:marTop w:val="0"/>
      <w:marBottom w:val="0"/>
      <w:divBdr>
        <w:top w:val="none" w:sz="0" w:space="0" w:color="auto"/>
        <w:left w:val="none" w:sz="0" w:space="0" w:color="auto"/>
        <w:bottom w:val="none" w:sz="0" w:space="0" w:color="auto"/>
        <w:right w:val="none" w:sz="0" w:space="0" w:color="auto"/>
      </w:divBdr>
    </w:div>
    <w:div w:id="587469621">
      <w:bodyDiv w:val="1"/>
      <w:marLeft w:val="0"/>
      <w:marRight w:val="0"/>
      <w:marTop w:val="0"/>
      <w:marBottom w:val="0"/>
      <w:divBdr>
        <w:top w:val="none" w:sz="0" w:space="0" w:color="auto"/>
        <w:left w:val="none" w:sz="0" w:space="0" w:color="auto"/>
        <w:bottom w:val="none" w:sz="0" w:space="0" w:color="auto"/>
        <w:right w:val="none" w:sz="0" w:space="0" w:color="auto"/>
      </w:divBdr>
    </w:div>
    <w:div w:id="593829300">
      <w:bodyDiv w:val="1"/>
      <w:marLeft w:val="0"/>
      <w:marRight w:val="0"/>
      <w:marTop w:val="0"/>
      <w:marBottom w:val="0"/>
      <w:divBdr>
        <w:top w:val="none" w:sz="0" w:space="0" w:color="auto"/>
        <w:left w:val="none" w:sz="0" w:space="0" w:color="auto"/>
        <w:bottom w:val="none" w:sz="0" w:space="0" w:color="auto"/>
        <w:right w:val="none" w:sz="0" w:space="0" w:color="auto"/>
      </w:divBdr>
      <w:divsChild>
        <w:div w:id="1419062239">
          <w:marLeft w:val="0"/>
          <w:marRight w:val="0"/>
          <w:marTop w:val="0"/>
          <w:marBottom w:val="0"/>
          <w:divBdr>
            <w:top w:val="none" w:sz="0" w:space="0" w:color="auto"/>
            <w:left w:val="none" w:sz="0" w:space="0" w:color="auto"/>
            <w:bottom w:val="none" w:sz="0" w:space="0" w:color="auto"/>
            <w:right w:val="none" w:sz="0" w:space="0" w:color="auto"/>
          </w:divBdr>
        </w:div>
      </w:divsChild>
    </w:div>
    <w:div w:id="597908009">
      <w:bodyDiv w:val="1"/>
      <w:marLeft w:val="0"/>
      <w:marRight w:val="0"/>
      <w:marTop w:val="0"/>
      <w:marBottom w:val="0"/>
      <w:divBdr>
        <w:top w:val="none" w:sz="0" w:space="0" w:color="auto"/>
        <w:left w:val="none" w:sz="0" w:space="0" w:color="auto"/>
        <w:bottom w:val="none" w:sz="0" w:space="0" w:color="auto"/>
        <w:right w:val="none" w:sz="0" w:space="0" w:color="auto"/>
      </w:divBdr>
      <w:divsChild>
        <w:div w:id="283773006">
          <w:marLeft w:val="0"/>
          <w:marRight w:val="0"/>
          <w:marTop w:val="0"/>
          <w:marBottom w:val="0"/>
          <w:divBdr>
            <w:top w:val="none" w:sz="0" w:space="0" w:color="auto"/>
            <w:left w:val="none" w:sz="0" w:space="0" w:color="auto"/>
            <w:bottom w:val="none" w:sz="0" w:space="0" w:color="auto"/>
            <w:right w:val="none" w:sz="0" w:space="0" w:color="auto"/>
          </w:divBdr>
        </w:div>
      </w:divsChild>
    </w:div>
    <w:div w:id="598950041">
      <w:bodyDiv w:val="1"/>
      <w:marLeft w:val="0"/>
      <w:marRight w:val="0"/>
      <w:marTop w:val="0"/>
      <w:marBottom w:val="0"/>
      <w:divBdr>
        <w:top w:val="none" w:sz="0" w:space="0" w:color="auto"/>
        <w:left w:val="none" w:sz="0" w:space="0" w:color="auto"/>
        <w:bottom w:val="none" w:sz="0" w:space="0" w:color="auto"/>
        <w:right w:val="none" w:sz="0" w:space="0" w:color="auto"/>
      </w:divBdr>
      <w:divsChild>
        <w:div w:id="2061395185">
          <w:marLeft w:val="0"/>
          <w:marRight w:val="0"/>
          <w:marTop w:val="0"/>
          <w:marBottom w:val="0"/>
          <w:divBdr>
            <w:top w:val="none" w:sz="0" w:space="0" w:color="auto"/>
            <w:left w:val="none" w:sz="0" w:space="0" w:color="auto"/>
            <w:bottom w:val="none" w:sz="0" w:space="0" w:color="auto"/>
            <w:right w:val="none" w:sz="0" w:space="0" w:color="auto"/>
          </w:divBdr>
        </w:div>
      </w:divsChild>
    </w:div>
    <w:div w:id="612708359">
      <w:bodyDiv w:val="1"/>
      <w:marLeft w:val="0"/>
      <w:marRight w:val="0"/>
      <w:marTop w:val="0"/>
      <w:marBottom w:val="0"/>
      <w:divBdr>
        <w:top w:val="none" w:sz="0" w:space="0" w:color="auto"/>
        <w:left w:val="none" w:sz="0" w:space="0" w:color="auto"/>
        <w:bottom w:val="none" w:sz="0" w:space="0" w:color="auto"/>
        <w:right w:val="none" w:sz="0" w:space="0" w:color="auto"/>
      </w:divBdr>
    </w:div>
    <w:div w:id="639581888">
      <w:bodyDiv w:val="1"/>
      <w:marLeft w:val="0"/>
      <w:marRight w:val="0"/>
      <w:marTop w:val="0"/>
      <w:marBottom w:val="0"/>
      <w:divBdr>
        <w:top w:val="none" w:sz="0" w:space="0" w:color="auto"/>
        <w:left w:val="none" w:sz="0" w:space="0" w:color="auto"/>
        <w:bottom w:val="none" w:sz="0" w:space="0" w:color="auto"/>
        <w:right w:val="none" w:sz="0" w:space="0" w:color="auto"/>
      </w:divBdr>
      <w:divsChild>
        <w:div w:id="173036611">
          <w:marLeft w:val="0"/>
          <w:marRight w:val="0"/>
          <w:marTop w:val="0"/>
          <w:marBottom w:val="0"/>
          <w:divBdr>
            <w:top w:val="none" w:sz="0" w:space="0" w:color="auto"/>
            <w:left w:val="none" w:sz="0" w:space="0" w:color="auto"/>
            <w:bottom w:val="none" w:sz="0" w:space="0" w:color="auto"/>
            <w:right w:val="none" w:sz="0" w:space="0" w:color="auto"/>
          </w:divBdr>
        </w:div>
        <w:div w:id="561211457">
          <w:marLeft w:val="0"/>
          <w:marRight w:val="0"/>
          <w:marTop w:val="0"/>
          <w:marBottom w:val="0"/>
          <w:divBdr>
            <w:top w:val="none" w:sz="0" w:space="0" w:color="auto"/>
            <w:left w:val="none" w:sz="0" w:space="0" w:color="auto"/>
            <w:bottom w:val="none" w:sz="0" w:space="0" w:color="auto"/>
            <w:right w:val="none" w:sz="0" w:space="0" w:color="auto"/>
          </w:divBdr>
        </w:div>
      </w:divsChild>
    </w:div>
    <w:div w:id="659426034">
      <w:bodyDiv w:val="1"/>
      <w:marLeft w:val="0"/>
      <w:marRight w:val="0"/>
      <w:marTop w:val="0"/>
      <w:marBottom w:val="0"/>
      <w:divBdr>
        <w:top w:val="none" w:sz="0" w:space="0" w:color="auto"/>
        <w:left w:val="none" w:sz="0" w:space="0" w:color="auto"/>
        <w:bottom w:val="none" w:sz="0" w:space="0" w:color="auto"/>
        <w:right w:val="none" w:sz="0" w:space="0" w:color="auto"/>
      </w:divBdr>
    </w:div>
    <w:div w:id="669259784">
      <w:bodyDiv w:val="1"/>
      <w:marLeft w:val="0"/>
      <w:marRight w:val="0"/>
      <w:marTop w:val="0"/>
      <w:marBottom w:val="0"/>
      <w:divBdr>
        <w:top w:val="none" w:sz="0" w:space="0" w:color="auto"/>
        <w:left w:val="none" w:sz="0" w:space="0" w:color="auto"/>
        <w:bottom w:val="none" w:sz="0" w:space="0" w:color="auto"/>
        <w:right w:val="none" w:sz="0" w:space="0" w:color="auto"/>
      </w:divBdr>
      <w:divsChild>
        <w:div w:id="1726640369">
          <w:marLeft w:val="0"/>
          <w:marRight w:val="0"/>
          <w:marTop w:val="0"/>
          <w:marBottom w:val="0"/>
          <w:divBdr>
            <w:top w:val="none" w:sz="0" w:space="0" w:color="auto"/>
            <w:left w:val="none" w:sz="0" w:space="0" w:color="auto"/>
            <w:bottom w:val="none" w:sz="0" w:space="0" w:color="auto"/>
            <w:right w:val="none" w:sz="0" w:space="0" w:color="auto"/>
          </w:divBdr>
        </w:div>
        <w:div w:id="1436098343">
          <w:marLeft w:val="0"/>
          <w:marRight w:val="0"/>
          <w:marTop w:val="0"/>
          <w:marBottom w:val="0"/>
          <w:divBdr>
            <w:top w:val="none" w:sz="0" w:space="0" w:color="auto"/>
            <w:left w:val="none" w:sz="0" w:space="0" w:color="auto"/>
            <w:bottom w:val="none" w:sz="0" w:space="0" w:color="auto"/>
            <w:right w:val="none" w:sz="0" w:space="0" w:color="auto"/>
          </w:divBdr>
          <w:divsChild>
            <w:div w:id="1343900699">
              <w:marLeft w:val="0"/>
              <w:marRight w:val="0"/>
              <w:marTop w:val="0"/>
              <w:marBottom w:val="0"/>
              <w:divBdr>
                <w:top w:val="none" w:sz="0" w:space="0" w:color="auto"/>
                <w:left w:val="none" w:sz="0" w:space="0" w:color="auto"/>
                <w:bottom w:val="none" w:sz="0" w:space="0" w:color="auto"/>
                <w:right w:val="none" w:sz="0" w:space="0" w:color="auto"/>
              </w:divBdr>
            </w:div>
            <w:div w:id="124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2252">
      <w:bodyDiv w:val="1"/>
      <w:marLeft w:val="0"/>
      <w:marRight w:val="0"/>
      <w:marTop w:val="0"/>
      <w:marBottom w:val="0"/>
      <w:divBdr>
        <w:top w:val="none" w:sz="0" w:space="0" w:color="auto"/>
        <w:left w:val="none" w:sz="0" w:space="0" w:color="auto"/>
        <w:bottom w:val="none" w:sz="0" w:space="0" w:color="auto"/>
        <w:right w:val="none" w:sz="0" w:space="0" w:color="auto"/>
      </w:divBdr>
      <w:divsChild>
        <w:div w:id="757598727">
          <w:marLeft w:val="0"/>
          <w:marRight w:val="0"/>
          <w:marTop w:val="0"/>
          <w:marBottom w:val="0"/>
          <w:divBdr>
            <w:top w:val="none" w:sz="0" w:space="0" w:color="auto"/>
            <w:left w:val="none" w:sz="0" w:space="0" w:color="auto"/>
            <w:bottom w:val="none" w:sz="0" w:space="0" w:color="auto"/>
            <w:right w:val="none" w:sz="0" w:space="0" w:color="auto"/>
          </w:divBdr>
        </w:div>
      </w:divsChild>
    </w:div>
    <w:div w:id="704865960">
      <w:bodyDiv w:val="1"/>
      <w:marLeft w:val="0"/>
      <w:marRight w:val="0"/>
      <w:marTop w:val="0"/>
      <w:marBottom w:val="0"/>
      <w:divBdr>
        <w:top w:val="none" w:sz="0" w:space="0" w:color="auto"/>
        <w:left w:val="none" w:sz="0" w:space="0" w:color="auto"/>
        <w:bottom w:val="none" w:sz="0" w:space="0" w:color="auto"/>
        <w:right w:val="none" w:sz="0" w:space="0" w:color="auto"/>
      </w:divBdr>
    </w:div>
    <w:div w:id="750856611">
      <w:bodyDiv w:val="1"/>
      <w:marLeft w:val="0"/>
      <w:marRight w:val="0"/>
      <w:marTop w:val="0"/>
      <w:marBottom w:val="0"/>
      <w:divBdr>
        <w:top w:val="none" w:sz="0" w:space="0" w:color="auto"/>
        <w:left w:val="none" w:sz="0" w:space="0" w:color="auto"/>
        <w:bottom w:val="none" w:sz="0" w:space="0" w:color="auto"/>
        <w:right w:val="none" w:sz="0" w:space="0" w:color="auto"/>
      </w:divBdr>
      <w:divsChild>
        <w:div w:id="302739051">
          <w:marLeft w:val="0"/>
          <w:marRight w:val="0"/>
          <w:marTop w:val="0"/>
          <w:marBottom w:val="0"/>
          <w:divBdr>
            <w:top w:val="none" w:sz="0" w:space="0" w:color="auto"/>
            <w:left w:val="none" w:sz="0" w:space="0" w:color="auto"/>
            <w:bottom w:val="none" w:sz="0" w:space="0" w:color="auto"/>
            <w:right w:val="none" w:sz="0" w:space="0" w:color="auto"/>
          </w:divBdr>
          <w:divsChild>
            <w:div w:id="2016683621">
              <w:marLeft w:val="0"/>
              <w:marRight w:val="0"/>
              <w:marTop w:val="0"/>
              <w:marBottom w:val="0"/>
              <w:divBdr>
                <w:top w:val="none" w:sz="0" w:space="0" w:color="auto"/>
                <w:left w:val="none" w:sz="0" w:space="0" w:color="auto"/>
                <w:bottom w:val="none" w:sz="0" w:space="0" w:color="auto"/>
                <w:right w:val="none" w:sz="0" w:space="0" w:color="auto"/>
              </w:divBdr>
              <w:divsChild>
                <w:div w:id="1824423184">
                  <w:marLeft w:val="0"/>
                  <w:marRight w:val="0"/>
                  <w:marTop w:val="0"/>
                  <w:marBottom w:val="0"/>
                  <w:divBdr>
                    <w:top w:val="none" w:sz="0" w:space="0" w:color="auto"/>
                    <w:left w:val="none" w:sz="0" w:space="0" w:color="auto"/>
                    <w:bottom w:val="none" w:sz="0" w:space="0" w:color="auto"/>
                    <w:right w:val="none" w:sz="0" w:space="0" w:color="auto"/>
                  </w:divBdr>
                  <w:divsChild>
                    <w:div w:id="9031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7841">
      <w:bodyDiv w:val="1"/>
      <w:marLeft w:val="0"/>
      <w:marRight w:val="0"/>
      <w:marTop w:val="0"/>
      <w:marBottom w:val="0"/>
      <w:divBdr>
        <w:top w:val="none" w:sz="0" w:space="0" w:color="auto"/>
        <w:left w:val="none" w:sz="0" w:space="0" w:color="auto"/>
        <w:bottom w:val="none" w:sz="0" w:space="0" w:color="auto"/>
        <w:right w:val="none" w:sz="0" w:space="0" w:color="auto"/>
      </w:divBdr>
    </w:div>
    <w:div w:id="885995935">
      <w:bodyDiv w:val="1"/>
      <w:marLeft w:val="0"/>
      <w:marRight w:val="0"/>
      <w:marTop w:val="0"/>
      <w:marBottom w:val="0"/>
      <w:divBdr>
        <w:top w:val="none" w:sz="0" w:space="0" w:color="auto"/>
        <w:left w:val="none" w:sz="0" w:space="0" w:color="auto"/>
        <w:bottom w:val="none" w:sz="0" w:space="0" w:color="auto"/>
        <w:right w:val="none" w:sz="0" w:space="0" w:color="auto"/>
      </w:divBdr>
    </w:div>
    <w:div w:id="943420090">
      <w:bodyDiv w:val="1"/>
      <w:marLeft w:val="0"/>
      <w:marRight w:val="0"/>
      <w:marTop w:val="0"/>
      <w:marBottom w:val="0"/>
      <w:divBdr>
        <w:top w:val="none" w:sz="0" w:space="0" w:color="auto"/>
        <w:left w:val="none" w:sz="0" w:space="0" w:color="auto"/>
        <w:bottom w:val="none" w:sz="0" w:space="0" w:color="auto"/>
        <w:right w:val="none" w:sz="0" w:space="0" w:color="auto"/>
      </w:divBdr>
    </w:div>
    <w:div w:id="948394204">
      <w:bodyDiv w:val="1"/>
      <w:marLeft w:val="0"/>
      <w:marRight w:val="0"/>
      <w:marTop w:val="0"/>
      <w:marBottom w:val="0"/>
      <w:divBdr>
        <w:top w:val="none" w:sz="0" w:space="0" w:color="auto"/>
        <w:left w:val="none" w:sz="0" w:space="0" w:color="auto"/>
        <w:bottom w:val="none" w:sz="0" w:space="0" w:color="auto"/>
        <w:right w:val="none" w:sz="0" w:space="0" w:color="auto"/>
      </w:divBdr>
      <w:divsChild>
        <w:div w:id="1168718360">
          <w:marLeft w:val="0"/>
          <w:marRight w:val="0"/>
          <w:marTop w:val="0"/>
          <w:marBottom w:val="0"/>
          <w:divBdr>
            <w:top w:val="none" w:sz="0" w:space="0" w:color="auto"/>
            <w:left w:val="none" w:sz="0" w:space="0" w:color="auto"/>
            <w:bottom w:val="none" w:sz="0" w:space="0" w:color="auto"/>
            <w:right w:val="none" w:sz="0" w:space="0" w:color="auto"/>
          </w:divBdr>
        </w:div>
      </w:divsChild>
    </w:div>
    <w:div w:id="998731577">
      <w:bodyDiv w:val="1"/>
      <w:marLeft w:val="0"/>
      <w:marRight w:val="0"/>
      <w:marTop w:val="0"/>
      <w:marBottom w:val="0"/>
      <w:divBdr>
        <w:top w:val="none" w:sz="0" w:space="0" w:color="auto"/>
        <w:left w:val="none" w:sz="0" w:space="0" w:color="auto"/>
        <w:bottom w:val="none" w:sz="0" w:space="0" w:color="auto"/>
        <w:right w:val="none" w:sz="0" w:space="0" w:color="auto"/>
      </w:divBdr>
    </w:div>
    <w:div w:id="1009722641">
      <w:bodyDiv w:val="1"/>
      <w:marLeft w:val="0"/>
      <w:marRight w:val="0"/>
      <w:marTop w:val="0"/>
      <w:marBottom w:val="0"/>
      <w:divBdr>
        <w:top w:val="none" w:sz="0" w:space="0" w:color="auto"/>
        <w:left w:val="none" w:sz="0" w:space="0" w:color="auto"/>
        <w:bottom w:val="none" w:sz="0" w:space="0" w:color="auto"/>
        <w:right w:val="none" w:sz="0" w:space="0" w:color="auto"/>
      </w:divBdr>
      <w:divsChild>
        <w:div w:id="199981413">
          <w:marLeft w:val="0"/>
          <w:marRight w:val="0"/>
          <w:marTop w:val="0"/>
          <w:marBottom w:val="0"/>
          <w:divBdr>
            <w:top w:val="none" w:sz="0" w:space="0" w:color="auto"/>
            <w:left w:val="none" w:sz="0" w:space="0" w:color="auto"/>
            <w:bottom w:val="none" w:sz="0" w:space="0" w:color="auto"/>
            <w:right w:val="none" w:sz="0" w:space="0" w:color="auto"/>
          </w:divBdr>
        </w:div>
      </w:divsChild>
    </w:div>
    <w:div w:id="1061709843">
      <w:bodyDiv w:val="1"/>
      <w:marLeft w:val="0"/>
      <w:marRight w:val="0"/>
      <w:marTop w:val="0"/>
      <w:marBottom w:val="0"/>
      <w:divBdr>
        <w:top w:val="none" w:sz="0" w:space="0" w:color="auto"/>
        <w:left w:val="none" w:sz="0" w:space="0" w:color="auto"/>
        <w:bottom w:val="none" w:sz="0" w:space="0" w:color="auto"/>
        <w:right w:val="none" w:sz="0" w:space="0" w:color="auto"/>
      </w:divBdr>
      <w:divsChild>
        <w:div w:id="1961525158">
          <w:marLeft w:val="0"/>
          <w:marRight w:val="0"/>
          <w:marTop w:val="0"/>
          <w:marBottom w:val="0"/>
          <w:divBdr>
            <w:top w:val="none" w:sz="0" w:space="0" w:color="auto"/>
            <w:left w:val="none" w:sz="0" w:space="0" w:color="auto"/>
            <w:bottom w:val="none" w:sz="0" w:space="0" w:color="auto"/>
            <w:right w:val="none" w:sz="0" w:space="0" w:color="auto"/>
          </w:divBdr>
        </w:div>
      </w:divsChild>
    </w:div>
    <w:div w:id="1100024965">
      <w:bodyDiv w:val="1"/>
      <w:marLeft w:val="0"/>
      <w:marRight w:val="0"/>
      <w:marTop w:val="0"/>
      <w:marBottom w:val="0"/>
      <w:divBdr>
        <w:top w:val="none" w:sz="0" w:space="0" w:color="auto"/>
        <w:left w:val="none" w:sz="0" w:space="0" w:color="auto"/>
        <w:bottom w:val="none" w:sz="0" w:space="0" w:color="auto"/>
        <w:right w:val="none" w:sz="0" w:space="0" w:color="auto"/>
      </w:divBdr>
      <w:divsChild>
        <w:div w:id="269971599">
          <w:marLeft w:val="0"/>
          <w:marRight w:val="0"/>
          <w:marTop w:val="0"/>
          <w:marBottom w:val="0"/>
          <w:divBdr>
            <w:top w:val="none" w:sz="0" w:space="0" w:color="auto"/>
            <w:left w:val="none" w:sz="0" w:space="0" w:color="auto"/>
            <w:bottom w:val="none" w:sz="0" w:space="0" w:color="auto"/>
            <w:right w:val="none" w:sz="0" w:space="0" w:color="auto"/>
          </w:divBdr>
        </w:div>
      </w:divsChild>
    </w:div>
    <w:div w:id="1114908889">
      <w:bodyDiv w:val="1"/>
      <w:marLeft w:val="0"/>
      <w:marRight w:val="0"/>
      <w:marTop w:val="0"/>
      <w:marBottom w:val="0"/>
      <w:divBdr>
        <w:top w:val="none" w:sz="0" w:space="0" w:color="auto"/>
        <w:left w:val="none" w:sz="0" w:space="0" w:color="auto"/>
        <w:bottom w:val="none" w:sz="0" w:space="0" w:color="auto"/>
        <w:right w:val="none" w:sz="0" w:space="0" w:color="auto"/>
      </w:divBdr>
      <w:divsChild>
        <w:div w:id="783110902">
          <w:marLeft w:val="0"/>
          <w:marRight w:val="0"/>
          <w:marTop w:val="0"/>
          <w:marBottom w:val="0"/>
          <w:divBdr>
            <w:top w:val="none" w:sz="0" w:space="0" w:color="auto"/>
            <w:left w:val="none" w:sz="0" w:space="0" w:color="auto"/>
            <w:bottom w:val="none" w:sz="0" w:space="0" w:color="auto"/>
            <w:right w:val="none" w:sz="0" w:space="0" w:color="auto"/>
          </w:divBdr>
        </w:div>
      </w:divsChild>
    </w:div>
    <w:div w:id="1131284737">
      <w:bodyDiv w:val="1"/>
      <w:marLeft w:val="0"/>
      <w:marRight w:val="0"/>
      <w:marTop w:val="0"/>
      <w:marBottom w:val="0"/>
      <w:divBdr>
        <w:top w:val="none" w:sz="0" w:space="0" w:color="auto"/>
        <w:left w:val="none" w:sz="0" w:space="0" w:color="auto"/>
        <w:bottom w:val="none" w:sz="0" w:space="0" w:color="auto"/>
        <w:right w:val="none" w:sz="0" w:space="0" w:color="auto"/>
      </w:divBdr>
      <w:divsChild>
        <w:div w:id="643268218">
          <w:marLeft w:val="0"/>
          <w:marRight w:val="0"/>
          <w:marTop w:val="0"/>
          <w:marBottom w:val="0"/>
          <w:divBdr>
            <w:top w:val="none" w:sz="0" w:space="0" w:color="auto"/>
            <w:left w:val="none" w:sz="0" w:space="0" w:color="auto"/>
            <w:bottom w:val="none" w:sz="0" w:space="0" w:color="auto"/>
            <w:right w:val="none" w:sz="0" w:space="0" w:color="auto"/>
          </w:divBdr>
        </w:div>
      </w:divsChild>
    </w:div>
    <w:div w:id="1131749041">
      <w:bodyDiv w:val="1"/>
      <w:marLeft w:val="0"/>
      <w:marRight w:val="0"/>
      <w:marTop w:val="0"/>
      <w:marBottom w:val="0"/>
      <w:divBdr>
        <w:top w:val="none" w:sz="0" w:space="0" w:color="auto"/>
        <w:left w:val="none" w:sz="0" w:space="0" w:color="auto"/>
        <w:bottom w:val="none" w:sz="0" w:space="0" w:color="auto"/>
        <w:right w:val="none" w:sz="0" w:space="0" w:color="auto"/>
      </w:divBdr>
      <w:divsChild>
        <w:div w:id="82343752">
          <w:marLeft w:val="0"/>
          <w:marRight w:val="0"/>
          <w:marTop w:val="0"/>
          <w:marBottom w:val="0"/>
          <w:divBdr>
            <w:top w:val="none" w:sz="0" w:space="0" w:color="auto"/>
            <w:left w:val="none" w:sz="0" w:space="0" w:color="auto"/>
            <w:bottom w:val="none" w:sz="0" w:space="0" w:color="auto"/>
            <w:right w:val="none" w:sz="0" w:space="0" w:color="auto"/>
          </w:divBdr>
        </w:div>
      </w:divsChild>
    </w:div>
    <w:div w:id="1135755200">
      <w:bodyDiv w:val="1"/>
      <w:marLeft w:val="0"/>
      <w:marRight w:val="0"/>
      <w:marTop w:val="0"/>
      <w:marBottom w:val="0"/>
      <w:divBdr>
        <w:top w:val="none" w:sz="0" w:space="0" w:color="auto"/>
        <w:left w:val="none" w:sz="0" w:space="0" w:color="auto"/>
        <w:bottom w:val="none" w:sz="0" w:space="0" w:color="auto"/>
        <w:right w:val="none" w:sz="0" w:space="0" w:color="auto"/>
      </w:divBdr>
    </w:div>
    <w:div w:id="1157265657">
      <w:bodyDiv w:val="1"/>
      <w:marLeft w:val="0"/>
      <w:marRight w:val="0"/>
      <w:marTop w:val="0"/>
      <w:marBottom w:val="0"/>
      <w:divBdr>
        <w:top w:val="none" w:sz="0" w:space="0" w:color="auto"/>
        <w:left w:val="none" w:sz="0" w:space="0" w:color="auto"/>
        <w:bottom w:val="none" w:sz="0" w:space="0" w:color="auto"/>
        <w:right w:val="none" w:sz="0" w:space="0" w:color="auto"/>
      </w:divBdr>
      <w:divsChild>
        <w:div w:id="340662118">
          <w:marLeft w:val="0"/>
          <w:marRight w:val="0"/>
          <w:marTop w:val="0"/>
          <w:marBottom w:val="0"/>
          <w:divBdr>
            <w:top w:val="none" w:sz="0" w:space="0" w:color="auto"/>
            <w:left w:val="none" w:sz="0" w:space="0" w:color="auto"/>
            <w:bottom w:val="none" w:sz="0" w:space="0" w:color="auto"/>
            <w:right w:val="none" w:sz="0" w:space="0" w:color="auto"/>
          </w:divBdr>
        </w:div>
      </w:divsChild>
    </w:div>
    <w:div w:id="1191799831">
      <w:bodyDiv w:val="1"/>
      <w:marLeft w:val="0"/>
      <w:marRight w:val="0"/>
      <w:marTop w:val="0"/>
      <w:marBottom w:val="0"/>
      <w:divBdr>
        <w:top w:val="none" w:sz="0" w:space="0" w:color="auto"/>
        <w:left w:val="none" w:sz="0" w:space="0" w:color="auto"/>
        <w:bottom w:val="none" w:sz="0" w:space="0" w:color="auto"/>
        <w:right w:val="none" w:sz="0" w:space="0" w:color="auto"/>
      </w:divBdr>
    </w:div>
    <w:div w:id="1242446305">
      <w:bodyDiv w:val="1"/>
      <w:marLeft w:val="0"/>
      <w:marRight w:val="0"/>
      <w:marTop w:val="0"/>
      <w:marBottom w:val="0"/>
      <w:divBdr>
        <w:top w:val="none" w:sz="0" w:space="0" w:color="auto"/>
        <w:left w:val="none" w:sz="0" w:space="0" w:color="auto"/>
        <w:bottom w:val="none" w:sz="0" w:space="0" w:color="auto"/>
        <w:right w:val="none" w:sz="0" w:space="0" w:color="auto"/>
      </w:divBdr>
      <w:divsChild>
        <w:div w:id="414283913">
          <w:marLeft w:val="0"/>
          <w:marRight w:val="0"/>
          <w:marTop w:val="0"/>
          <w:marBottom w:val="0"/>
          <w:divBdr>
            <w:top w:val="none" w:sz="0" w:space="0" w:color="auto"/>
            <w:left w:val="none" w:sz="0" w:space="0" w:color="auto"/>
            <w:bottom w:val="none" w:sz="0" w:space="0" w:color="auto"/>
            <w:right w:val="none" w:sz="0" w:space="0" w:color="auto"/>
          </w:divBdr>
        </w:div>
      </w:divsChild>
    </w:div>
    <w:div w:id="1295526185">
      <w:bodyDiv w:val="1"/>
      <w:marLeft w:val="0"/>
      <w:marRight w:val="0"/>
      <w:marTop w:val="0"/>
      <w:marBottom w:val="0"/>
      <w:divBdr>
        <w:top w:val="none" w:sz="0" w:space="0" w:color="auto"/>
        <w:left w:val="none" w:sz="0" w:space="0" w:color="auto"/>
        <w:bottom w:val="none" w:sz="0" w:space="0" w:color="auto"/>
        <w:right w:val="none" w:sz="0" w:space="0" w:color="auto"/>
      </w:divBdr>
      <w:divsChild>
        <w:div w:id="705837148">
          <w:marLeft w:val="0"/>
          <w:marRight w:val="0"/>
          <w:marTop w:val="0"/>
          <w:marBottom w:val="0"/>
          <w:divBdr>
            <w:top w:val="none" w:sz="0" w:space="0" w:color="auto"/>
            <w:left w:val="none" w:sz="0" w:space="0" w:color="auto"/>
            <w:bottom w:val="none" w:sz="0" w:space="0" w:color="auto"/>
            <w:right w:val="none" w:sz="0" w:space="0" w:color="auto"/>
          </w:divBdr>
        </w:div>
      </w:divsChild>
    </w:div>
    <w:div w:id="1299915447">
      <w:bodyDiv w:val="1"/>
      <w:marLeft w:val="0"/>
      <w:marRight w:val="0"/>
      <w:marTop w:val="0"/>
      <w:marBottom w:val="0"/>
      <w:divBdr>
        <w:top w:val="none" w:sz="0" w:space="0" w:color="auto"/>
        <w:left w:val="none" w:sz="0" w:space="0" w:color="auto"/>
        <w:bottom w:val="none" w:sz="0" w:space="0" w:color="auto"/>
        <w:right w:val="none" w:sz="0" w:space="0" w:color="auto"/>
      </w:divBdr>
      <w:divsChild>
        <w:div w:id="1104225027">
          <w:marLeft w:val="0"/>
          <w:marRight w:val="0"/>
          <w:marTop w:val="0"/>
          <w:marBottom w:val="0"/>
          <w:divBdr>
            <w:top w:val="none" w:sz="0" w:space="0" w:color="auto"/>
            <w:left w:val="none" w:sz="0" w:space="0" w:color="auto"/>
            <w:bottom w:val="none" w:sz="0" w:space="0" w:color="auto"/>
            <w:right w:val="none" w:sz="0" w:space="0" w:color="auto"/>
          </w:divBdr>
        </w:div>
      </w:divsChild>
    </w:div>
    <w:div w:id="1321349341">
      <w:bodyDiv w:val="1"/>
      <w:marLeft w:val="0"/>
      <w:marRight w:val="0"/>
      <w:marTop w:val="0"/>
      <w:marBottom w:val="0"/>
      <w:divBdr>
        <w:top w:val="none" w:sz="0" w:space="0" w:color="auto"/>
        <w:left w:val="none" w:sz="0" w:space="0" w:color="auto"/>
        <w:bottom w:val="none" w:sz="0" w:space="0" w:color="auto"/>
        <w:right w:val="none" w:sz="0" w:space="0" w:color="auto"/>
      </w:divBdr>
    </w:div>
    <w:div w:id="1368336672">
      <w:bodyDiv w:val="1"/>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1388066497">
      <w:bodyDiv w:val="1"/>
      <w:marLeft w:val="0"/>
      <w:marRight w:val="0"/>
      <w:marTop w:val="0"/>
      <w:marBottom w:val="0"/>
      <w:divBdr>
        <w:top w:val="none" w:sz="0" w:space="0" w:color="auto"/>
        <w:left w:val="none" w:sz="0" w:space="0" w:color="auto"/>
        <w:bottom w:val="none" w:sz="0" w:space="0" w:color="auto"/>
        <w:right w:val="none" w:sz="0" w:space="0" w:color="auto"/>
      </w:divBdr>
    </w:div>
    <w:div w:id="1426802115">
      <w:bodyDiv w:val="1"/>
      <w:marLeft w:val="0"/>
      <w:marRight w:val="0"/>
      <w:marTop w:val="0"/>
      <w:marBottom w:val="0"/>
      <w:divBdr>
        <w:top w:val="none" w:sz="0" w:space="0" w:color="auto"/>
        <w:left w:val="none" w:sz="0" w:space="0" w:color="auto"/>
        <w:bottom w:val="none" w:sz="0" w:space="0" w:color="auto"/>
        <w:right w:val="none" w:sz="0" w:space="0" w:color="auto"/>
      </w:divBdr>
      <w:divsChild>
        <w:div w:id="85731666">
          <w:marLeft w:val="0"/>
          <w:marRight w:val="0"/>
          <w:marTop w:val="0"/>
          <w:marBottom w:val="0"/>
          <w:divBdr>
            <w:top w:val="none" w:sz="0" w:space="0" w:color="auto"/>
            <w:left w:val="none" w:sz="0" w:space="0" w:color="auto"/>
            <w:bottom w:val="none" w:sz="0" w:space="0" w:color="auto"/>
            <w:right w:val="none" w:sz="0" w:space="0" w:color="auto"/>
          </w:divBdr>
        </w:div>
      </w:divsChild>
    </w:div>
    <w:div w:id="1454790415">
      <w:bodyDiv w:val="1"/>
      <w:marLeft w:val="0"/>
      <w:marRight w:val="0"/>
      <w:marTop w:val="0"/>
      <w:marBottom w:val="0"/>
      <w:divBdr>
        <w:top w:val="none" w:sz="0" w:space="0" w:color="auto"/>
        <w:left w:val="none" w:sz="0" w:space="0" w:color="auto"/>
        <w:bottom w:val="none" w:sz="0" w:space="0" w:color="auto"/>
        <w:right w:val="none" w:sz="0" w:space="0" w:color="auto"/>
      </w:divBdr>
      <w:divsChild>
        <w:div w:id="1626693351">
          <w:marLeft w:val="0"/>
          <w:marRight w:val="0"/>
          <w:marTop w:val="0"/>
          <w:marBottom w:val="0"/>
          <w:divBdr>
            <w:top w:val="none" w:sz="0" w:space="0" w:color="auto"/>
            <w:left w:val="none" w:sz="0" w:space="0" w:color="auto"/>
            <w:bottom w:val="none" w:sz="0" w:space="0" w:color="auto"/>
            <w:right w:val="none" w:sz="0" w:space="0" w:color="auto"/>
          </w:divBdr>
        </w:div>
      </w:divsChild>
    </w:div>
    <w:div w:id="1470316110">
      <w:bodyDiv w:val="1"/>
      <w:marLeft w:val="0"/>
      <w:marRight w:val="0"/>
      <w:marTop w:val="0"/>
      <w:marBottom w:val="0"/>
      <w:divBdr>
        <w:top w:val="none" w:sz="0" w:space="0" w:color="auto"/>
        <w:left w:val="none" w:sz="0" w:space="0" w:color="auto"/>
        <w:bottom w:val="none" w:sz="0" w:space="0" w:color="auto"/>
        <w:right w:val="none" w:sz="0" w:space="0" w:color="auto"/>
      </w:divBdr>
    </w:div>
    <w:div w:id="1478449715">
      <w:bodyDiv w:val="1"/>
      <w:marLeft w:val="0"/>
      <w:marRight w:val="0"/>
      <w:marTop w:val="0"/>
      <w:marBottom w:val="0"/>
      <w:divBdr>
        <w:top w:val="none" w:sz="0" w:space="0" w:color="auto"/>
        <w:left w:val="none" w:sz="0" w:space="0" w:color="auto"/>
        <w:bottom w:val="none" w:sz="0" w:space="0" w:color="auto"/>
        <w:right w:val="none" w:sz="0" w:space="0" w:color="auto"/>
      </w:divBdr>
      <w:divsChild>
        <w:div w:id="518129116">
          <w:marLeft w:val="0"/>
          <w:marRight w:val="0"/>
          <w:marTop w:val="0"/>
          <w:marBottom w:val="0"/>
          <w:divBdr>
            <w:top w:val="none" w:sz="0" w:space="0" w:color="auto"/>
            <w:left w:val="none" w:sz="0" w:space="0" w:color="auto"/>
            <w:bottom w:val="none" w:sz="0" w:space="0" w:color="auto"/>
            <w:right w:val="none" w:sz="0" w:space="0" w:color="auto"/>
          </w:divBdr>
        </w:div>
      </w:divsChild>
    </w:div>
    <w:div w:id="1527712148">
      <w:bodyDiv w:val="1"/>
      <w:marLeft w:val="0"/>
      <w:marRight w:val="0"/>
      <w:marTop w:val="0"/>
      <w:marBottom w:val="0"/>
      <w:divBdr>
        <w:top w:val="none" w:sz="0" w:space="0" w:color="auto"/>
        <w:left w:val="none" w:sz="0" w:space="0" w:color="auto"/>
        <w:bottom w:val="none" w:sz="0" w:space="0" w:color="auto"/>
        <w:right w:val="none" w:sz="0" w:space="0" w:color="auto"/>
      </w:divBdr>
      <w:divsChild>
        <w:div w:id="1911380967">
          <w:marLeft w:val="0"/>
          <w:marRight w:val="0"/>
          <w:marTop w:val="0"/>
          <w:marBottom w:val="0"/>
          <w:divBdr>
            <w:top w:val="none" w:sz="0" w:space="0" w:color="auto"/>
            <w:left w:val="none" w:sz="0" w:space="0" w:color="auto"/>
            <w:bottom w:val="none" w:sz="0" w:space="0" w:color="auto"/>
            <w:right w:val="none" w:sz="0" w:space="0" w:color="auto"/>
          </w:divBdr>
          <w:divsChild>
            <w:div w:id="627782302">
              <w:marLeft w:val="0"/>
              <w:marRight w:val="0"/>
              <w:marTop w:val="0"/>
              <w:marBottom w:val="0"/>
              <w:divBdr>
                <w:top w:val="none" w:sz="0" w:space="0" w:color="auto"/>
                <w:left w:val="none" w:sz="0" w:space="0" w:color="auto"/>
                <w:bottom w:val="none" w:sz="0" w:space="0" w:color="auto"/>
                <w:right w:val="none" w:sz="0" w:space="0" w:color="auto"/>
              </w:divBdr>
              <w:divsChild>
                <w:div w:id="1980112218">
                  <w:marLeft w:val="0"/>
                  <w:marRight w:val="0"/>
                  <w:marTop w:val="0"/>
                  <w:marBottom w:val="0"/>
                  <w:divBdr>
                    <w:top w:val="none" w:sz="0" w:space="0" w:color="auto"/>
                    <w:left w:val="none" w:sz="0" w:space="0" w:color="auto"/>
                    <w:bottom w:val="none" w:sz="0" w:space="0" w:color="auto"/>
                    <w:right w:val="none" w:sz="0" w:space="0" w:color="auto"/>
                  </w:divBdr>
                  <w:divsChild>
                    <w:div w:id="1847361335">
                      <w:marLeft w:val="0"/>
                      <w:marRight w:val="0"/>
                      <w:marTop w:val="0"/>
                      <w:marBottom w:val="0"/>
                      <w:divBdr>
                        <w:top w:val="none" w:sz="0" w:space="0" w:color="auto"/>
                        <w:left w:val="none" w:sz="0" w:space="0" w:color="auto"/>
                        <w:bottom w:val="none" w:sz="0" w:space="0" w:color="auto"/>
                        <w:right w:val="none" w:sz="0" w:space="0" w:color="auto"/>
                      </w:divBdr>
                    </w:div>
                    <w:div w:id="250355500">
                      <w:marLeft w:val="0"/>
                      <w:marRight w:val="0"/>
                      <w:marTop w:val="0"/>
                      <w:marBottom w:val="0"/>
                      <w:divBdr>
                        <w:top w:val="none" w:sz="0" w:space="0" w:color="auto"/>
                        <w:left w:val="none" w:sz="0" w:space="0" w:color="auto"/>
                        <w:bottom w:val="none" w:sz="0" w:space="0" w:color="auto"/>
                        <w:right w:val="none" w:sz="0" w:space="0" w:color="auto"/>
                      </w:divBdr>
                    </w:div>
                    <w:div w:id="1956136113">
                      <w:marLeft w:val="0"/>
                      <w:marRight w:val="0"/>
                      <w:marTop w:val="0"/>
                      <w:marBottom w:val="0"/>
                      <w:divBdr>
                        <w:top w:val="none" w:sz="0" w:space="0" w:color="auto"/>
                        <w:left w:val="none" w:sz="0" w:space="0" w:color="auto"/>
                        <w:bottom w:val="none" w:sz="0" w:space="0" w:color="auto"/>
                        <w:right w:val="none" w:sz="0" w:space="0" w:color="auto"/>
                      </w:divBdr>
                    </w:div>
                    <w:div w:id="1317220355">
                      <w:marLeft w:val="0"/>
                      <w:marRight w:val="0"/>
                      <w:marTop w:val="0"/>
                      <w:marBottom w:val="0"/>
                      <w:divBdr>
                        <w:top w:val="none" w:sz="0" w:space="0" w:color="auto"/>
                        <w:left w:val="none" w:sz="0" w:space="0" w:color="auto"/>
                        <w:bottom w:val="none" w:sz="0" w:space="0" w:color="auto"/>
                        <w:right w:val="none" w:sz="0" w:space="0" w:color="auto"/>
                      </w:divBdr>
                    </w:div>
                    <w:div w:id="135612075">
                      <w:marLeft w:val="0"/>
                      <w:marRight w:val="0"/>
                      <w:marTop w:val="0"/>
                      <w:marBottom w:val="0"/>
                      <w:divBdr>
                        <w:top w:val="none" w:sz="0" w:space="0" w:color="auto"/>
                        <w:left w:val="none" w:sz="0" w:space="0" w:color="auto"/>
                        <w:bottom w:val="none" w:sz="0" w:space="0" w:color="auto"/>
                        <w:right w:val="none" w:sz="0" w:space="0" w:color="auto"/>
                      </w:divBdr>
                    </w:div>
                    <w:div w:id="758645298">
                      <w:marLeft w:val="0"/>
                      <w:marRight w:val="0"/>
                      <w:marTop w:val="0"/>
                      <w:marBottom w:val="0"/>
                      <w:divBdr>
                        <w:top w:val="none" w:sz="0" w:space="0" w:color="auto"/>
                        <w:left w:val="none" w:sz="0" w:space="0" w:color="auto"/>
                        <w:bottom w:val="none" w:sz="0" w:space="0" w:color="auto"/>
                        <w:right w:val="none" w:sz="0" w:space="0" w:color="auto"/>
                      </w:divBdr>
                    </w:div>
                    <w:div w:id="1300259811">
                      <w:marLeft w:val="0"/>
                      <w:marRight w:val="0"/>
                      <w:marTop w:val="0"/>
                      <w:marBottom w:val="0"/>
                      <w:divBdr>
                        <w:top w:val="none" w:sz="0" w:space="0" w:color="auto"/>
                        <w:left w:val="none" w:sz="0" w:space="0" w:color="auto"/>
                        <w:bottom w:val="none" w:sz="0" w:space="0" w:color="auto"/>
                        <w:right w:val="none" w:sz="0" w:space="0" w:color="auto"/>
                      </w:divBdr>
                    </w:div>
                    <w:div w:id="534922807">
                      <w:marLeft w:val="0"/>
                      <w:marRight w:val="0"/>
                      <w:marTop w:val="0"/>
                      <w:marBottom w:val="0"/>
                      <w:divBdr>
                        <w:top w:val="none" w:sz="0" w:space="0" w:color="auto"/>
                        <w:left w:val="none" w:sz="0" w:space="0" w:color="auto"/>
                        <w:bottom w:val="none" w:sz="0" w:space="0" w:color="auto"/>
                        <w:right w:val="none" w:sz="0" w:space="0" w:color="auto"/>
                      </w:divBdr>
                    </w:div>
                    <w:div w:id="933243086">
                      <w:marLeft w:val="0"/>
                      <w:marRight w:val="0"/>
                      <w:marTop w:val="0"/>
                      <w:marBottom w:val="0"/>
                      <w:divBdr>
                        <w:top w:val="none" w:sz="0" w:space="0" w:color="auto"/>
                        <w:left w:val="none" w:sz="0" w:space="0" w:color="auto"/>
                        <w:bottom w:val="none" w:sz="0" w:space="0" w:color="auto"/>
                        <w:right w:val="none" w:sz="0" w:space="0" w:color="auto"/>
                      </w:divBdr>
                    </w:div>
                    <w:div w:id="2901947">
                      <w:marLeft w:val="0"/>
                      <w:marRight w:val="0"/>
                      <w:marTop w:val="0"/>
                      <w:marBottom w:val="0"/>
                      <w:divBdr>
                        <w:top w:val="none" w:sz="0" w:space="0" w:color="auto"/>
                        <w:left w:val="none" w:sz="0" w:space="0" w:color="auto"/>
                        <w:bottom w:val="none" w:sz="0" w:space="0" w:color="auto"/>
                        <w:right w:val="none" w:sz="0" w:space="0" w:color="auto"/>
                      </w:divBdr>
                    </w:div>
                    <w:div w:id="1984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85734">
      <w:bodyDiv w:val="1"/>
      <w:marLeft w:val="0"/>
      <w:marRight w:val="0"/>
      <w:marTop w:val="0"/>
      <w:marBottom w:val="0"/>
      <w:divBdr>
        <w:top w:val="none" w:sz="0" w:space="0" w:color="auto"/>
        <w:left w:val="none" w:sz="0" w:space="0" w:color="auto"/>
        <w:bottom w:val="none" w:sz="0" w:space="0" w:color="auto"/>
        <w:right w:val="none" w:sz="0" w:space="0" w:color="auto"/>
      </w:divBdr>
      <w:divsChild>
        <w:div w:id="817697008">
          <w:marLeft w:val="0"/>
          <w:marRight w:val="0"/>
          <w:marTop w:val="0"/>
          <w:marBottom w:val="0"/>
          <w:divBdr>
            <w:top w:val="none" w:sz="0" w:space="0" w:color="auto"/>
            <w:left w:val="none" w:sz="0" w:space="0" w:color="auto"/>
            <w:bottom w:val="none" w:sz="0" w:space="0" w:color="auto"/>
            <w:right w:val="none" w:sz="0" w:space="0" w:color="auto"/>
          </w:divBdr>
        </w:div>
      </w:divsChild>
    </w:div>
    <w:div w:id="1572352522">
      <w:bodyDiv w:val="1"/>
      <w:marLeft w:val="0"/>
      <w:marRight w:val="0"/>
      <w:marTop w:val="0"/>
      <w:marBottom w:val="0"/>
      <w:divBdr>
        <w:top w:val="none" w:sz="0" w:space="0" w:color="auto"/>
        <w:left w:val="none" w:sz="0" w:space="0" w:color="auto"/>
        <w:bottom w:val="none" w:sz="0" w:space="0" w:color="auto"/>
        <w:right w:val="none" w:sz="0" w:space="0" w:color="auto"/>
      </w:divBdr>
      <w:divsChild>
        <w:div w:id="861480838">
          <w:marLeft w:val="0"/>
          <w:marRight w:val="0"/>
          <w:marTop w:val="0"/>
          <w:marBottom w:val="0"/>
          <w:divBdr>
            <w:top w:val="none" w:sz="0" w:space="0" w:color="auto"/>
            <w:left w:val="none" w:sz="0" w:space="0" w:color="auto"/>
            <w:bottom w:val="none" w:sz="0" w:space="0" w:color="auto"/>
            <w:right w:val="none" w:sz="0" w:space="0" w:color="auto"/>
          </w:divBdr>
        </w:div>
      </w:divsChild>
    </w:div>
    <w:div w:id="1608082160">
      <w:bodyDiv w:val="1"/>
      <w:marLeft w:val="0"/>
      <w:marRight w:val="0"/>
      <w:marTop w:val="0"/>
      <w:marBottom w:val="0"/>
      <w:divBdr>
        <w:top w:val="none" w:sz="0" w:space="0" w:color="auto"/>
        <w:left w:val="none" w:sz="0" w:space="0" w:color="auto"/>
        <w:bottom w:val="none" w:sz="0" w:space="0" w:color="auto"/>
        <w:right w:val="none" w:sz="0" w:space="0" w:color="auto"/>
      </w:divBdr>
    </w:div>
    <w:div w:id="1639145720">
      <w:bodyDiv w:val="1"/>
      <w:marLeft w:val="0"/>
      <w:marRight w:val="0"/>
      <w:marTop w:val="0"/>
      <w:marBottom w:val="0"/>
      <w:divBdr>
        <w:top w:val="none" w:sz="0" w:space="0" w:color="auto"/>
        <w:left w:val="none" w:sz="0" w:space="0" w:color="auto"/>
        <w:bottom w:val="none" w:sz="0" w:space="0" w:color="auto"/>
        <w:right w:val="none" w:sz="0" w:space="0" w:color="auto"/>
      </w:divBdr>
    </w:div>
    <w:div w:id="1658729833">
      <w:bodyDiv w:val="1"/>
      <w:marLeft w:val="0"/>
      <w:marRight w:val="0"/>
      <w:marTop w:val="0"/>
      <w:marBottom w:val="0"/>
      <w:divBdr>
        <w:top w:val="none" w:sz="0" w:space="0" w:color="auto"/>
        <w:left w:val="none" w:sz="0" w:space="0" w:color="auto"/>
        <w:bottom w:val="none" w:sz="0" w:space="0" w:color="auto"/>
        <w:right w:val="none" w:sz="0" w:space="0" w:color="auto"/>
      </w:divBdr>
      <w:divsChild>
        <w:div w:id="1786189828">
          <w:marLeft w:val="0"/>
          <w:marRight w:val="0"/>
          <w:marTop w:val="0"/>
          <w:marBottom w:val="0"/>
          <w:divBdr>
            <w:top w:val="none" w:sz="0" w:space="0" w:color="auto"/>
            <w:left w:val="none" w:sz="0" w:space="0" w:color="auto"/>
            <w:bottom w:val="none" w:sz="0" w:space="0" w:color="auto"/>
            <w:right w:val="none" w:sz="0" w:space="0" w:color="auto"/>
          </w:divBdr>
          <w:divsChild>
            <w:div w:id="783232890">
              <w:marLeft w:val="0"/>
              <w:marRight w:val="0"/>
              <w:marTop w:val="0"/>
              <w:marBottom w:val="0"/>
              <w:divBdr>
                <w:top w:val="none" w:sz="0" w:space="0" w:color="auto"/>
                <w:left w:val="none" w:sz="0" w:space="0" w:color="auto"/>
                <w:bottom w:val="none" w:sz="0" w:space="0" w:color="auto"/>
                <w:right w:val="none" w:sz="0" w:space="0" w:color="auto"/>
              </w:divBdr>
              <w:divsChild>
                <w:div w:id="507134541">
                  <w:marLeft w:val="0"/>
                  <w:marRight w:val="0"/>
                  <w:marTop w:val="0"/>
                  <w:marBottom w:val="0"/>
                  <w:divBdr>
                    <w:top w:val="none" w:sz="0" w:space="0" w:color="auto"/>
                    <w:left w:val="none" w:sz="0" w:space="0" w:color="auto"/>
                    <w:bottom w:val="none" w:sz="0" w:space="0" w:color="auto"/>
                    <w:right w:val="none" w:sz="0" w:space="0" w:color="auto"/>
                  </w:divBdr>
                  <w:divsChild>
                    <w:div w:id="588469113">
                      <w:marLeft w:val="0"/>
                      <w:marRight w:val="0"/>
                      <w:marTop w:val="0"/>
                      <w:marBottom w:val="0"/>
                      <w:divBdr>
                        <w:top w:val="none" w:sz="0" w:space="0" w:color="auto"/>
                        <w:left w:val="none" w:sz="0" w:space="0" w:color="auto"/>
                        <w:bottom w:val="none" w:sz="0" w:space="0" w:color="auto"/>
                        <w:right w:val="none" w:sz="0" w:space="0" w:color="auto"/>
                      </w:divBdr>
                    </w:div>
                    <w:div w:id="18912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99910">
      <w:bodyDiv w:val="1"/>
      <w:marLeft w:val="0"/>
      <w:marRight w:val="0"/>
      <w:marTop w:val="0"/>
      <w:marBottom w:val="0"/>
      <w:divBdr>
        <w:top w:val="none" w:sz="0" w:space="0" w:color="auto"/>
        <w:left w:val="none" w:sz="0" w:space="0" w:color="auto"/>
        <w:bottom w:val="none" w:sz="0" w:space="0" w:color="auto"/>
        <w:right w:val="none" w:sz="0" w:space="0" w:color="auto"/>
      </w:divBdr>
      <w:divsChild>
        <w:div w:id="756175910">
          <w:marLeft w:val="0"/>
          <w:marRight w:val="0"/>
          <w:marTop w:val="0"/>
          <w:marBottom w:val="0"/>
          <w:divBdr>
            <w:top w:val="none" w:sz="0" w:space="0" w:color="auto"/>
            <w:left w:val="none" w:sz="0" w:space="0" w:color="auto"/>
            <w:bottom w:val="none" w:sz="0" w:space="0" w:color="auto"/>
            <w:right w:val="none" w:sz="0" w:space="0" w:color="auto"/>
          </w:divBdr>
        </w:div>
      </w:divsChild>
    </w:div>
    <w:div w:id="1667321429">
      <w:bodyDiv w:val="1"/>
      <w:marLeft w:val="0"/>
      <w:marRight w:val="0"/>
      <w:marTop w:val="0"/>
      <w:marBottom w:val="0"/>
      <w:divBdr>
        <w:top w:val="none" w:sz="0" w:space="0" w:color="auto"/>
        <w:left w:val="none" w:sz="0" w:space="0" w:color="auto"/>
        <w:bottom w:val="none" w:sz="0" w:space="0" w:color="auto"/>
        <w:right w:val="none" w:sz="0" w:space="0" w:color="auto"/>
      </w:divBdr>
      <w:divsChild>
        <w:div w:id="270085953">
          <w:marLeft w:val="0"/>
          <w:marRight w:val="0"/>
          <w:marTop w:val="0"/>
          <w:marBottom w:val="0"/>
          <w:divBdr>
            <w:top w:val="none" w:sz="0" w:space="0" w:color="auto"/>
            <w:left w:val="none" w:sz="0" w:space="0" w:color="auto"/>
            <w:bottom w:val="none" w:sz="0" w:space="0" w:color="auto"/>
            <w:right w:val="none" w:sz="0" w:space="0" w:color="auto"/>
          </w:divBdr>
        </w:div>
      </w:divsChild>
    </w:div>
    <w:div w:id="1673795166">
      <w:bodyDiv w:val="1"/>
      <w:marLeft w:val="0"/>
      <w:marRight w:val="0"/>
      <w:marTop w:val="0"/>
      <w:marBottom w:val="0"/>
      <w:divBdr>
        <w:top w:val="none" w:sz="0" w:space="0" w:color="auto"/>
        <w:left w:val="none" w:sz="0" w:space="0" w:color="auto"/>
        <w:bottom w:val="none" w:sz="0" w:space="0" w:color="auto"/>
        <w:right w:val="none" w:sz="0" w:space="0" w:color="auto"/>
      </w:divBdr>
    </w:div>
    <w:div w:id="1687516121">
      <w:bodyDiv w:val="1"/>
      <w:marLeft w:val="0"/>
      <w:marRight w:val="0"/>
      <w:marTop w:val="0"/>
      <w:marBottom w:val="0"/>
      <w:divBdr>
        <w:top w:val="none" w:sz="0" w:space="0" w:color="auto"/>
        <w:left w:val="none" w:sz="0" w:space="0" w:color="auto"/>
        <w:bottom w:val="none" w:sz="0" w:space="0" w:color="auto"/>
        <w:right w:val="none" w:sz="0" w:space="0" w:color="auto"/>
      </w:divBdr>
      <w:divsChild>
        <w:div w:id="1233665057">
          <w:marLeft w:val="0"/>
          <w:marRight w:val="0"/>
          <w:marTop w:val="0"/>
          <w:marBottom w:val="0"/>
          <w:divBdr>
            <w:top w:val="none" w:sz="0" w:space="0" w:color="auto"/>
            <w:left w:val="none" w:sz="0" w:space="0" w:color="auto"/>
            <w:bottom w:val="none" w:sz="0" w:space="0" w:color="auto"/>
            <w:right w:val="none" w:sz="0" w:space="0" w:color="auto"/>
          </w:divBdr>
        </w:div>
      </w:divsChild>
    </w:div>
    <w:div w:id="1705322686">
      <w:bodyDiv w:val="1"/>
      <w:marLeft w:val="0"/>
      <w:marRight w:val="0"/>
      <w:marTop w:val="0"/>
      <w:marBottom w:val="0"/>
      <w:divBdr>
        <w:top w:val="none" w:sz="0" w:space="0" w:color="auto"/>
        <w:left w:val="none" w:sz="0" w:space="0" w:color="auto"/>
        <w:bottom w:val="none" w:sz="0" w:space="0" w:color="auto"/>
        <w:right w:val="none" w:sz="0" w:space="0" w:color="auto"/>
      </w:divBdr>
    </w:div>
    <w:div w:id="1709337187">
      <w:bodyDiv w:val="1"/>
      <w:marLeft w:val="0"/>
      <w:marRight w:val="0"/>
      <w:marTop w:val="0"/>
      <w:marBottom w:val="0"/>
      <w:divBdr>
        <w:top w:val="none" w:sz="0" w:space="0" w:color="auto"/>
        <w:left w:val="none" w:sz="0" w:space="0" w:color="auto"/>
        <w:bottom w:val="none" w:sz="0" w:space="0" w:color="auto"/>
        <w:right w:val="none" w:sz="0" w:space="0" w:color="auto"/>
      </w:divBdr>
    </w:div>
    <w:div w:id="1713311536">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sChild>
        <w:div w:id="1117606176">
          <w:marLeft w:val="0"/>
          <w:marRight w:val="0"/>
          <w:marTop w:val="0"/>
          <w:marBottom w:val="0"/>
          <w:divBdr>
            <w:top w:val="none" w:sz="0" w:space="0" w:color="auto"/>
            <w:left w:val="none" w:sz="0" w:space="0" w:color="auto"/>
            <w:bottom w:val="none" w:sz="0" w:space="0" w:color="auto"/>
            <w:right w:val="none" w:sz="0" w:space="0" w:color="auto"/>
          </w:divBdr>
        </w:div>
      </w:divsChild>
    </w:div>
    <w:div w:id="1888760665">
      <w:bodyDiv w:val="1"/>
      <w:marLeft w:val="0"/>
      <w:marRight w:val="0"/>
      <w:marTop w:val="0"/>
      <w:marBottom w:val="0"/>
      <w:divBdr>
        <w:top w:val="none" w:sz="0" w:space="0" w:color="auto"/>
        <w:left w:val="none" w:sz="0" w:space="0" w:color="auto"/>
        <w:bottom w:val="none" w:sz="0" w:space="0" w:color="auto"/>
        <w:right w:val="none" w:sz="0" w:space="0" w:color="auto"/>
      </w:divBdr>
      <w:divsChild>
        <w:div w:id="1028918379">
          <w:marLeft w:val="0"/>
          <w:marRight w:val="0"/>
          <w:marTop w:val="0"/>
          <w:marBottom w:val="0"/>
          <w:divBdr>
            <w:top w:val="none" w:sz="0" w:space="0" w:color="auto"/>
            <w:left w:val="none" w:sz="0" w:space="0" w:color="auto"/>
            <w:bottom w:val="none" w:sz="0" w:space="0" w:color="auto"/>
            <w:right w:val="none" w:sz="0" w:space="0" w:color="auto"/>
          </w:divBdr>
        </w:div>
      </w:divsChild>
    </w:div>
    <w:div w:id="1905095827">
      <w:bodyDiv w:val="1"/>
      <w:marLeft w:val="0"/>
      <w:marRight w:val="0"/>
      <w:marTop w:val="0"/>
      <w:marBottom w:val="0"/>
      <w:divBdr>
        <w:top w:val="none" w:sz="0" w:space="0" w:color="auto"/>
        <w:left w:val="none" w:sz="0" w:space="0" w:color="auto"/>
        <w:bottom w:val="none" w:sz="0" w:space="0" w:color="auto"/>
        <w:right w:val="none" w:sz="0" w:space="0" w:color="auto"/>
      </w:divBdr>
    </w:div>
    <w:div w:id="1915432808">
      <w:bodyDiv w:val="1"/>
      <w:marLeft w:val="0"/>
      <w:marRight w:val="0"/>
      <w:marTop w:val="0"/>
      <w:marBottom w:val="0"/>
      <w:divBdr>
        <w:top w:val="none" w:sz="0" w:space="0" w:color="auto"/>
        <w:left w:val="none" w:sz="0" w:space="0" w:color="auto"/>
        <w:bottom w:val="none" w:sz="0" w:space="0" w:color="auto"/>
        <w:right w:val="none" w:sz="0" w:space="0" w:color="auto"/>
      </w:divBdr>
      <w:divsChild>
        <w:div w:id="1762602410">
          <w:marLeft w:val="0"/>
          <w:marRight w:val="0"/>
          <w:marTop w:val="0"/>
          <w:marBottom w:val="0"/>
          <w:divBdr>
            <w:top w:val="none" w:sz="0" w:space="0" w:color="auto"/>
            <w:left w:val="none" w:sz="0" w:space="0" w:color="auto"/>
            <w:bottom w:val="none" w:sz="0" w:space="0" w:color="auto"/>
            <w:right w:val="none" w:sz="0" w:space="0" w:color="auto"/>
          </w:divBdr>
        </w:div>
      </w:divsChild>
    </w:div>
    <w:div w:id="1922521954">
      <w:bodyDiv w:val="1"/>
      <w:marLeft w:val="0"/>
      <w:marRight w:val="0"/>
      <w:marTop w:val="0"/>
      <w:marBottom w:val="0"/>
      <w:divBdr>
        <w:top w:val="none" w:sz="0" w:space="0" w:color="auto"/>
        <w:left w:val="none" w:sz="0" w:space="0" w:color="auto"/>
        <w:bottom w:val="none" w:sz="0" w:space="0" w:color="auto"/>
        <w:right w:val="none" w:sz="0" w:space="0" w:color="auto"/>
      </w:divBdr>
    </w:div>
    <w:div w:id="1965429253">
      <w:bodyDiv w:val="1"/>
      <w:marLeft w:val="0"/>
      <w:marRight w:val="0"/>
      <w:marTop w:val="0"/>
      <w:marBottom w:val="0"/>
      <w:divBdr>
        <w:top w:val="none" w:sz="0" w:space="0" w:color="auto"/>
        <w:left w:val="none" w:sz="0" w:space="0" w:color="auto"/>
        <w:bottom w:val="none" w:sz="0" w:space="0" w:color="auto"/>
        <w:right w:val="none" w:sz="0" w:space="0" w:color="auto"/>
      </w:divBdr>
      <w:divsChild>
        <w:div w:id="1238593633">
          <w:marLeft w:val="0"/>
          <w:marRight w:val="0"/>
          <w:marTop w:val="0"/>
          <w:marBottom w:val="0"/>
          <w:divBdr>
            <w:top w:val="none" w:sz="0" w:space="0" w:color="auto"/>
            <w:left w:val="none" w:sz="0" w:space="0" w:color="auto"/>
            <w:bottom w:val="none" w:sz="0" w:space="0" w:color="auto"/>
            <w:right w:val="none" w:sz="0" w:space="0" w:color="auto"/>
          </w:divBdr>
        </w:div>
      </w:divsChild>
    </w:div>
    <w:div w:id="1986161745">
      <w:bodyDiv w:val="1"/>
      <w:marLeft w:val="0"/>
      <w:marRight w:val="0"/>
      <w:marTop w:val="0"/>
      <w:marBottom w:val="0"/>
      <w:divBdr>
        <w:top w:val="none" w:sz="0" w:space="0" w:color="auto"/>
        <w:left w:val="none" w:sz="0" w:space="0" w:color="auto"/>
        <w:bottom w:val="none" w:sz="0" w:space="0" w:color="auto"/>
        <w:right w:val="none" w:sz="0" w:space="0" w:color="auto"/>
      </w:divBdr>
      <w:divsChild>
        <w:div w:id="1572538792">
          <w:marLeft w:val="0"/>
          <w:marRight w:val="0"/>
          <w:marTop w:val="0"/>
          <w:marBottom w:val="0"/>
          <w:divBdr>
            <w:top w:val="none" w:sz="0" w:space="0" w:color="auto"/>
            <w:left w:val="none" w:sz="0" w:space="0" w:color="auto"/>
            <w:bottom w:val="none" w:sz="0" w:space="0" w:color="auto"/>
            <w:right w:val="none" w:sz="0" w:space="0" w:color="auto"/>
          </w:divBdr>
        </w:div>
      </w:divsChild>
    </w:div>
    <w:div w:id="1997951579">
      <w:bodyDiv w:val="1"/>
      <w:marLeft w:val="0"/>
      <w:marRight w:val="0"/>
      <w:marTop w:val="0"/>
      <w:marBottom w:val="0"/>
      <w:divBdr>
        <w:top w:val="none" w:sz="0" w:space="0" w:color="auto"/>
        <w:left w:val="none" w:sz="0" w:space="0" w:color="auto"/>
        <w:bottom w:val="none" w:sz="0" w:space="0" w:color="auto"/>
        <w:right w:val="none" w:sz="0" w:space="0" w:color="auto"/>
      </w:divBdr>
      <w:divsChild>
        <w:div w:id="1171067394">
          <w:marLeft w:val="0"/>
          <w:marRight w:val="0"/>
          <w:marTop w:val="0"/>
          <w:marBottom w:val="0"/>
          <w:divBdr>
            <w:top w:val="none" w:sz="0" w:space="0" w:color="auto"/>
            <w:left w:val="none" w:sz="0" w:space="0" w:color="auto"/>
            <w:bottom w:val="none" w:sz="0" w:space="0" w:color="auto"/>
            <w:right w:val="none" w:sz="0" w:space="0" w:color="auto"/>
          </w:divBdr>
        </w:div>
      </w:divsChild>
    </w:div>
    <w:div w:id="1999722639">
      <w:bodyDiv w:val="1"/>
      <w:marLeft w:val="0"/>
      <w:marRight w:val="0"/>
      <w:marTop w:val="0"/>
      <w:marBottom w:val="0"/>
      <w:divBdr>
        <w:top w:val="none" w:sz="0" w:space="0" w:color="auto"/>
        <w:left w:val="none" w:sz="0" w:space="0" w:color="auto"/>
        <w:bottom w:val="none" w:sz="0" w:space="0" w:color="auto"/>
        <w:right w:val="none" w:sz="0" w:space="0" w:color="auto"/>
      </w:divBdr>
    </w:div>
    <w:div w:id="2014063136">
      <w:bodyDiv w:val="1"/>
      <w:marLeft w:val="0"/>
      <w:marRight w:val="0"/>
      <w:marTop w:val="0"/>
      <w:marBottom w:val="0"/>
      <w:divBdr>
        <w:top w:val="none" w:sz="0" w:space="0" w:color="auto"/>
        <w:left w:val="none" w:sz="0" w:space="0" w:color="auto"/>
        <w:bottom w:val="none" w:sz="0" w:space="0" w:color="auto"/>
        <w:right w:val="none" w:sz="0" w:space="0" w:color="auto"/>
      </w:divBdr>
      <w:divsChild>
        <w:div w:id="1185442429">
          <w:marLeft w:val="0"/>
          <w:marRight w:val="0"/>
          <w:marTop w:val="0"/>
          <w:marBottom w:val="0"/>
          <w:divBdr>
            <w:top w:val="none" w:sz="0" w:space="0" w:color="auto"/>
            <w:left w:val="none" w:sz="0" w:space="0" w:color="auto"/>
            <w:bottom w:val="none" w:sz="0" w:space="0" w:color="auto"/>
            <w:right w:val="none" w:sz="0" w:space="0" w:color="auto"/>
          </w:divBdr>
        </w:div>
      </w:divsChild>
    </w:div>
    <w:div w:id="2027439558">
      <w:bodyDiv w:val="1"/>
      <w:marLeft w:val="0"/>
      <w:marRight w:val="0"/>
      <w:marTop w:val="0"/>
      <w:marBottom w:val="0"/>
      <w:divBdr>
        <w:top w:val="none" w:sz="0" w:space="0" w:color="auto"/>
        <w:left w:val="none" w:sz="0" w:space="0" w:color="auto"/>
        <w:bottom w:val="none" w:sz="0" w:space="0" w:color="auto"/>
        <w:right w:val="none" w:sz="0" w:space="0" w:color="auto"/>
      </w:divBdr>
    </w:div>
    <w:div w:id="2056419110">
      <w:bodyDiv w:val="1"/>
      <w:marLeft w:val="0"/>
      <w:marRight w:val="0"/>
      <w:marTop w:val="0"/>
      <w:marBottom w:val="0"/>
      <w:divBdr>
        <w:top w:val="none" w:sz="0" w:space="0" w:color="auto"/>
        <w:left w:val="none" w:sz="0" w:space="0" w:color="auto"/>
        <w:bottom w:val="none" w:sz="0" w:space="0" w:color="auto"/>
        <w:right w:val="none" w:sz="0" w:space="0" w:color="auto"/>
      </w:divBdr>
    </w:div>
    <w:div w:id="2070105083">
      <w:bodyDiv w:val="1"/>
      <w:marLeft w:val="0"/>
      <w:marRight w:val="0"/>
      <w:marTop w:val="0"/>
      <w:marBottom w:val="0"/>
      <w:divBdr>
        <w:top w:val="none" w:sz="0" w:space="0" w:color="auto"/>
        <w:left w:val="none" w:sz="0" w:space="0" w:color="auto"/>
        <w:bottom w:val="none" w:sz="0" w:space="0" w:color="auto"/>
        <w:right w:val="none" w:sz="0" w:space="0" w:color="auto"/>
      </w:divBdr>
      <w:divsChild>
        <w:div w:id="813958147">
          <w:marLeft w:val="0"/>
          <w:marRight w:val="0"/>
          <w:marTop w:val="0"/>
          <w:marBottom w:val="0"/>
          <w:divBdr>
            <w:top w:val="none" w:sz="0" w:space="0" w:color="auto"/>
            <w:left w:val="none" w:sz="0" w:space="0" w:color="auto"/>
            <w:bottom w:val="none" w:sz="0" w:space="0" w:color="auto"/>
            <w:right w:val="none" w:sz="0" w:space="0" w:color="auto"/>
          </w:divBdr>
        </w:div>
        <w:div w:id="2136941028">
          <w:marLeft w:val="0"/>
          <w:marRight w:val="0"/>
          <w:marTop w:val="0"/>
          <w:marBottom w:val="0"/>
          <w:divBdr>
            <w:top w:val="none" w:sz="0" w:space="0" w:color="auto"/>
            <w:left w:val="none" w:sz="0" w:space="0" w:color="auto"/>
            <w:bottom w:val="none" w:sz="0" w:space="0" w:color="auto"/>
            <w:right w:val="none" w:sz="0" w:space="0" w:color="auto"/>
          </w:divBdr>
        </w:div>
        <w:div w:id="687100841">
          <w:marLeft w:val="0"/>
          <w:marRight w:val="0"/>
          <w:marTop w:val="0"/>
          <w:marBottom w:val="0"/>
          <w:divBdr>
            <w:top w:val="none" w:sz="0" w:space="0" w:color="auto"/>
            <w:left w:val="none" w:sz="0" w:space="0" w:color="auto"/>
            <w:bottom w:val="none" w:sz="0" w:space="0" w:color="auto"/>
            <w:right w:val="none" w:sz="0" w:space="0" w:color="auto"/>
          </w:divBdr>
        </w:div>
        <w:div w:id="427627063">
          <w:marLeft w:val="0"/>
          <w:marRight w:val="0"/>
          <w:marTop w:val="0"/>
          <w:marBottom w:val="0"/>
          <w:divBdr>
            <w:top w:val="none" w:sz="0" w:space="0" w:color="auto"/>
            <w:left w:val="none" w:sz="0" w:space="0" w:color="auto"/>
            <w:bottom w:val="none" w:sz="0" w:space="0" w:color="auto"/>
            <w:right w:val="none" w:sz="0" w:space="0" w:color="auto"/>
          </w:divBdr>
        </w:div>
        <w:div w:id="1477455326">
          <w:marLeft w:val="0"/>
          <w:marRight w:val="0"/>
          <w:marTop w:val="0"/>
          <w:marBottom w:val="0"/>
          <w:divBdr>
            <w:top w:val="none" w:sz="0" w:space="0" w:color="auto"/>
            <w:left w:val="none" w:sz="0" w:space="0" w:color="auto"/>
            <w:bottom w:val="none" w:sz="0" w:space="0" w:color="auto"/>
            <w:right w:val="none" w:sz="0" w:space="0" w:color="auto"/>
          </w:divBdr>
        </w:div>
        <w:div w:id="837379678">
          <w:marLeft w:val="0"/>
          <w:marRight w:val="0"/>
          <w:marTop w:val="0"/>
          <w:marBottom w:val="0"/>
          <w:divBdr>
            <w:top w:val="none" w:sz="0" w:space="0" w:color="auto"/>
            <w:left w:val="none" w:sz="0" w:space="0" w:color="auto"/>
            <w:bottom w:val="none" w:sz="0" w:space="0" w:color="auto"/>
            <w:right w:val="none" w:sz="0" w:space="0" w:color="auto"/>
          </w:divBdr>
        </w:div>
        <w:div w:id="1226069556">
          <w:marLeft w:val="0"/>
          <w:marRight w:val="0"/>
          <w:marTop w:val="0"/>
          <w:marBottom w:val="0"/>
          <w:divBdr>
            <w:top w:val="none" w:sz="0" w:space="0" w:color="auto"/>
            <w:left w:val="none" w:sz="0" w:space="0" w:color="auto"/>
            <w:bottom w:val="none" w:sz="0" w:space="0" w:color="auto"/>
            <w:right w:val="none" w:sz="0" w:space="0" w:color="auto"/>
          </w:divBdr>
        </w:div>
        <w:div w:id="989940941">
          <w:marLeft w:val="0"/>
          <w:marRight w:val="0"/>
          <w:marTop w:val="0"/>
          <w:marBottom w:val="0"/>
          <w:divBdr>
            <w:top w:val="none" w:sz="0" w:space="0" w:color="auto"/>
            <w:left w:val="none" w:sz="0" w:space="0" w:color="auto"/>
            <w:bottom w:val="none" w:sz="0" w:space="0" w:color="auto"/>
            <w:right w:val="none" w:sz="0" w:space="0" w:color="auto"/>
          </w:divBdr>
        </w:div>
      </w:divsChild>
    </w:div>
    <w:div w:id="21368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ion.mscc.huji.ac.il/resources/djd/XX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ion.mscc.huji.ac.il/resources/djd/XXXI.html" TargetMode="External"/><Relationship Id="rId5" Type="http://schemas.openxmlformats.org/officeDocument/2006/relationships/settings" Target="settings.xml"/><Relationship Id="rId10" Type="http://schemas.openxmlformats.org/officeDocument/2006/relationships/hyperlink" Target="http://www.oxfordhandbooks.com.naomi.fuller.edu:2048/view/10.1093/oxfordhb/9780199204540.001.0001/oxfordhb-9780199204540" TargetMode="External"/><Relationship Id="rId4" Type="http://schemas.microsoft.com/office/2007/relationships/stylesWithEffects" Target="stylesWithEffects.xml"/><Relationship Id="rId9" Type="http://schemas.openxmlformats.org/officeDocument/2006/relationships/hyperlink" Target="http://orion.mscc.huji.ac.il/resources/djd/III.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humhalevi.com/BookofDani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ADAA-B232-4E90-9B6E-FAEDED7E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71838</TotalTime>
  <Pages>1</Pages>
  <Words>97769</Words>
  <Characters>557289</Characters>
  <Application>Microsoft Office Word</Application>
  <DocSecurity>0</DocSecurity>
  <Lines>4644</Lines>
  <Paragraphs>1307</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653751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477</cp:revision>
  <cp:lastPrinted>2017-04-06T03:29:00Z</cp:lastPrinted>
  <dcterms:created xsi:type="dcterms:W3CDTF">2016-11-07T15:35:00Z</dcterms:created>
  <dcterms:modified xsi:type="dcterms:W3CDTF">2017-07-01T01:27:00Z</dcterms:modified>
</cp:coreProperties>
</file>